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28C8D">
      <w:pPr>
        <w:pStyle w:val="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采购需</w:t>
      </w:r>
      <w:bookmarkStart w:id="0" w:name="_GoBack"/>
      <w:bookmarkEnd w:id="0"/>
      <w:r>
        <w:rPr>
          <w:rFonts w:hint="eastAsia" w:asciiTheme="minorEastAsia" w:hAnsiTheme="minorEastAsia" w:eastAsiaTheme="minorEastAsia" w:cstheme="minorEastAsia"/>
          <w:b/>
          <w:bCs/>
          <w:sz w:val="28"/>
          <w:szCs w:val="28"/>
          <w:lang w:val="en-US" w:eastAsia="zh-CN"/>
        </w:rPr>
        <w:t>求</w:t>
      </w:r>
    </w:p>
    <w:p w14:paraId="372EB31A">
      <w:pPr>
        <w:pStyle w:val="7"/>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一、招标内容</w:t>
      </w:r>
    </w:p>
    <w:p w14:paraId="7BBD2D4A">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面相有意愿从事老年人能力评估工作，希望通过培训提升技术水平并取得老年人能力评估师证书的人员（中标单位须负责招生）。拟培训150人，分2个班，每班约75人。线下培训课时不少于60课时，完成培训后组织开展老年人能力评估师技能等级鉴定工作；需规范编印培训教材，教材内容贴合老年人能力评估岗位需求，涵盖理论知识、实操技巧、案例解析等核心内容，确保教材质量达标、实用性强。</w:t>
      </w:r>
    </w:p>
    <w:p w14:paraId="7C952F8C">
      <w:pPr>
        <w:pStyle w:val="7"/>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二、相关费用参考标准（供应商负责承担）</w:t>
      </w:r>
    </w:p>
    <w:p w14:paraId="27C8A4C7">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约400元/人/天，包含住宿、伙食、场地、耗材及资料印刷费用等（不含等级评价费用）课程设置、师资聘请、第三方质量监管、考试组织及鉴定等费用，供应商负责承担。</w:t>
      </w:r>
    </w:p>
    <w:p w14:paraId="50311F22">
      <w:pPr>
        <w:pStyle w:val="7"/>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三、资质及服务要求</w:t>
      </w:r>
    </w:p>
    <w:p w14:paraId="17657A6D">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1、主体要求：投标单位具备开展老年人能力评估师培训、鉴定的相关资质。</w:t>
      </w:r>
    </w:p>
    <w:p w14:paraId="6DA9769E">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2、教学及师资能力：能够完成培训资料编写、培训视频拍摄制作及课程体系科学设置；可组织省内资深养老领域专家，采取线上网络授课、线下实操讲解相结合的方式开展教学，具备网络直播、视频录制及线上教学运维能力；师资团队需专业过硬，在省内养老评估领域具有一定知名度和丰富的教学、实操经验。</w:t>
      </w:r>
    </w:p>
    <w:p w14:paraId="34BD1E7E">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3、教学及食宿保障：具备完善的教学保障条件，拥有能同时容纳100人左右的多功能厅、符合国家标准的老年人能力评估实操实训室，配备充足的培训器材、教学设备及降温设备；能为线下培训人员提供合规的食宿保障，住宿环境整洁达标，符合国家食品安全相关标准；具备采用信息化手段收集、汇总、管理参培人员信息的能力，实现培训全过程可追溯。</w:t>
      </w:r>
    </w:p>
    <w:p w14:paraId="02AC8757">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4、鉴定及补贴相关：需具备民政部门和人社部门认可的老年人能力评估师及相关职业技能等级评价认定资质；中标单位需规范组织培训后的技能等级考试，负责考试筹备、考场布置、监考评判等全流程工作，确保考试公平、公正、合规；按规定积极向人社部门申请相关培训及鉴定补贴，配合完成补贴申请相关资料准备、提交等工作。</w:t>
      </w:r>
    </w:p>
    <w:p w14:paraId="18CB2F6C">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5、教材及资料保障：负责培训教材的编印、审核及发放，教材需贴合培训</w:t>
      </w:r>
      <w:r>
        <w:rPr>
          <w:rFonts w:hint="eastAsia" w:asciiTheme="minorEastAsia" w:hAnsiTheme="minorEastAsia" w:eastAsiaTheme="minorEastAsia" w:cstheme="minorEastAsia"/>
          <w:b w:val="0"/>
          <w:bCs w:val="0"/>
          <w:sz w:val="28"/>
          <w:szCs w:val="28"/>
          <w:lang w:val="en-US" w:eastAsia="zh-CN"/>
        </w:rPr>
        <w:t>课程和岗位实际，内容准确、全面，满足参培人员学习及实操需求，确保每位学员人手一套规范教材。</w:t>
      </w:r>
    </w:p>
    <w:p w14:paraId="47F148D2">
      <w:pPr>
        <w:pStyle w:val="7"/>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四、项目效果</w:t>
      </w:r>
    </w:p>
    <w:p w14:paraId="60D63163">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参训与参加鉴定率达100%，取得职业技能等级证书率需达到50%以上，本项目报价须包含等级评价费用。</w:t>
      </w: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966D4F"/>
    <w:rsid w:val="09966D4F"/>
    <w:rsid w:val="127E1741"/>
    <w:rsid w:val="1770383D"/>
    <w:rsid w:val="5EEE6130"/>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qFormat/>
    <w:uiPriority w:val="0"/>
    <w:rPr>
      <w:rFonts w:ascii="仿宋" w:hAnsi="仿宋"/>
      <w:szCs w:val="21"/>
    </w:rPr>
  </w:style>
  <w:style w:type="character" w:customStyle="1" w:styleId="6">
    <w:name w:val="纯文本 字符1"/>
    <w:link w:val="3"/>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923</Words>
  <Characters>941</Characters>
  <Lines>0</Lines>
  <Paragraphs>0</Paragraphs>
  <TotalTime>0</TotalTime>
  <ScaleCrop>false</ScaleCrop>
  <LinksUpToDate>false</LinksUpToDate>
  <CharactersWithSpaces>941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2026-06-04T04:07:00Z</dcterms:created>
  <dc:creator>1</dc:creator>
  <cp:lastModifiedBy>陌风</cp:lastModifiedBy>
  <dcterms:modified xsi:type="dcterms:W3CDTF">2026-06-23T03:59:26Z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E4D3114DF06F4D89B7E097F299035D09_11</vt:lpwstr>
  </property>
  <property fmtid="{D5CDD505-2E9C-101B-9397-08002B2CF9AE}" pid="4" name="KSOTemplateDocerSaveRecord">
    <vt:lpwstr>eyJoZGlkIjoiZGY4NjQ1YTM1ODdjNWViOTZlZDJjZDg3OTRiOWIxYTgiLCJ1c2VySWQiOiI0MDQyNTkyNjAifQ==</vt:lpwstr>
  </property>
</Properties>
</file>