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版本号：HXTDJC2026149820260720001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“十五五”装备制造业发展规划编制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HXTDJC20261498</w:t>
      </w:r>
      <w:r>
        <w:br/>
      </w:r>
      <w:r>
        <w:br/>
      </w:r>
      <w:r>
        <w:br/>
      </w:r>
    </w:p>
    <w:p>
      <w:pPr>
        <w:pStyle w:val="null3"/>
        <w:jc w:val="center"/>
        <w:outlineLvl w:val="2"/>
      </w:pPr>
      <w:r>
        <w:rPr>
          <w:rFonts w:ascii="仿宋_GB2312" w:hAnsi="仿宋_GB2312" w:cs="仿宋_GB2312" w:eastAsia="仿宋_GB2312"/>
          <w:sz w:val="28"/>
          <w:b/>
        </w:rPr>
        <w:t>陕西省工业和信息化厅机关</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“十五五”装备制造业发展规划编制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HXTDJC20261498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“十五五”装备制造业发展规划编制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（一）系统调研与现状评估：全面梳理陕西省装备制造业各细分领域发展基础、产业规模、技术水平、产业链配套及区域布局，深入分析优势短板与关键瓶颈环节。 （二）分析与趋势研判：收集国内外装备制造业发展资料，聚焦产业政策、创新能力、集群发展等方面，研判全球科技革命与产业变革趋势，分析机遇与挑战。 （三）目标体系与重点领域谋划：立足陕西资源禀赋与产业基础，遵循“创新驱动、链群发展、绿色智能、开放协作”的总体思路，科学设定“十五五”发展目标体系，明确重点发展方向、产业布局与优先序列。 （四）主要任务与实施路径设计：围绕重点产业链、骨干企业、重大项目等关键载体，研究提出具有针对性、可量化的具体任务与实施路径，强化规划的可操作性与落地性。 （五）要素保障与政策创新：对全省装备制造业的产业链、创新链、金融链、人才链进行系统分析，建立产业项目清单，研究提出政策保障措施与体制机制创新建议。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029-63915543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宜倩、方湖、何阳、房亚宁、赵磊（项目负责人）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下浮18%收取，(若单项目服务费按承诺收费标准计算不足4000.00元按4000.00元计取)。由成交供应商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联系人：王彤</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地址：书面材料送至西安市高新区沣惠南路18号唐沣国际广场D座13楼1301室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（一）系统调研与现状评估：全面梳理陕西省装备制造业各细分领域发展基础、产业规模、技术水平、产业链配套及区域布局，深入分析优势短板与关键瓶颈环节。 （二）分析与趋势研判：收集国内外装备制造业发展资料，聚焦产业政策、创新能力、集群发展等方面，研判全球科技革命与产业变革趋势，分析机遇与挑战。 （三）目标体系与重点领域谋划：立足陕西资源禀赋与产业基础，遵循“创新驱动、链群发展、绿色智能、开放协作”的总体思路，科学设定“十五五”发展目标体系，明确重点发展方向、产业布局与优先序列。 （四）主要任务与实施路径设计：围绕重点产业链、骨干企业、重大项目等关键载体，研究提出具有针对性、可量化的具体任务与实施路径，强化规划的可操作性与落地性。 （五）要素保障与政策创新：对全省装备制造业的产业链、创新链、金融链、人才链进行系统分析，建立产业项目清单，研究提出政策保障措施与体制机制创新建议。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362,100.00</w:t>
      </w:r>
    </w:p>
    <w:p>
      <w:pPr>
        <w:pStyle w:val="null3"/>
      </w:pPr>
      <w:r>
        <w:rPr>
          <w:rFonts w:ascii="仿宋_GB2312" w:hAnsi="仿宋_GB2312" w:cs="仿宋_GB2312" w:eastAsia="仿宋_GB2312"/>
        </w:rPr>
        <w:t>采购包最高限价（元）: 362,100.00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“十五五”装备制造业发展规划编制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362,100.00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标的名称：“十五五”装备制造业发展规划编制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采购需求：</w:t>
            </w:r>
          </w:p>
          <w:p>
            <w:pPr>
              <w:pStyle w:val="null3"/>
              <w:jc w:val="both"/>
            </w:pPr>
            <w:r>
              <w:rPr>
                <w:rFonts w:ascii="仿宋_GB2312" w:hAnsi="仿宋_GB2312" w:cs="仿宋_GB2312" w:eastAsia="仿宋_GB2312"/>
                <w:sz w:val="20"/>
                <w:b/>
              </w:rPr>
              <w:t>一、项目内容</w:t>
            </w:r>
          </w:p>
          <w:p>
            <w:pPr>
              <w:pStyle w:val="null3"/>
              <w:ind w:firstLine="400"/>
            </w:pPr>
            <w:r>
              <w:rPr>
                <w:rFonts w:ascii="仿宋_GB2312" w:hAnsi="仿宋_GB2312" w:cs="仿宋_GB2312" w:eastAsia="仿宋_GB2312"/>
              </w:rPr>
              <w:t>（一）</w:t>
            </w:r>
            <w:r>
              <w:rPr>
                <w:rFonts w:ascii="仿宋_GB2312" w:hAnsi="仿宋_GB2312" w:cs="仿宋_GB2312" w:eastAsia="仿宋_GB2312"/>
              </w:rPr>
              <w:t>系统调研与现状评估：全面梳理陕西省装备制造业各细分领域发展基础、产业规模、技术水平、产业链配套及区域布局，深入分析优势短板与关键瓶颈环节。</w:t>
            </w:r>
          </w:p>
          <w:p>
            <w:pPr>
              <w:pStyle w:val="null3"/>
              <w:ind w:firstLine="400"/>
            </w:pPr>
            <w:r>
              <w:rPr>
                <w:rFonts w:ascii="仿宋_GB2312" w:hAnsi="仿宋_GB2312" w:cs="仿宋_GB2312" w:eastAsia="仿宋_GB2312"/>
              </w:rPr>
              <w:t>（二）</w:t>
            </w:r>
            <w:r>
              <w:rPr>
                <w:rFonts w:ascii="仿宋_GB2312" w:hAnsi="仿宋_GB2312" w:cs="仿宋_GB2312" w:eastAsia="仿宋_GB2312"/>
              </w:rPr>
              <w:t>分析与趋势研判：收集</w:t>
            </w:r>
            <w:r>
              <w:rPr>
                <w:rFonts w:ascii="仿宋_GB2312" w:hAnsi="仿宋_GB2312" w:cs="仿宋_GB2312" w:eastAsia="仿宋_GB2312"/>
              </w:rPr>
              <w:t>国内外</w:t>
            </w:r>
            <w:r>
              <w:rPr>
                <w:rFonts w:ascii="仿宋_GB2312" w:hAnsi="仿宋_GB2312" w:cs="仿宋_GB2312" w:eastAsia="仿宋_GB2312"/>
              </w:rPr>
              <w:t>装备制造业发展</w:t>
            </w:r>
            <w:r>
              <w:rPr>
                <w:rFonts w:ascii="仿宋_GB2312" w:hAnsi="仿宋_GB2312" w:cs="仿宋_GB2312" w:eastAsia="仿宋_GB2312"/>
              </w:rPr>
              <w:t>资料</w:t>
            </w:r>
            <w:r>
              <w:rPr>
                <w:rFonts w:ascii="仿宋_GB2312" w:hAnsi="仿宋_GB2312" w:cs="仿宋_GB2312" w:eastAsia="仿宋_GB2312"/>
              </w:rPr>
              <w:t>，</w:t>
            </w:r>
            <w:r>
              <w:rPr>
                <w:rFonts w:ascii="仿宋_GB2312" w:hAnsi="仿宋_GB2312" w:cs="仿宋_GB2312" w:eastAsia="仿宋_GB2312"/>
              </w:rPr>
              <w:t>聚焦</w:t>
            </w:r>
            <w:r>
              <w:rPr>
                <w:rFonts w:ascii="仿宋_GB2312" w:hAnsi="仿宋_GB2312" w:cs="仿宋_GB2312" w:eastAsia="仿宋_GB2312"/>
              </w:rPr>
              <w:t>产业政策、创新能力、集群发展等方面，研判全球科技革命与产业变革趋势，分析机遇与挑战。</w:t>
            </w:r>
          </w:p>
          <w:p>
            <w:pPr>
              <w:pStyle w:val="null3"/>
              <w:ind w:firstLine="418"/>
            </w:pPr>
            <w:r>
              <w:rPr>
                <w:rFonts w:ascii="仿宋_GB2312" w:hAnsi="仿宋_GB2312" w:cs="仿宋_GB2312" w:eastAsia="仿宋_GB2312"/>
              </w:rPr>
              <w:t>（三）</w:t>
            </w:r>
            <w:r>
              <w:rPr>
                <w:rFonts w:ascii="仿宋_GB2312" w:hAnsi="仿宋_GB2312" w:cs="仿宋_GB2312" w:eastAsia="仿宋_GB2312"/>
              </w:rPr>
              <w:t>目标体系与重点领域谋划：立足陕西资源禀赋与产业基础，遵循</w:t>
            </w:r>
            <w:r>
              <w:rPr>
                <w:rFonts w:ascii="仿宋_GB2312" w:hAnsi="仿宋_GB2312" w:cs="仿宋_GB2312" w:eastAsia="仿宋_GB2312"/>
              </w:rPr>
              <w:t>“创新驱动、链群发展、绿色智能、开放协作”的总体思路，科学设定“十五五”发展目标体系，明确重点发展方向、产业布局与优先序列。</w:t>
            </w:r>
          </w:p>
          <w:p>
            <w:pPr>
              <w:pStyle w:val="null3"/>
              <w:ind w:firstLine="418"/>
            </w:pPr>
            <w:r>
              <w:rPr>
                <w:rFonts w:ascii="仿宋_GB2312" w:hAnsi="仿宋_GB2312" w:cs="仿宋_GB2312" w:eastAsia="仿宋_GB2312"/>
              </w:rPr>
              <w:t>（四）</w:t>
            </w:r>
            <w:r>
              <w:rPr>
                <w:rFonts w:ascii="仿宋_GB2312" w:hAnsi="仿宋_GB2312" w:cs="仿宋_GB2312" w:eastAsia="仿宋_GB2312"/>
              </w:rPr>
              <w:t>主要任务与实施路径设计：围绕重点产业链、骨干企业、重大项目等关键载体，研究提出具有针对性、可量化的具体任务与实施路径，强化规划的可操作性与落地性。</w:t>
            </w:r>
          </w:p>
          <w:p>
            <w:pPr>
              <w:pStyle w:val="null3"/>
              <w:ind w:firstLine="400"/>
            </w:pPr>
            <w:r>
              <w:rPr>
                <w:rFonts w:ascii="仿宋_GB2312" w:hAnsi="仿宋_GB2312" w:cs="仿宋_GB2312" w:eastAsia="仿宋_GB2312"/>
              </w:rPr>
              <w:t>（五）</w:t>
            </w:r>
            <w:r>
              <w:rPr>
                <w:rFonts w:ascii="仿宋_GB2312" w:hAnsi="仿宋_GB2312" w:cs="仿宋_GB2312" w:eastAsia="仿宋_GB2312"/>
              </w:rPr>
              <w:t>要素保障与政策创新：对全省装备制造业的产业链、创新链、金融链、人才链进行系统分析，建立产业项目清单，研究提出政策保障措施与体制机制创新建议。</w:t>
            </w:r>
          </w:p>
          <w:p>
            <w:pPr>
              <w:pStyle w:val="null3"/>
              <w:jc w:val="both"/>
            </w:pPr>
            <w:r>
              <w:rPr>
                <w:rFonts w:ascii="仿宋_GB2312" w:hAnsi="仿宋_GB2312" w:cs="仿宋_GB2312" w:eastAsia="仿宋_GB2312"/>
                <w:sz w:val="20"/>
                <w:b/>
              </w:rPr>
              <w:t>二、项目要求</w:t>
            </w:r>
          </w:p>
          <w:p>
            <w:pPr>
              <w:pStyle w:val="null3"/>
              <w:ind w:firstLine="402"/>
              <w:jc w:val="both"/>
            </w:pPr>
            <w:r>
              <w:rPr>
                <w:rFonts w:ascii="仿宋_GB2312" w:hAnsi="仿宋_GB2312" w:cs="仿宋_GB2312" w:eastAsia="仿宋_GB2312"/>
                <w:sz w:val="20"/>
                <w:b/>
              </w:rPr>
              <w:t>（一）战略性与实操性统一</w:t>
            </w:r>
          </w:p>
          <w:p>
            <w:pPr>
              <w:pStyle w:val="null3"/>
              <w:ind w:firstLine="400"/>
              <w:jc w:val="both"/>
            </w:pPr>
            <w:r>
              <w:rPr>
                <w:rFonts w:ascii="仿宋_GB2312" w:hAnsi="仿宋_GB2312" w:cs="仿宋_GB2312" w:eastAsia="仿宋_GB2312"/>
                <w:sz w:val="20"/>
              </w:rPr>
              <w:t>规划编制须立足国家制造强国战略全局，紧密对接区域重大发展战略，体现宏观层面的前瞻布局与顶层设计。同时，要强化目标导向与问题导向，聚焦产业发展实际，围绕重点产业链、骨干企业、重大项目等关键载体，研究提出具有针对性、可量化、能考核的具体任务与实施路径，确保规划内容既符合长远发展方向，又具备扎实的落地基础。</w:t>
            </w:r>
          </w:p>
          <w:p>
            <w:pPr>
              <w:pStyle w:val="null3"/>
              <w:ind w:firstLine="402"/>
              <w:jc w:val="both"/>
            </w:pPr>
            <w:r>
              <w:rPr>
                <w:rFonts w:ascii="仿宋_GB2312" w:hAnsi="仿宋_GB2312" w:cs="仿宋_GB2312" w:eastAsia="仿宋_GB2312"/>
                <w:sz w:val="20"/>
                <w:b/>
              </w:rPr>
              <w:t>（二）全面性与重点性兼顾</w:t>
            </w:r>
          </w:p>
          <w:p>
            <w:pPr>
              <w:pStyle w:val="null3"/>
              <w:ind w:firstLine="400"/>
              <w:jc w:val="both"/>
            </w:pPr>
            <w:r>
              <w:rPr>
                <w:rFonts w:ascii="仿宋_GB2312" w:hAnsi="仿宋_GB2312" w:cs="仿宋_GB2312" w:eastAsia="仿宋_GB2312"/>
                <w:sz w:val="20"/>
              </w:rPr>
              <w:t>系统覆盖全省装备制造业各细分领域、各类市场主体及不同区域空间，构建完整的产业分析框架与发展体系。在此基础上，要突出重点、集中资源，加强对优势支柱产业、关键短板环节以及前沿新兴领域的深入研究与专项谋划，明确主攻方向与优先序列，着力打造具有核心竞争力的产业集群与产业链条。</w:t>
            </w:r>
          </w:p>
          <w:p>
            <w:pPr>
              <w:pStyle w:val="null3"/>
              <w:ind w:firstLine="402"/>
              <w:jc w:val="both"/>
            </w:pPr>
            <w:r>
              <w:rPr>
                <w:rFonts w:ascii="仿宋_GB2312" w:hAnsi="仿宋_GB2312" w:cs="仿宋_GB2312" w:eastAsia="仿宋_GB2312"/>
                <w:sz w:val="20"/>
                <w:b/>
              </w:rPr>
              <w:t>（三）前瞻性与现实性结合</w:t>
            </w:r>
          </w:p>
          <w:p>
            <w:pPr>
              <w:pStyle w:val="null3"/>
              <w:ind w:firstLine="400"/>
              <w:jc w:val="both"/>
            </w:pPr>
            <w:r>
              <w:rPr>
                <w:rFonts w:ascii="仿宋_GB2312" w:hAnsi="仿宋_GB2312" w:cs="仿宋_GB2312" w:eastAsia="仿宋_GB2312"/>
                <w:sz w:val="20"/>
              </w:rPr>
              <w:t>密切关注全球科技革命与产业变革趋势，加强对未来技术路径、产业形态、竞争格局的前瞻性研判，为培育新动能、布局新赛道预留战略空间。同时，必须立足陕西省装备制造业现有基础、资源禀赋与发展阶段，科学评估现实条件与约束因素，着力解决当前面临的突出矛盾与瓶颈问题。</w:t>
            </w:r>
          </w:p>
          <w:p>
            <w:pPr>
              <w:pStyle w:val="null3"/>
              <w:ind w:firstLine="402"/>
              <w:jc w:val="both"/>
            </w:pPr>
            <w:r>
              <w:rPr>
                <w:rFonts w:ascii="仿宋_GB2312" w:hAnsi="仿宋_GB2312" w:cs="仿宋_GB2312" w:eastAsia="仿宋_GB2312"/>
                <w:sz w:val="20"/>
                <w:b/>
              </w:rPr>
              <w:t>（四）连续性与发展性并重</w:t>
            </w:r>
          </w:p>
          <w:p>
            <w:pPr>
              <w:pStyle w:val="null3"/>
              <w:ind w:firstLine="400"/>
              <w:jc w:val="both"/>
            </w:pPr>
            <w:r>
              <w:rPr>
                <w:rFonts w:ascii="仿宋_GB2312" w:hAnsi="仿宋_GB2312" w:cs="仿宋_GB2312" w:eastAsia="仿宋_GB2312"/>
                <w:sz w:val="20"/>
              </w:rPr>
              <w:t>总结</w:t>
            </w:r>
            <w:r>
              <w:rPr>
                <w:rFonts w:ascii="仿宋_GB2312" w:hAnsi="仿宋_GB2312" w:cs="仿宋_GB2312" w:eastAsia="仿宋_GB2312"/>
                <w:sz w:val="20"/>
              </w:rPr>
              <w:t>“十四五”时期发展的成效与经验，注重政策与工作的连续性、稳定性。适应新发展阶段、新形势要求，勇于打破思维定势与路径依赖，在发展理念、体制机制、政策工具等方面积极探索创新，科学设定具有挑战性又经过努力可以实现的发展目标，推动产业发展迈上新台阶。</w:t>
            </w:r>
          </w:p>
          <w:p>
            <w:pPr>
              <w:pStyle w:val="null3"/>
              <w:jc w:val="both"/>
            </w:pPr>
            <w:r>
              <w:rPr>
                <w:rFonts w:ascii="仿宋_GB2312" w:hAnsi="仿宋_GB2312" w:cs="仿宋_GB2312" w:eastAsia="仿宋_GB2312"/>
                <w:sz w:val="20"/>
                <w:b/>
              </w:rPr>
              <w:t>三、服务期限：</w:t>
            </w:r>
          </w:p>
          <w:p>
            <w:pPr>
              <w:pStyle w:val="null3"/>
              <w:ind w:firstLine="400"/>
            </w:pPr>
            <w:r>
              <w:rPr>
                <w:rFonts w:ascii="仿宋_GB2312" w:hAnsi="仿宋_GB2312" w:cs="仿宋_GB2312" w:eastAsia="仿宋_GB2312"/>
                <w:sz w:val="20"/>
              </w:rPr>
              <w:t>项目计划于双方合同签订之日起实施，</w:t>
            </w:r>
            <w:r>
              <w:rPr>
                <w:rFonts w:ascii="仿宋_GB2312" w:hAnsi="仿宋_GB2312" w:cs="仿宋_GB2312" w:eastAsia="仿宋_GB2312"/>
                <w:sz w:val="20"/>
              </w:rPr>
              <w:t>2026年</w:t>
            </w:r>
            <w:r>
              <w:rPr>
                <w:rFonts w:ascii="仿宋_GB2312" w:hAnsi="仿宋_GB2312" w:cs="仿宋_GB2312" w:eastAsia="仿宋_GB2312"/>
                <w:sz w:val="20"/>
              </w:rPr>
              <w:t>12</w:t>
            </w:r>
            <w:r>
              <w:rPr>
                <w:rFonts w:ascii="仿宋_GB2312" w:hAnsi="仿宋_GB2312" w:cs="仿宋_GB2312" w:eastAsia="仿宋_GB2312"/>
                <w:sz w:val="20"/>
              </w:rPr>
              <w:t>月</w:t>
            </w:r>
            <w:r>
              <w:rPr>
                <w:rFonts w:ascii="仿宋_GB2312" w:hAnsi="仿宋_GB2312" w:cs="仿宋_GB2312" w:eastAsia="仿宋_GB2312"/>
                <w:sz w:val="20"/>
              </w:rPr>
              <w:t>30</w:t>
            </w:r>
            <w:r>
              <w:rPr>
                <w:rFonts w:ascii="仿宋_GB2312" w:hAnsi="仿宋_GB2312" w:cs="仿宋_GB2312" w:eastAsia="仿宋_GB2312"/>
                <w:sz w:val="20"/>
              </w:rPr>
              <w:t>日前完成。</w:t>
            </w:r>
          </w:p>
          <w:p>
            <w:pPr>
              <w:pStyle w:val="null3"/>
              <w:jc w:val="both"/>
            </w:pPr>
            <w:r>
              <w:rPr>
                <w:rFonts w:ascii="仿宋_GB2312" w:hAnsi="仿宋_GB2312" w:cs="仿宋_GB2312" w:eastAsia="仿宋_GB2312"/>
                <w:sz w:val="20"/>
                <w:b/>
              </w:rPr>
              <w:t>四、项目预算：</w:t>
            </w:r>
          </w:p>
          <w:p>
            <w:pPr>
              <w:pStyle w:val="null3"/>
              <w:ind w:firstLine="400"/>
            </w:pPr>
            <w:r>
              <w:rPr>
                <w:rFonts w:ascii="仿宋_GB2312" w:hAnsi="仿宋_GB2312" w:cs="仿宋_GB2312" w:eastAsia="仿宋_GB2312"/>
                <w:sz w:val="20"/>
              </w:rPr>
              <w:t>人民币：</w:t>
            </w:r>
            <w:r>
              <w:rPr>
                <w:rFonts w:ascii="仿宋_GB2312" w:hAnsi="仿宋_GB2312" w:cs="仿宋_GB2312" w:eastAsia="仿宋_GB2312"/>
                <w:sz w:val="20"/>
              </w:rPr>
              <w:t>36.21</w:t>
            </w:r>
            <w:r>
              <w:rPr>
                <w:rFonts w:ascii="仿宋_GB2312" w:hAnsi="仿宋_GB2312" w:cs="仿宋_GB2312" w:eastAsia="仿宋_GB2312"/>
                <w:sz w:val="20"/>
              </w:rPr>
              <w:t>万元</w:t>
            </w:r>
          </w:p>
          <w:p>
            <w:pPr>
              <w:pStyle w:val="null3"/>
            </w:pPr>
            <w:r>
              <w:rPr>
                <w:rFonts w:ascii="仿宋_GB2312" w:hAnsi="仿宋_GB2312" w:cs="仿宋_GB2312" w:eastAsia="仿宋_GB2312"/>
                <w:sz w:val="20"/>
                <w:b/>
              </w:rPr>
              <w:t>五、</w:t>
            </w:r>
            <w:r>
              <w:rPr>
                <w:rFonts w:ascii="仿宋_GB2312" w:hAnsi="仿宋_GB2312" w:cs="仿宋_GB2312" w:eastAsia="仿宋_GB2312"/>
                <w:sz w:val="20"/>
                <w:b/>
              </w:rPr>
              <w:t>采购方式</w:t>
            </w:r>
          </w:p>
          <w:p>
            <w:pPr>
              <w:pStyle w:val="null3"/>
              <w:ind w:firstLine="400"/>
            </w:pPr>
            <w:r>
              <w:rPr>
                <w:rFonts w:ascii="仿宋_GB2312" w:hAnsi="仿宋_GB2312" w:cs="仿宋_GB2312" w:eastAsia="仿宋_GB2312"/>
                <w:sz w:val="20"/>
              </w:rPr>
              <w:t>竞争性磋商</w:t>
            </w:r>
          </w:p>
          <w:p>
            <w:pPr>
              <w:pStyle w:val="null3"/>
              <w:jc w:val="both"/>
            </w:pPr>
            <w:r>
              <w:rPr>
                <w:rFonts w:ascii="仿宋_GB2312" w:hAnsi="仿宋_GB2312" w:cs="仿宋_GB2312" w:eastAsia="仿宋_GB2312"/>
                <w:sz w:val="20"/>
                <w:b/>
              </w:rPr>
              <w:t>六、付款方式</w:t>
            </w:r>
          </w:p>
          <w:p>
            <w:pPr>
              <w:pStyle w:val="null3"/>
              <w:ind w:firstLine="400"/>
            </w:pPr>
            <w:r>
              <w:rPr>
                <w:rFonts w:ascii="仿宋_GB2312" w:hAnsi="仿宋_GB2312" w:cs="仿宋_GB2312" w:eastAsia="仿宋_GB2312"/>
                <w:sz w:val="20"/>
              </w:rPr>
              <w:t>本合同金额分两次支付：</w:t>
            </w:r>
          </w:p>
          <w:p>
            <w:pPr>
              <w:pStyle w:val="null3"/>
              <w:ind w:firstLine="400"/>
            </w:pPr>
            <w:r>
              <w:rPr>
                <w:rFonts w:ascii="仿宋_GB2312" w:hAnsi="仿宋_GB2312" w:cs="仿宋_GB2312" w:eastAsia="仿宋_GB2312"/>
                <w:sz w:val="20"/>
              </w:rPr>
              <w:t>第一次为合同签订后</w:t>
            </w:r>
            <w:r>
              <w:rPr>
                <w:rFonts w:ascii="仿宋_GB2312" w:hAnsi="仿宋_GB2312" w:cs="仿宋_GB2312" w:eastAsia="仿宋_GB2312"/>
                <w:sz w:val="20"/>
              </w:rPr>
              <w:t>十</w:t>
            </w:r>
            <w:r>
              <w:rPr>
                <w:rFonts w:ascii="仿宋_GB2312" w:hAnsi="仿宋_GB2312" w:cs="仿宋_GB2312" w:eastAsia="仿宋_GB2312"/>
                <w:sz w:val="20"/>
              </w:rPr>
              <w:t>个工作日内，甲方拨付乙方合同总金额的</w:t>
            </w:r>
            <w:r>
              <w:rPr>
                <w:rFonts w:ascii="仿宋_GB2312" w:hAnsi="仿宋_GB2312" w:cs="仿宋_GB2312" w:eastAsia="仿宋_GB2312"/>
                <w:sz w:val="20"/>
              </w:rPr>
              <w:t>6</w:t>
            </w:r>
            <w:r>
              <w:rPr>
                <w:rFonts w:ascii="仿宋_GB2312" w:hAnsi="仿宋_GB2312" w:cs="仿宋_GB2312" w:eastAsia="仿宋_GB2312"/>
                <w:sz w:val="20"/>
              </w:rPr>
              <w:t>0%；</w:t>
            </w:r>
          </w:p>
          <w:p>
            <w:pPr>
              <w:pStyle w:val="null3"/>
              <w:ind w:firstLine="400"/>
            </w:pPr>
            <w:r>
              <w:rPr>
                <w:rFonts w:ascii="仿宋_GB2312" w:hAnsi="仿宋_GB2312" w:cs="仿宋_GB2312" w:eastAsia="仿宋_GB2312"/>
                <w:sz w:val="20"/>
              </w:rPr>
              <w:t>第二次为课题验收合格后三十个工作日内，甲方拨付乙方合同总金额的</w:t>
            </w:r>
            <w:r>
              <w:rPr>
                <w:rFonts w:ascii="仿宋_GB2312" w:hAnsi="仿宋_GB2312" w:cs="仿宋_GB2312" w:eastAsia="仿宋_GB2312"/>
                <w:sz w:val="20"/>
              </w:rPr>
              <w:t>4</w:t>
            </w:r>
            <w:r>
              <w:rPr>
                <w:rFonts w:ascii="仿宋_GB2312" w:hAnsi="仿宋_GB2312" w:cs="仿宋_GB2312" w:eastAsia="仿宋_GB2312"/>
                <w:sz w:val="20"/>
              </w:rPr>
              <w:t>0%。</w:t>
            </w:r>
          </w:p>
          <w:p>
            <w:pPr>
              <w:pStyle w:val="null3"/>
              <w:jc w:val="both"/>
            </w:pPr>
            <w:r>
              <w:rPr>
                <w:rFonts w:ascii="仿宋_GB2312" w:hAnsi="仿宋_GB2312" w:cs="仿宋_GB2312" w:eastAsia="仿宋_GB2312"/>
                <w:sz w:val="20"/>
                <w:b/>
              </w:rPr>
              <w:t>七、项目验收要求</w:t>
            </w:r>
          </w:p>
          <w:p>
            <w:pPr>
              <w:pStyle w:val="null3"/>
            </w:pPr>
            <w:r>
              <w:rPr>
                <w:rFonts w:ascii="仿宋_GB2312" w:hAnsi="仿宋_GB2312" w:cs="仿宋_GB2312" w:eastAsia="仿宋_GB2312"/>
                <w:sz w:val="20"/>
              </w:rPr>
              <w:t>形成《陕西省</w:t>
            </w:r>
            <w:r>
              <w:rPr>
                <w:rFonts w:ascii="仿宋_GB2312" w:hAnsi="仿宋_GB2312" w:cs="仿宋_GB2312" w:eastAsia="仿宋_GB2312"/>
                <w:sz w:val="20"/>
              </w:rPr>
              <w:t>“十五五”装备制造业发展规划》</w:t>
            </w:r>
            <w:r>
              <w:rPr>
                <w:rFonts w:ascii="仿宋_GB2312" w:hAnsi="仿宋_GB2312" w:cs="仿宋_GB2312" w:eastAsia="仿宋_GB2312"/>
                <w:sz w:val="20"/>
              </w:rPr>
              <w:t>文本。</w:t>
            </w:r>
            <w:r>
              <w:rPr>
                <w:rFonts w:ascii="仿宋_GB2312" w:hAnsi="仿宋_GB2312" w:cs="仿宋_GB2312" w:eastAsia="仿宋_GB2312"/>
                <w:sz w:val="20"/>
              </w:rPr>
              <w:t>经甲方会同相关专家审议通过后，完成项目验收。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项目计划于双方合同签订之日起实施，2026年12月30日前完成。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课题验收合格后，达到付款条件起30个工作日内，支付合同总金额的40.0%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 因履行本合同引起的或与本合同有关的争议，甲乙双方应首先通过友好协商解决，如果协商不能解决，可向仲裁委员会申请仲裁或向人民法院提起诉讼。 诉讼期间，本合同继续履行。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贰份；若电子响应文件与纸质响应文件不一致的，以电子响应文件为准；响应文件装订成册密封（在书脊处标明项目编号、项目名称、供应商名称（机打或手写均可），逐页标注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有效的法人或者其他组织的营业执照等证明文件，自然人的身份证明；2.财务状况：提供2024年度或2025年度经审计的财务报表或本年度基本开户银行出具的资信证明（附基本开户许可证或基本存款账户信息）或政府采购信用担保机构出具的《政府采购投标担保函》；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表或本年度基本开户银行出具的资信证明（附基本开户许可证或基本存款账户信息）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（一）评审中出现下列情形之一的，磋商小组应当启动异常低价投标（响应）审查程序：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服务方案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其他资料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供应商提供近三年（2023年1月1日至今）类似项目业绩合同（以合同签订日期为准），每提供1个有效业绩得5分，满分20分。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（1）具有高级及以上技术职称的，得5分。需提供职称证书复印件，未提供得0分。 （2）具备五年及以上规划编制项目工作经验的，得5分。需提供相关证明材料，未提供得0分。证明材料包括但不限于合同文本、项目规划书、劳动合同等。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（1）提供服务团队人员（不含项目负责人）在 8人及以上的计10分；6人(含)以上-8人以下计8分;4人(含)以上-6人以下计5分;不足4人不计分。（2）服务团队人员（不含项目负责人），若具有高级及以上技术职称的，每有1人加2分，满分10分。未提供职称证书得0分。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项目需求理解与重难点分析</w:t>
            </w:r>
          </w:p>
        </w:tc>
        <w:tc>
          <w:tcPr>
            <w:tcW w:type="dxa" w:w="2492"/>
          </w:tcPr>
          <w:p>
            <w:pPr>
              <w:pStyle w:val="null3"/>
            </w:pPr>
            <w:r>
              <w:rPr>
                <w:rFonts w:ascii="仿宋_GB2312" w:hAnsi="仿宋_GB2312" w:cs="仿宋_GB2312" w:eastAsia="仿宋_GB2312"/>
              </w:rPr>
              <w:t>供应商对项目背景、目标、任务理解全面准确，对重难点把握清晰、分析深刻、应对思路可行，内容至少包含：①项目需求理解；②重点、难点分析。 评审标准：各部分内容全面完整、阐述条理清晰详尽、符合本项目采购需求计6分，每缺少一项内容扣3分，每项内容存在一处缺陷扣1分，扣完为止。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国家战略契合度</w:t>
            </w:r>
          </w:p>
        </w:tc>
        <w:tc>
          <w:tcPr>
            <w:tcW w:type="dxa" w:w="2492"/>
          </w:tcPr>
          <w:p>
            <w:pPr>
              <w:pStyle w:val="null3"/>
            </w:pPr>
            <w:r>
              <w:rPr>
                <w:rFonts w:ascii="仿宋_GB2312" w:hAnsi="仿宋_GB2312" w:cs="仿宋_GB2312" w:eastAsia="仿宋_GB2312"/>
              </w:rPr>
              <w:t>方案须立足国家制造强国战略全局，紧密对接区域重大发展战略，体现宏观层面的前瞻布局与顶层设计。定位准确、导向鲜明，内容至少包含：①国家战略对接契合度；②方案定位与导向阐述。 评审标准：各部分内容全面完整、阐述条理清晰详尽、符合本项目采购需求计8分，每缺少一项内容扣4分，每项内容存在一处缺陷扣1分，扣完为止。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研究框架完整性与逻辑性</w:t>
            </w:r>
          </w:p>
        </w:tc>
        <w:tc>
          <w:tcPr>
            <w:tcW w:type="dxa" w:w="2492"/>
          </w:tcPr>
          <w:p>
            <w:pPr>
              <w:pStyle w:val="null3"/>
            </w:pPr>
            <w:r>
              <w:rPr>
                <w:rFonts w:ascii="仿宋_GB2312" w:hAnsi="仿宋_GB2312" w:cs="仿宋_GB2312" w:eastAsia="仿宋_GB2312"/>
              </w:rPr>
              <w:t>研究框架完整、逻辑清晰、层次合理，系统覆盖全省装备制造业各细分领域、各类市场主体及不同区域空间，构建完整的产业分析框架与发展体系，内容至少包含：①研究框架完整性、逻辑性及层次性阐述；②采购需求覆盖情况。 评审标准：各部分内容全面完整、阐述条理清晰详尽、符合本项目采购需求计8分，每缺少一项内容扣4分，每项内容存在一处缺陷扣1分，扣完为止。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陕西产业特色与针对性</w:t>
            </w:r>
          </w:p>
        </w:tc>
        <w:tc>
          <w:tcPr>
            <w:tcW w:type="dxa" w:w="2492"/>
          </w:tcPr>
          <w:p>
            <w:pPr>
              <w:pStyle w:val="null3"/>
            </w:pPr>
            <w:r>
              <w:rPr>
                <w:rFonts w:ascii="仿宋_GB2312" w:hAnsi="仿宋_GB2312" w:cs="仿宋_GB2312" w:eastAsia="仿宋_GB2312"/>
              </w:rPr>
              <w:t>方案紧密结合陕西装备制造业基础，定位精准、重点突出，内容至少包含：①陕西装备制造业基础结合情况阐述；②陕西装备制造业面临的国内外形势、风险与机遇等结合情况阐述； ③方案定位、重点及举措与省情的贴合说明。 评审标准：各部分内容全面完整、阐述条理清晰详尽、符合本项目采购需求计9分，每缺少一项内容扣3分，每项内容存在一处缺陷扣1分，扣完为止。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项目保密方案与管理措施</w:t>
            </w:r>
          </w:p>
        </w:tc>
        <w:tc>
          <w:tcPr>
            <w:tcW w:type="dxa" w:w="2492"/>
          </w:tcPr>
          <w:p>
            <w:pPr>
              <w:pStyle w:val="null3"/>
            </w:pPr>
            <w:r>
              <w:rPr>
                <w:rFonts w:ascii="仿宋_GB2312" w:hAnsi="仿宋_GB2312" w:cs="仿宋_GB2312" w:eastAsia="仿宋_GB2312"/>
              </w:rPr>
              <w:t>保密制度健全、人员管理规范、技术与流程措施完备，内容至少包含：①保密制度；②管理措施。 评审标准：各部分内容全面完整、阐述条理清晰详尽、符合本项目采购需求计3分，每缺少一项内容扣1.5分，每项内容存在一处缺陷扣0.5分，扣完为止。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进度安排与质量保障</w:t>
            </w:r>
          </w:p>
        </w:tc>
        <w:tc>
          <w:tcPr>
            <w:tcW w:type="dxa" w:w="2492"/>
          </w:tcPr>
          <w:p>
            <w:pPr>
              <w:pStyle w:val="null3"/>
            </w:pPr>
            <w:r>
              <w:rPr>
                <w:rFonts w:ascii="仿宋_GB2312" w:hAnsi="仿宋_GB2312" w:cs="仿宋_GB2312" w:eastAsia="仿宋_GB2312"/>
              </w:rPr>
              <w:t>进度计划科学合理、节点清晰，质量保障体系健全、措施可行，内容至少包含：①进度安排；②质量保障。 评审标准：各部分内容全面完整、阐述条理清晰详尽、符合本项目采购需求计3分，每缺少一项内容扣1.5分，每项内容存在一处缺陷扣0.5分，扣完为止。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组织架构与工作流程</w:t>
            </w:r>
          </w:p>
        </w:tc>
        <w:tc>
          <w:tcPr>
            <w:tcW w:type="dxa" w:w="2492"/>
          </w:tcPr>
          <w:p>
            <w:pPr>
              <w:pStyle w:val="null3"/>
            </w:pPr>
            <w:r>
              <w:rPr>
                <w:rFonts w:ascii="仿宋_GB2312" w:hAnsi="仿宋_GB2312" w:cs="仿宋_GB2312" w:eastAsia="仿宋_GB2312"/>
              </w:rPr>
              <w:t>组织架构健全、职责分工明确、工作流程顺畅高效、管控机制完善，内容至少包含：①组织架构；②工作流程。 评审标准：各部分内容全面完整、阐述条理清晰详尽、符合本项目采购需求计3分，每缺少一项内容扣1.5分，每项内容存在一处缺陷扣0.5分扣完为止。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评审委员会启动异常低价投标（响应）审查后，应当要求相关供应商在评审现场合理的时间内提供书面说明及必要的证明材料，对投标（响应）价格作出解释。注：异常低价审查在符合性审查阶段启动。</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详见附件：服务团队</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