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版本号：HYRJ2026-0320260709001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西乡县河湖健康评价建立河湖健康档案服务项目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HYRJ2026-03</w:t>
      </w:r>
      <w:r>
        <w:br/>
      </w:r>
      <w:r>
        <w:br/>
      </w:r>
      <w:r>
        <w:br/>
      </w:r>
    </w:p>
    <w:p>
      <w:pPr>
        <w:pStyle w:val="null3"/>
        <w:jc w:val="center"/>
        <w:outlineLvl w:val="2"/>
      </w:pPr>
      <w:r>
        <w:rPr>
          <w:rFonts w:ascii="仿宋_GB2312" w:hAnsi="仿宋_GB2312" w:cs="仿宋_GB2312" w:eastAsia="仿宋_GB2312"/>
          <w:sz w:val="28"/>
          <w:b/>
        </w:rPr>
        <w:t>西乡县水利局</w:t>
      </w:r>
    </w:p>
    <w:p>
      <w:pPr>
        <w:pStyle w:val="null3"/>
        <w:jc w:val="center"/>
        <w:outlineLvl w:val="2"/>
      </w:pPr>
      <w:r>
        <w:rPr>
          <w:rFonts w:ascii="仿宋_GB2312" w:hAnsi="仿宋_GB2312" w:cs="仿宋_GB2312" w:eastAsia="仿宋_GB2312"/>
          <w:sz w:val="28"/>
          <w:b/>
        </w:rPr>
        <w:t>陕西华亿瑞景工程项目管理有限责任公司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陕西华亿瑞景工程项目管理有限责任公司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西乡县水利局</w:t>
      </w:r>
      <w:r>
        <w:rPr>
          <w:rFonts w:ascii="仿宋_GB2312" w:hAnsi="仿宋_GB2312" w:cs="仿宋_GB2312" w:eastAsia="仿宋_GB2312"/>
        </w:rPr>
        <w:t>委托，拟对</w:t>
      </w:r>
      <w:r>
        <w:rPr>
          <w:rFonts w:ascii="仿宋_GB2312" w:hAnsi="仿宋_GB2312" w:cs="仿宋_GB2312" w:eastAsia="仿宋_GB2312"/>
        </w:rPr>
        <w:t>西乡县河湖健康评价建立河湖健康档案服务项目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HYRJ2026-03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西乡县河湖健康评价建立河湖健康档案服务项目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评价工作按照牧马河、峡河、白勉峡河3条河流分别进行，根据河长体系设置、河流水文、河床及河滨带等情况划分为多个评价河段。评价最终按照3条河流分别提交河流健康评价报告及附件。评价主要内容包括:河流纵向连通指数、岸线自然状况河岸带人工干扰度、生态流量满足程度、水质优劣程度、鱼类保有指数、防洪达标率、公众满意度等主要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采购包1（西乡县河湖健康评价建立河湖健康档案服务项目）：属于专门面向中小企业采购。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3、资质要求：供应商应具备工程设计水利行业乙级（含乙级）及以上资质</w:t>
      </w:r>
    </w:p>
    <w:p>
      <w:pPr>
        <w:pStyle w:val="null3"/>
      </w:pPr>
      <w:r>
        <w:rPr>
          <w:rFonts w:ascii="仿宋_GB2312" w:hAnsi="仿宋_GB2312" w:cs="仿宋_GB2312" w:eastAsia="仿宋_GB2312"/>
        </w:rPr>
        <w:t>4、法定代表人身份证明或授权委托书：法定代表人参加磋商须提供《法定代表人身份证明》及身份证扫描件；法定代表人授权他人参加磋商，须提供《法定代表人授权委托书》、委托代理人身份证扫描件；(提供加盖供应商公章的法定代表人身份证明原件和其身份证扫描件或法定代表人授权委托书原件及被授权人身份证扫描件)。</w:t>
      </w:r>
    </w:p>
    <w:p>
      <w:pPr>
        <w:pStyle w:val="null3"/>
      </w:pPr>
      <w:r>
        <w:rPr>
          <w:rFonts w:ascii="仿宋_GB2312" w:hAnsi="仿宋_GB2312" w:cs="仿宋_GB2312" w:eastAsia="仿宋_GB2312"/>
        </w:rPr>
        <w:t>5、项目负责人：项目负责人具有水利专业相关中级及以上职称</w:t>
      </w:r>
    </w:p>
    <w:p>
      <w:pPr>
        <w:pStyle w:val="null3"/>
      </w:pPr>
      <w:r>
        <w:rPr>
          <w:rFonts w:ascii="仿宋_GB2312" w:hAnsi="仿宋_GB2312" w:cs="仿宋_GB2312" w:eastAsia="仿宋_GB2312"/>
        </w:rPr>
        <w:t>6、其他要求：本项目不接受联合体投标，供应商需提供非联合体书面声明；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西大街西段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西乡县水利局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15709169898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陕西华亿瑞景工程项目管理有限责任公司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陕西省汉中市汉台区陕西省汉中市汉台区北关街道办事处供电大道久麟和苑1号楼5楼501-503室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19991618822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开户名称：陕西华亿瑞景工程项目管理有限责任公司</w:t>
            </w:r>
          </w:p>
          <w:p>
            <w:pPr>
              <w:pStyle w:val="null3"/>
            </w:pPr>
            <w:r>
              <w:rPr>
                <w:rFonts w:ascii="仿宋_GB2312" w:hAnsi="仿宋_GB2312" w:cs="仿宋_GB2312" w:eastAsia="仿宋_GB2312"/>
              </w:rPr>
              <w:t>开户银行：中国工商银行股份有限公司汉中人民路支行</w:t>
            </w:r>
          </w:p>
          <w:p>
            <w:pPr>
              <w:pStyle w:val="null3"/>
            </w:pPr>
            <w:r>
              <w:rPr>
                <w:rFonts w:ascii="仿宋_GB2312" w:hAnsi="仿宋_GB2312" w:cs="仿宋_GB2312" w:eastAsia="仿宋_GB2312"/>
              </w:rPr>
              <w:t>银行账号：2606053609200307779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代理服务费收费标准：参照国家计委颁发的《招标代理服务收费管理暂⾏办法》（计价格 [2002]1980号）和国家发改委员会办公厅颁发的《关于招标代理服务收费有关问题的通知》（发改办价格[2003]857号）的有关规定执行。 成交单位在领取成交通知书前，须向采购代理机构支付代理服务费。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西乡县水利局</w:t>
      </w:r>
      <w:r>
        <w:rPr>
          <w:rFonts w:ascii="仿宋_GB2312" w:hAnsi="仿宋_GB2312" w:cs="仿宋_GB2312" w:eastAsia="仿宋_GB2312"/>
        </w:rPr>
        <w:t>和</w:t>
      </w:r>
      <w:r>
        <w:rPr>
          <w:rFonts w:ascii="仿宋_GB2312" w:hAnsi="仿宋_GB2312" w:cs="仿宋_GB2312" w:eastAsia="仿宋_GB2312"/>
        </w:rPr>
        <w:t>陕西华亿瑞景工程项目管理有限责任公司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陕西华亿瑞景工程项目管理有限责任公司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陕西华亿瑞景工程项目管理有限责任公司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根据最终签订的合同内容执行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陕西华亿瑞景工程项目管理有限责任公司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陕西华亿瑞景工程项目管理有限责任公司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陕西华亿瑞景工程项目管理有限责任公司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联系人：何菲</w:t>
      </w:r>
    </w:p>
    <w:p>
      <w:pPr>
        <w:pStyle w:val="null3"/>
      </w:pPr>
      <w:r>
        <w:rPr>
          <w:rFonts w:ascii="仿宋_GB2312" w:hAnsi="仿宋_GB2312" w:cs="仿宋_GB2312" w:eastAsia="仿宋_GB2312"/>
        </w:rPr>
        <w:t>联系电话：13571682553</w:t>
      </w:r>
    </w:p>
    <w:p>
      <w:pPr>
        <w:pStyle w:val="null3"/>
      </w:pPr>
      <w:r>
        <w:rPr>
          <w:rFonts w:ascii="仿宋_GB2312" w:hAnsi="仿宋_GB2312" w:cs="仿宋_GB2312" w:eastAsia="仿宋_GB2312"/>
        </w:rPr>
        <w:t>地址：陕西省汉中市汉台区北关街道办事处供电⼤道久地麟和苑1号楼5楼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评价工作按照牧马河、峡河、白勉峡河3条河流分别进行，根据河长体系设置、河流水文、河床及河滨带等情况划分为多个评价河段。评价最终按照3条河流分别提交河流健康评价报告及附件。评价主要内容包括：河流纵向连通指数、岸线自然状况、河岸带人工干扰度、生态流量满足程度、水质优劣程度、鱼类保有指数、防 洪达标率、公众满意度等主要工作。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西乡县河湖健康评价建立河湖健康档案服务项目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标的名称：西乡县河湖健康评价建立河湖健康档案服务项目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jc w:val="both"/>
            </w:pPr>
            <w:r>
              <w:rPr>
                <w:rFonts w:ascii="仿宋_GB2312" w:hAnsi="仿宋_GB2312" w:cs="仿宋_GB2312" w:eastAsia="仿宋_GB2312"/>
                <w:sz w:val="21"/>
              </w:rPr>
              <w:t>2022</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月，水利部下发《关于开展河湖健康评价建立河湖健康档案工作的通知》，全面启动实施河湖健康评价工作，并明确了河湖健康评价主体。</w:t>
            </w:r>
            <w:r>
              <w:rPr>
                <w:rFonts w:ascii="仿宋_GB2312" w:hAnsi="仿宋_GB2312" w:cs="仿宋_GB2312" w:eastAsia="仿宋_GB2312"/>
                <w:sz w:val="21"/>
              </w:rPr>
              <w:t>本次评价工作按照牧马河、峡河、白勉峡河</w:t>
            </w:r>
            <w:r>
              <w:rPr>
                <w:rFonts w:ascii="仿宋_GB2312" w:hAnsi="仿宋_GB2312" w:cs="仿宋_GB2312" w:eastAsia="仿宋_GB2312"/>
                <w:sz w:val="21"/>
              </w:rPr>
              <w:t>3</w:t>
            </w:r>
            <w:r>
              <w:rPr>
                <w:rFonts w:ascii="仿宋_GB2312" w:hAnsi="仿宋_GB2312" w:cs="仿宋_GB2312" w:eastAsia="仿宋_GB2312"/>
                <w:sz w:val="21"/>
              </w:rPr>
              <w:t>条河流分别进行，根据</w:t>
            </w:r>
            <w:r>
              <w:rPr>
                <w:rFonts w:ascii="仿宋_GB2312" w:hAnsi="仿宋_GB2312" w:cs="仿宋_GB2312" w:eastAsia="仿宋_GB2312"/>
                <w:sz w:val="21"/>
              </w:rPr>
              <w:t xml:space="preserve"> </w:t>
            </w:r>
            <w:r>
              <w:rPr>
                <w:rFonts w:ascii="仿宋_GB2312" w:hAnsi="仿宋_GB2312" w:cs="仿宋_GB2312" w:eastAsia="仿宋_GB2312"/>
                <w:sz w:val="21"/>
              </w:rPr>
              <w:t>河长体系设置、河流水文、河床及河滨带等情况划分为多个评价河段。</w:t>
            </w:r>
          </w:p>
          <w:p>
            <w:pPr>
              <w:pStyle w:val="null3"/>
              <w:jc w:val="both"/>
            </w:pPr>
            <w:r>
              <w:rPr>
                <w:rFonts w:ascii="仿宋_GB2312" w:hAnsi="仿宋_GB2312" w:cs="仿宋_GB2312" w:eastAsia="仿宋_GB2312"/>
                <w:sz w:val="21"/>
              </w:rPr>
              <w:t>二、本次评价主要内容包括：河流纵向连通指数、岸线自然状况、河岸带</w:t>
            </w:r>
            <w:r>
              <w:rPr>
                <w:rFonts w:ascii="仿宋_GB2312" w:hAnsi="仿宋_GB2312" w:cs="仿宋_GB2312" w:eastAsia="仿宋_GB2312"/>
                <w:sz w:val="21"/>
              </w:rPr>
              <w:t>人工干扰度、生态流量满足程度、水质优劣程度、鱼类保有指数、防</w:t>
            </w:r>
            <w:r>
              <w:rPr>
                <w:rFonts w:ascii="仿宋_GB2312" w:hAnsi="仿宋_GB2312" w:cs="仿宋_GB2312" w:eastAsia="仿宋_GB2312"/>
                <w:sz w:val="21"/>
              </w:rPr>
              <w:t>洪达标率、公众满意度等主要工作。</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、河流纵向连通指数评价</w:t>
            </w:r>
            <w:r>
              <w:rPr>
                <w:rFonts w:ascii="仿宋_GB2312" w:hAnsi="仿宋_GB2312" w:cs="仿宋_GB2312" w:eastAsia="仿宋_GB2312"/>
                <w:sz w:val="21"/>
              </w:rPr>
              <w:t>(</w:t>
            </w:r>
            <w:r>
              <w:rPr>
                <w:rFonts w:ascii="仿宋_GB2312" w:hAnsi="仿宋_GB2312" w:cs="仿宋_GB2312" w:eastAsia="仿宋_GB2312"/>
                <w:sz w:val="21"/>
              </w:rPr>
              <w:t>计算</w:t>
            </w:r>
            <w:r>
              <w:rPr>
                <w:rFonts w:ascii="仿宋_GB2312" w:hAnsi="仿宋_GB2312" w:cs="仿宋_GB2312" w:eastAsia="仿宋_GB2312"/>
                <w:sz w:val="21"/>
              </w:rPr>
              <w:t>),</w:t>
            </w:r>
            <w:r>
              <w:rPr>
                <w:rFonts w:ascii="仿宋_GB2312" w:hAnsi="仿宋_GB2312" w:cs="仿宋_GB2312" w:eastAsia="仿宋_GB2312"/>
                <w:sz w:val="21"/>
              </w:rPr>
              <w:t>根据单位河长内影响河流 连通性的建筑物或设施数量评价。</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、岸线自然状况评价</w:t>
            </w:r>
            <w:r>
              <w:rPr>
                <w:rFonts w:ascii="仿宋_GB2312" w:hAnsi="仿宋_GB2312" w:cs="仿宋_GB2312" w:eastAsia="仿宋_GB2312"/>
                <w:sz w:val="21"/>
              </w:rPr>
              <w:t>(</w:t>
            </w:r>
            <w:r>
              <w:rPr>
                <w:rFonts w:ascii="仿宋_GB2312" w:hAnsi="仿宋_GB2312" w:cs="仿宋_GB2312" w:eastAsia="仿宋_GB2312"/>
                <w:sz w:val="21"/>
              </w:rPr>
              <w:t>计算</w:t>
            </w:r>
            <w:r>
              <w:rPr>
                <w:rFonts w:ascii="仿宋_GB2312" w:hAnsi="仿宋_GB2312" w:cs="仿宋_GB2312" w:eastAsia="仿宋_GB2312"/>
                <w:sz w:val="21"/>
              </w:rPr>
              <w:t>),</w:t>
            </w:r>
            <w:r>
              <w:rPr>
                <w:rFonts w:ascii="仿宋_GB2312" w:hAnsi="仿宋_GB2312" w:cs="仿宋_GB2312" w:eastAsia="仿宋_GB2312"/>
                <w:sz w:val="21"/>
              </w:rPr>
              <w:t>选取岸线自然状况指标评价河 湖岸线健康状况，包括河</w:t>
            </w:r>
            <w:r>
              <w:rPr>
                <w:rFonts w:ascii="仿宋_GB2312" w:hAnsi="仿宋_GB2312" w:cs="仿宋_GB2312" w:eastAsia="仿宋_GB2312"/>
                <w:sz w:val="21"/>
              </w:rPr>
              <w:t>(</w:t>
            </w:r>
            <w:r>
              <w:rPr>
                <w:rFonts w:ascii="仿宋_GB2312" w:hAnsi="仿宋_GB2312" w:cs="仿宋_GB2312" w:eastAsia="仿宋_GB2312"/>
                <w:sz w:val="21"/>
              </w:rPr>
              <w:t>湖</w:t>
            </w:r>
            <w:r>
              <w:rPr>
                <w:rFonts w:ascii="仿宋_GB2312" w:hAnsi="仿宋_GB2312" w:cs="仿宋_GB2312" w:eastAsia="仿宋_GB2312"/>
                <w:sz w:val="21"/>
              </w:rPr>
              <w:t>)</w:t>
            </w:r>
            <w:r>
              <w:rPr>
                <w:rFonts w:ascii="仿宋_GB2312" w:hAnsi="仿宋_GB2312" w:cs="仿宋_GB2312" w:eastAsia="仿宋_GB2312"/>
                <w:sz w:val="21"/>
              </w:rPr>
              <w:t>岸稳定性和岸线植被覆盖率两个方面。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、河岸带人工干扰度，综合考虑了入河排污口规范化建设率、 入河湖排污口布局合理程度和河湖“四乱”状况，采用各指标的加权平均值。</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、生态流量、水位满足程度，</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生态流量满足程度，对常年有流量的河流，采用生态流量满足程度进行表征。</w:t>
            </w:r>
            <w:r>
              <w:rPr>
                <w:rFonts w:ascii="仿宋_GB2312" w:hAnsi="仿宋_GB2312" w:cs="仿宋_GB2312" w:eastAsia="仿宋_GB2312"/>
                <w:sz w:val="21"/>
              </w:rPr>
              <w:t>(2)</w:t>
            </w:r>
            <w:r>
              <w:rPr>
                <w:rFonts w:ascii="仿宋_GB2312" w:hAnsi="仿宋_GB2312" w:cs="仿宋_GB2312" w:eastAsia="仿宋_GB2312"/>
                <w:sz w:val="21"/>
              </w:rPr>
              <w:t>最低生态水位满足程度，对于某些缺水河流，无法保障全 年均有流量，可采用生态水位计算方法。</w:t>
            </w:r>
            <w:r>
              <w:rPr>
                <w:rFonts w:ascii="仿宋_GB2312" w:hAnsi="仿宋_GB2312" w:cs="仿宋_GB2312" w:eastAsia="仿宋_GB2312"/>
                <w:sz w:val="21"/>
              </w:rPr>
              <w:t>(3)</w:t>
            </w:r>
            <w:r>
              <w:rPr>
                <w:rFonts w:ascii="仿宋_GB2312" w:hAnsi="仿宋_GB2312" w:cs="仿宋_GB2312" w:eastAsia="仿宋_GB2312"/>
                <w:sz w:val="21"/>
              </w:rPr>
              <w:t>流量过程变异程度，河流流量过程变异程度计算评价年实 测月径流量与天然月径流量的平均偏离程度</w:t>
            </w:r>
            <w:r>
              <w:rPr>
                <w:rFonts w:ascii="仿宋_GB2312" w:hAnsi="仿宋_GB2312" w:cs="仿宋_GB2312" w:eastAsia="仿宋_GB2312"/>
                <w:sz w:val="21"/>
              </w:rPr>
              <w:t>(</w:t>
            </w:r>
            <w:r>
              <w:rPr>
                <w:rFonts w:ascii="仿宋_GB2312" w:hAnsi="仿宋_GB2312" w:cs="仿宋_GB2312" w:eastAsia="仿宋_GB2312"/>
                <w:sz w:val="21"/>
              </w:rPr>
              <w:t>宜同时考虑丰水年、平 水年、枯水年的差异性</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、水质优劣程度评价</w:t>
            </w:r>
            <w:r>
              <w:rPr>
                <w:rFonts w:ascii="仿宋_GB2312" w:hAnsi="仿宋_GB2312" w:cs="仿宋_GB2312" w:eastAsia="仿宋_GB2312"/>
                <w:sz w:val="21"/>
              </w:rPr>
              <w:t>(</w:t>
            </w:r>
            <w:r>
              <w:rPr>
                <w:rFonts w:ascii="仿宋_GB2312" w:hAnsi="仿宋_GB2312" w:cs="仿宋_GB2312" w:eastAsia="仿宋_GB2312"/>
                <w:sz w:val="21"/>
              </w:rPr>
              <w:t>需要水质监测报告</w:t>
            </w:r>
            <w:r>
              <w:rPr>
                <w:rFonts w:ascii="仿宋_GB2312" w:hAnsi="仿宋_GB2312" w:cs="仿宋_GB2312" w:eastAsia="仿宋_GB2312"/>
                <w:sz w:val="21"/>
              </w:rPr>
              <w:t>),</w:t>
            </w:r>
            <w:r>
              <w:rPr>
                <w:rFonts w:ascii="仿宋_GB2312" w:hAnsi="仿宋_GB2312" w:cs="仿宋_GB2312" w:eastAsia="仿宋_GB2312"/>
                <w:sz w:val="21"/>
              </w:rPr>
              <w:t xml:space="preserve">水样的采样布点、 监测频率及监测数据的处理应遵循 </w:t>
            </w:r>
            <w:r>
              <w:rPr>
                <w:rFonts w:ascii="仿宋_GB2312" w:hAnsi="仿宋_GB2312" w:cs="仿宋_GB2312" w:eastAsia="仿宋_GB2312"/>
                <w:sz w:val="21"/>
              </w:rPr>
              <w:t>SL219</w:t>
            </w:r>
            <w:r>
              <w:rPr>
                <w:rFonts w:ascii="仿宋_GB2312" w:hAnsi="仿宋_GB2312" w:cs="仿宋_GB2312" w:eastAsia="仿宋_GB2312"/>
                <w:sz w:val="21"/>
              </w:rPr>
              <w:t xml:space="preserve">相关规定，水质评价应遵循 </w:t>
            </w:r>
            <w:r>
              <w:rPr>
                <w:rFonts w:ascii="仿宋_GB2312" w:hAnsi="仿宋_GB2312" w:cs="仿宋_GB2312" w:eastAsia="仿宋_GB2312"/>
                <w:sz w:val="21"/>
              </w:rPr>
              <w:t>GB3838-2002</w:t>
            </w:r>
            <w:r>
              <w:rPr>
                <w:rFonts w:ascii="仿宋_GB2312" w:hAnsi="仿宋_GB2312" w:cs="仿宋_GB2312" w:eastAsia="仿宋_GB2312"/>
                <w:sz w:val="21"/>
              </w:rPr>
              <w:t>相关规定。有多次监测数据时应采用多次监测结果 的平均值，有多个断面监测数据时应以各监测断面的代表性河长作为 权重，计算各个断面监测结果的加权平均值。</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、鱼类保有指数评价</w:t>
            </w:r>
            <w:r>
              <w:rPr>
                <w:rFonts w:ascii="仿宋_GB2312" w:hAnsi="仿宋_GB2312" w:cs="仿宋_GB2312" w:eastAsia="仿宋_GB2312"/>
                <w:sz w:val="21"/>
              </w:rPr>
              <w:t>(</w:t>
            </w:r>
            <w:r>
              <w:rPr>
                <w:rFonts w:ascii="仿宋_GB2312" w:hAnsi="仿宋_GB2312" w:cs="仿宋_GB2312" w:eastAsia="仿宋_GB2312"/>
                <w:sz w:val="21"/>
              </w:rPr>
              <w:t>计算</w:t>
            </w:r>
            <w:r>
              <w:rPr>
                <w:rFonts w:ascii="仿宋_GB2312" w:hAnsi="仿宋_GB2312" w:cs="仿宋_GB2312" w:eastAsia="仿宋_GB2312"/>
                <w:sz w:val="21"/>
              </w:rPr>
              <w:t>),</w:t>
            </w:r>
            <w:r>
              <w:rPr>
                <w:rFonts w:ascii="仿宋_GB2312" w:hAnsi="仿宋_GB2312" w:cs="仿宋_GB2312" w:eastAsia="仿宋_GB2312"/>
                <w:sz w:val="21"/>
              </w:rPr>
              <w:t>评价现状鱼类种数与历史参考  点鱼类种数的差异状况，对于无法获取历史鱼类监测数据的评价区域， 可采用专家咨询的方法确定。调查鱼类种数不包括外来鱼种。</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、防洪达标率评价评价河湖堤防及沿河建筑物防洪达标情况</w:t>
            </w:r>
            <w:r>
              <w:rPr>
                <w:rFonts w:ascii="仿宋_GB2312" w:hAnsi="仿宋_GB2312" w:cs="仿宋_GB2312" w:eastAsia="仿宋_GB2312"/>
                <w:sz w:val="21"/>
              </w:rPr>
              <w:t>(</w:t>
            </w:r>
            <w:r>
              <w:rPr>
                <w:rFonts w:ascii="仿宋_GB2312" w:hAnsi="仿宋_GB2312" w:cs="仿宋_GB2312" w:eastAsia="仿宋_GB2312"/>
                <w:sz w:val="21"/>
              </w:rPr>
              <w:t>测 量达标堤防和不达标堤防长度及交叉建筑物数量，计算</w:t>
            </w:r>
            <w:r>
              <w:rPr>
                <w:rFonts w:ascii="仿宋_GB2312" w:hAnsi="仿宋_GB2312" w:cs="仿宋_GB2312" w:eastAsia="仿宋_GB2312"/>
                <w:sz w:val="21"/>
              </w:rPr>
              <w:t>)</w:t>
            </w:r>
            <w:r>
              <w:rPr>
                <w:rFonts w:ascii="仿宋_GB2312" w:hAnsi="仿宋_GB2312" w:cs="仿宋_GB2312" w:eastAsia="仿宋_GB2312"/>
                <w:sz w:val="21"/>
              </w:rPr>
              <w:t>。河流防洪 达标率统计达到防洪标准的堤防长度占堤防总长度的比例，有堤防交建筑物的，须考虑堤防交叉建设物防洪标准达标比例。</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、公众满意度</w:t>
            </w:r>
            <w:r>
              <w:rPr>
                <w:rFonts w:ascii="仿宋_GB2312" w:hAnsi="仿宋_GB2312" w:cs="仿宋_GB2312" w:eastAsia="仿宋_GB2312"/>
                <w:sz w:val="21"/>
              </w:rPr>
              <w:t>(</w:t>
            </w:r>
            <w:r>
              <w:rPr>
                <w:rFonts w:ascii="仿宋_GB2312" w:hAnsi="仿宋_GB2312" w:cs="仿宋_GB2312" w:eastAsia="仿宋_GB2312"/>
                <w:sz w:val="21"/>
              </w:rPr>
              <w:t>调查</w:t>
            </w:r>
            <w:r>
              <w:rPr>
                <w:rFonts w:ascii="仿宋_GB2312" w:hAnsi="仿宋_GB2312" w:cs="仿宋_GB2312" w:eastAsia="仿宋_GB2312"/>
                <w:sz w:val="21"/>
              </w:rPr>
              <w:t>),</w:t>
            </w:r>
            <w:r>
              <w:rPr>
                <w:rFonts w:ascii="仿宋_GB2312" w:hAnsi="仿宋_GB2312" w:cs="仿宋_GB2312" w:eastAsia="仿宋_GB2312"/>
                <w:sz w:val="21"/>
              </w:rPr>
              <w:t>评价公众对河湖环境、水质水量、涉 水景观等的满意程度，采用公众调查方法评价。</w:t>
            </w:r>
          </w:p>
          <w:p>
            <w:pPr>
              <w:pStyle w:val="null3"/>
              <w:jc w:val="both"/>
            </w:pPr>
            <w:r>
              <w:rPr>
                <w:rFonts w:ascii="仿宋_GB2312" w:hAnsi="仿宋_GB2312" w:cs="仿宋_GB2312" w:eastAsia="仿宋_GB2312"/>
                <w:sz w:val="21"/>
              </w:rPr>
              <w:t>最终形成牧马河、峡河、白勉峡河</w:t>
            </w:r>
            <w:r>
              <w:rPr>
                <w:rFonts w:ascii="仿宋_GB2312" w:hAnsi="仿宋_GB2312" w:cs="仿宋_GB2312" w:eastAsia="仿宋_GB2312"/>
                <w:sz w:val="21"/>
              </w:rPr>
              <w:t>3</w:t>
            </w:r>
            <w:r>
              <w:rPr>
                <w:rFonts w:ascii="仿宋_GB2312" w:hAnsi="仿宋_GB2312" w:cs="仿宋_GB2312" w:eastAsia="仿宋_GB2312"/>
                <w:sz w:val="21"/>
              </w:rPr>
              <w:t>条河流健康评价报告及附件。</w:t>
            </w:r>
          </w:p>
          <w:p>
            <w:pPr>
              <w:pStyle w:val="null3"/>
              <w:jc w:val="both"/>
            </w:pPr>
            <w:r>
              <w:rPr>
                <w:rFonts w:ascii="仿宋_GB2312" w:hAnsi="仿宋_GB2312" w:cs="仿宋_GB2312" w:eastAsia="仿宋_GB2312"/>
                <w:sz w:val="21"/>
              </w:rPr>
              <w:t>三、工作内容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对河湖健康资料收集；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了解河湖基本情况；</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编写河湖健康评价方案；</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对河流纵向连通、岸线自然状况、河岸带宽度、防洪达标率、水质水量等进行评价。</w:t>
            </w:r>
          </w:p>
          <w:p>
            <w:pPr>
              <w:pStyle w:val="null3"/>
              <w:jc w:val="both"/>
            </w:pPr>
            <w:r>
              <w:rPr>
                <w:rFonts w:ascii="仿宋_GB2312" w:hAnsi="仿宋_GB2312" w:cs="仿宋_GB2312" w:eastAsia="仿宋_GB2312"/>
                <w:sz w:val="21"/>
              </w:rPr>
              <w:t>四、编制依据</w:t>
            </w:r>
          </w:p>
          <w:p>
            <w:pPr>
              <w:pStyle w:val="null3"/>
              <w:jc w:val="both"/>
            </w:pPr>
            <w:r>
              <w:rPr>
                <w:rFonts w:ascii="仿宋_GB2312" w:hAnsi="仿宋_GB2312" w:cs="仿宋_GB2312" w:eastAsia="仿宋_GB2312"/>
                <w:sz w:val="21"/>
              </w:rPr>
              <w:t>按照SL-T793-2020河湖健康评估技术导则；陕西省河湖健康评价指南（试行）2023年6月，并符合国家防洪标准，地表水环境质量标准，水环境监测规范，地表水资源质量评价技术规程等国家现行有关规定。</w:t>
            </w:r>
          </w:p>
          <w:p>
            <w:pPr>
              <w:pStyle w:val="null3"/>
              <w:jc w:val="both"/>
            </w:pPr>
            <w:r>
              <w:rPr>
                <w:rFonts w:ascii="仿宋_GB2312" w:hAnsi="仿宋_GB2312" w:cs="仿宋_GB2312" w:eastAsia="仿宋_GB2312"/>
                <w:sz w:val="21"/>
              </w:rPr>
              <w:t>五、成果要求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、遵循科学性原则、实用性原则、可操作性原则，最终形成牧马河、峡河、白勉峡河</w:t>
            </w:r>
            <w:r>
              <w:rPr>
                <w:rFonts w:ascii="仿宋_GB2312" w:hAnsi="仿宋_GB2312" w:cs="仿宋_GB2312" w:eastAsia="仿宋_GB2312"/>
                <w:sz w:val="21"/>
              </w:rPr>
              <w:t>3</w:t>
            </w:r>
            <w:r>
              <w:rPr>
                <w:rFonts w:ascii="仿宋_GB2312" w:hAnsi="仿宋_GB2312" w:cs="仿宋_GB2312" w:eastAsia="仿宋_GB2312"/>
                <w:sz w:val="21"/>
              </w:rPr>
              <w:t>条河流健康评价报告。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执行国家现行行业验收规范，质量达到合格标准，并通过相关部门的审核和甲方组织的验收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进度款，甲方收到乙方成果报告后，达到付款条件起10个工作日内，支付合同总金额的70.0%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遵照签订的合同条款执</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供应商应具备工程设计水利行业乙级（含乙级）及以上资质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磋商须提供《法定代表人身份证明》及身份证扫描件；法定代表人授权他人参加磋商，须提供《法定代表人授权委托书》、委托代理人身份证扫描件；(提供加盖供应商公章的法定代表人身份证明原件和其身份证扫描件或法定代表人授权委托书原件及被授权人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项目负责人具有水利专业相关中级及以上职称</w:t>
            </w:r>
          </w:p>
        </w:tc>
        <w:tc>
          <w:tcPr>
            <w:tcW w:type="dxa" w:w="1661"/>
          </w:tcPr>
          <w:p>
            <w:pPr>
              <w:pStyle w:val="null3"/>
            </w:pPr>
            <w:r>
              <w:rPr>
                <w:rFonts w:ascii="仿宋_GB2312" w:hAnsi="仿宋_GB2312" w:cs="仿宋_GB2312" w:eastAsia="仿宋_GB2312"/>
              </w:rPr>
              <w:t>供应商应提交的相关资格证明材料.docx 人员配置表.docx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竞争性磋商响应文件的编写</w:t>
            </w:r>
          </w:p>
        </w:tc>
        <w:tc>
          <w:tcPr>
            <w:tcW w:type="dxa" w:w="3322"/>
          </w:tcPr>
          <w:p>
            <w:pPr>
              <w:pStyle w:val="null3"/>
            </w:pPr>
            <w:r>
              <w:rPr>
                <w:rFonts w:ascii="仿宋_GB2312" w:hAnsi="仿宋_GB2312" w:cs="仿宋_GB2312" w:eastAsia="仿宋_GB2312"/>
              </w:rPr>
              <w:t>竞争性磋商响应文件的编写是否满足要求；签字、盖章是否有效，字迹是否清晰可辨，编写格式符合竞争性磋商文件要求</w:t>
            </w:r>
          </w:p>
        </w:tc>
        <w:tc>
          <w:tcPr>
            <w:tcW w:type="dxa" w:w="1661"/>
          </w:tcPr>
          <w:p>
            <w:pPr>
              <w:pStyle w:val="null3"/>
            </w:pPr>
            <w:r>
              <w:rPr>
                <w:rFonts w:ascii="仿宋_GB2312" w:hAnsi="仿宋_GB2312" w:cs="仿宋_GB2312" w:eastAsia="仿宋_GB2312"/>
              </w:rPr>
              <w:t>响应文件封面 业绩一览表.docx 供应商应提交的相关资格证明材料.docx 人员配置表.docx 中小企业声明函 残疾人福利性单位声明函 商务应答表 服务内容及服务要求应答表 其他资料.docx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响应文件封面 商务应答表 服务内容及服务要求应答表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针对本项目制订实施方案内容至少包括：①项目基本情况及相关政策解读；②评估体系和调查监测方案等； 二、评审标准 1、完整性：方案必须全面，对评审内容中的各项要求有详细描述； 2、可实施性：切合本项目实际情况，提出步骤清晰、合理的方案； 3、针对性：方案能够紧扣项目实际情况，内容科学合理。 三、赋分标准(满分6分) ①项目基本情况及相关政策解读：每完全满足一个评审标准得1分，满分3分； ②评估体系和调查监测方案：每完全满足一个评审标准得1分，满分3分；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充分考虑汉中市市管的水情、河流特性和河道管理实际，制定开展汉中市市管河流健康评价编制技术大纲，明确评估指标、监测分段、监测点位、监测时段、监测频次、专项调查监测内容、指标评估方法、评估赋分标准、总体评价等方面具体内容。对内业的成果数据制作、数据处理分析、检测评价等工作流程和工作内容，行业规定及要求和对外业调查核实、监测评价等工作流程和工作内容进行全面合理的阐述： 一、评审内容 根据项目实际需求编制技术方案，内容包含①项目任务及目标、②现场勘察调查收集相关资料、监测评价指标等工作流程和工作内容、③勘察成果数据编制、数据处理及分析等工作程序和流程、④问题处理和信息反馈， 二、评审标准 1、完整性：方案必须全面，对评审内容中的各项要求有详细描述； 2、可实施性：切合本项目实际情况，提出步骤清晰、合理的方案； 3、针对性：方案能够紧扣项目实际情况，内容科学合理。 三、赋分标准(满分16.5分) ①项目任务及目标：每完全满足一个评审标准得1.5分，满分4.5分； ②现场勘察调查收集相关资料、监测评价指标等工作流程和工作内容：每完全满足一个评审标准得1.5分，满分4.5分；③勘察成果数据编制、数据处理及分析等工作程序和流程：每完全满足一个评审标准得1.5分，满分4.5分；④问题处理和信息反馈：每完全满足一个评审标准得1分，满分3分； 未提供的不得分。</w:t>
            </w:r>
          </w:p>
        </w:tc>
        <w:tc>
          <w:tcPr>
            <w:tcW w:type="dxa" w:w="831"/>
          </w:tcPr>
          <w:p>
            <w:pPr>
              <w:pStyle w:val="null3"/>
              <w:jc w:val="right"/>
            </w:pPr>
            <w:r>
              <w:rPr>
                <w:rFonts w:ascii="仿宋_GB2312" w:hAnsi="仿宋_GB2312" w:cs="仿宋_GB2312" w:eastAsia="仿宋_GB2312"/>
              </w:rPr>
              <w:t>16.5000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根据采购要求和响应情况，对供应商提供的组织机构及人员配置进行详细描述具体内容包含①团队人员配备、②投入计划及组织措施、③组织架构、管理制度、服务标准. 二、评审标准 1、完整性：方案必须全面，对评审内容中的各项要求有详细描述； 2、可实施性：切合本项目实际情况，提出步骤清晰、合理的方案； 3、针对性：方案能够紧扣项目实际情况，内容科学合理。 三、赋分标准（满分9） ①团队人员配备：每完全满足一个评审标准得1分，满分3分；②投入计划及组织措施：每完全满足一个评审标准得1分，满分3分；③组织架构、管理制度、服务标准：每完全满足一个评审标准得1分，满分3分； 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项目进度方案</w:t>
            </w:r>
          </w:p>
        </w:tc>
        <w:tc>
          <w:tcPr>
            <w:tcW w:type="dxa" w:w="2492"/>
          </w:tcPr>
          <w:p>
            <w:pPr>
              <w:pStyle w:val="null3"/>
            </w:pPr>
            <w:r>
              <w:rPr>
                <w:rFonts w:ascii="仿宋_GB2312" w:hAnsi="仿宋_GB2312" w:cs="仿宋_GB2312" w:eastAsia="仿宋_GB2312"/>
              </w:rPr>
              <w:t>一、评审内容 根据采购要求和响应情况，对供应商提供的项目进度方案进行评价,包含：①进度保障措施②基础工作阶段、报告编制阶段、报审阶段的进度安排；③确保进度的管理措施，④仪器设备投入计划等： 二、评审标准 1、完整性：方案必须全面，对评审内容中的各项要求有详细描述； 2、可实施性：切合本项目实际情况，提出步骤清晰、合理的方案； 3、针对性：方案能够紧扣项目实际情况，内容科学合理。 三、赋分标准（满分16.5） ①进度保障措施：每完全满足一个评审标准得1.5分，满分4.5分；②基础工作阶段、报告编制阶段、报审阶段的进度安排：每完全满足一个评审标准得2分，满分6分；③确保进度的管理措施：每完全满足一个评审标准得1分，满分3分；④仪器设备投入计划：每完全满足一个评审标准得1分，满分3分； 未提供的不得分。</w:t>
            </w:r>
          </w:p>
        </w:tc>
        <w:tc>
          <w:tcPr>
            <w:tcW w:type="dxa" w:w="831"/>
          </w:tcPr>
          <w:p>
            <w:pPr>
              <w:pStyle w:val="null3"/>
              <w:jc w:val="right"/>
            </w:pPr>
            <w:r>
              <w:rPr>
                <w:rFonts w:ascii="仿宋_GB2312" w:hAnsi="仿宋_GB2312" w:cs="仿宋_GB2312" w:eastAsia="仿宋_GB2312"/>
              </w:rPr>
              <w:t>16.5000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质量保证及应急方案</w:t>
            </w:r>
          </w:p>
        </w:tc>
        <w:tc>
          <w:tcPr>
            <w:tcW w:type="dxa" w:w="2492"/>
          </w:tcPr>
          <w:p>
            <w:pPr>
              <w:pStyle w:val="null3"/>
            </w:pPr>
            <w:r>
              <w:rPr>
                <w:rFonts w:ascii="仿宋_GB2312" w:hAnsi="仿宋_GB2312" w:cs="仿宋_GB2312" w:eastAsia="仿宋_GB2312"/>
              </w:rPr>
              <w:t>一、评审内容 根据采购要求和响应情况，对供应商提供的质量保证方案进行评价,包含：①项目全过程的质量保证与质量控制措施，②应急保障预案等 二、评审标准 1、完整性：方案必须全面，对评审内容中的各项要求有详细描述； 2、可实施性：切合本项目实际情况，提出步骤清晰、合理的方案； 3、针对性：方案能够紧扣项目实际情况，内容科学合理。 三、赋分标准（满分6分）①项目全过程的质量保证与质量控制措施：每完全满足一个评审标准得1分，满分3分；②应急保障预案：②应急保障预案：每完全满足一个评审标准得1分，满分3分；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服务承诺及配合计划</w:t>
            </w:r>
          </w:p>
        </w:tc>
        <w:tc>
          <w:tcPr>
            <w:tcW w:type="dxa" w:w="2492"/>
          </w:tcPr>
          <w:p>
            <w:pPr>
              <w:pStyle w:val="null3"/>
            </w:pPr>
            <w:r>
              <w:rPr>
                <w:rFonts w:ascii="仿宋_GB2312" w:hAnsi="仿宋_GB2312" w:cs="仿宋_GB2312" w:eastAsia="仿宋_GB2312"/>
              </w:rPr>
              <w:t>一、评审内容 针对本项目有明确的服务承诺，在编制评价成果及方案至提交的过程中符合国家及采购人要求，并提供服务承诺和保证措施，出具的成果符合相关技术规范、规程要求，按管理要求完成各类备案，接受采购人组织的项目验收，并承担相应法律责任。 根据采购要求和响应情况，对供应商提供的服务承诺方案进行评价,①服务承诺（包含数据保密与安全措施），②后期服务配合计划，③配合采购人提供相应的规范文本及相关材料、报批等相关工作 二、评审标准 1、完整性：必须全面，对评审内容中的各项要求有详细描述； 2、可实施性：切合本项目实际情况，提出步骤清晰、合理的方案； 3、针对性：方案能够紧扣项目实际情况，内容科学合理。 三、赋分标准（满分15分）①服务承诺：每完全满足一个评审标准得2分，满分6分；②后期服务配合计划：每完全满足一个评审标准得2分，满分6分；③配合采购人提供相应的规范文本及相关材料、报批等相关工作：每完全满足一个评审标准得1分，满分3分； 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 根据采购要求和响应情况，对供应商提供的重难点分析方案进行评价,包含：①对项目内容及要求的理解情况，②本项目重点、难点工作分析，③对关键步骤、环节的合理建议。 二、评审标准 1、完整性：必须全面，对评审内容中的各项要求有详细描述； 2、可实施性：切合本项目实际情况，提出步骤清晰、合理的方案； 3、针对性：方案能够紧扣项目实际情况，内容科学合理。 三、赋分标准（满分9分）①对项目内容及要求的理解情况：每完全满足一个评审标准得1分，满分3分；②本项目重点、难点工作分析：每完全满足一个评审标准得1分，满分3分；③对关键步骤、环节的合理建议：每完全满足一个评审标准得1分，满分3分； 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.项目负责人、技术负责人</w:t>
            </w:r>
          </w:p>
        </w:tc>
        <w:tc>
          <w:tcPr>
            <w:tcW w:type="dxa" w:w="2492"/>
          </w:tcPr>
          <w:p>
            <w:pPr>
              <w:pStyle w:val="null3"/>
            </w:pPr>
            <w:r>
              <w:rPr>
                <w:rFonts w:ascii="仿宋_GB2312" w:hAnsi="仿宋_GB2312" w:cs="仿宋_GB2312" w:eastAsia="仿宋_GB2312"/>
              </w:rPr>
              <w:t>项目负责人、技术负责人:(4分)供应商拟派项目负责人和技术负责人具有水利工程相关专业高级职称，每人得2分,最高得4分;中级职称，每人得1分,最高得2分.未提供的不得分。(须提供相关职称证书复印件加盖公章)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人员配置表.docx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提供2023年7月1日-2026年7月1日类似项目业绩,每提供一个有效业绩计3分，本项最高得3分。（时间以中标通知书和合同时间为准，须在响应文件中附项目业绩中标通知书和签约合同的扫描件加盖单位公章）。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经初审合格的磋商文件，其磋商报价为有效投标价。 评标基准价：即满足磋商文件要求且投标价格最低的投标报价为评标基准价。 其他供应商的价格分统一按照下列公式计算。投标报价得分=(评标基准价／磋商报价)×15×100％(分值保留小数点后2位)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详见附件：人员配置表.docx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