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版本号：LWQZFCG2026-00620260702001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临渭区学校科学探究实验室配置项目(第二批)设备采购项目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LWQZFCG2026-006</w:t>
      </w:r>
      <w:r>
        <w:br/>
      </w:r>
      <w:r>
        <w:br/>
      </w:r>
      <w:r>
        <w:br/>
      </w:r>
    </w:p>
    <w:p>
      <w:pPr>
        <w:pStyle w:val="null3"/>
        <w:jc w:val="center"/>
        <w:outlineLvl w:val="2"/>
      </w:pPr>
      <w:r>
        <w:rPr>
          <w:rFonts w:ascii="仿宋_GB2312" w:hAnsi="仿宋_GB2312" w:cs="仿宋_GB2312" w:eastAsia="仿宋_GB2312"/>
          <w:sz w:val="28"/>
          <w:b/>
        </w:rPr>
        <w:t>渭南市临渭区教育体育局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渭南市临渭区教育体育局</w:t>
      </w:r>
      <w:r>
        <w:rPr>
          <w:rFonts w:ascii="仿宋_GB2312" w:hAnsi="仿宋_GB2312" w:cs="仿宋_GB2312" w:eastAsia="仿宋_GB2312"/>
        </w:rPr>
        <w:t>委托，拟对</w:t>
      </w:r>
      <w:r>
        <w:rPr>
          <w:rFonts w:ascii="仿宋_GB2312" w:hAnsi="仿宋_GB2312" w:cs="仿宋_GB2312" w:eastAsia="仿宋_GB2312"/>
        </w:rPr>
        <w:t>临渭区学校科学探究实验室配置项目(第二批)设备采购项目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LWQZFCG2026-006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临渭区学校科学探究实验室配置项目(第二批)设备采购项目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构建覆盖临渭区部分公办高中、城区中小学的现代化科学教育探究实验室体系。提升办学条件，提高教学质量，保障教育教学工作正常开展。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3、税收缴纳凭证：提供投标截止日近半年内任意一月的纳税凭据或完税证明，依法免税的应提供相关证明材料</w:t>
      </w:r>
    </w:p>
    <w:p>
      <w:pPr>
        <w:pStyle w:val="null3"/>
      </w:pPr>
      <w:r>
        <w:rPr>
          <w:rFonts w:ascii="仿宋_GB2312" w:hAnsi="仿宋_GB2312" w:cs="仿宋_GB2312" w:eastAsia="仿宋_GB2312"/>
        </w:rPr>
        <w:t>4、社会保险缴纳凭证：提供投标截止日近半年内任意一月的社会保障资金缴存单据或社保机构开具的社会保险参保缴费情况证明，依法不需要缴纳社会保障资金的应提供相关证明材料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6、书面声明：参加政府采购活动前三年内，在经营活动中没有重大违法记录的书面声明</w:t>
      </w:r>
    </w:p>
    <w:p>
      <w:pPr>
        <w:pStyle w:val="null3"/>
      </w:pPr>
      <w:r>
        <w:rPr>
          <w:rFonts w:ascii="仿宋_GB2312" w:hAnsi="仿宋_GB2312" w:cs="仿宋_GB2312" w:eastAsia="仿宋_GB2312"/>
        </w:rPr>
        <w:t>7、授权委托书：法定代表人授权书（附法定代表人、被授权人身份证复印件及被授权人开标前三个月内任意一个月在本单位的社保缴纳证明），法定代表人直接参加投标，须提供法定代表人身份证明</w:t>
      </w:r>
    </w:p>
    <w:p>
      <w:pPr>
        <w:pStyle w:val="null3"/>
      </w:pPr>
      <w:r>
        <w:rPr>
          <w:rFonts w:ascii="仿宋_GB2312" w:hAnsi="仿宋_GB2312" w:cs="仿宋_GB2312" w:eastAsia="仿宋_GB2312"/>
        </w:rPr>
        <w:t>8、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渭南市西四路南段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0913-2669032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临渭区财政局乐天大街123号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渭南市临渭区财政局政府采购管理股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临渭区财政局采购管理股经办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采购包1：377,654.00元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编程交互平台</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渭南市临渭区教育体育局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渭南市临渭区教育体育局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渭南市临渭区教育体育局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临渭区政府采购中心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乙方保证合同所有设备是全新的（包括零部件），其规格参数及配件不低于（符合）本项目招标文件和投标响应文件的要求。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渭南市临渭区教育体育局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地址：渭南市临渭区乐天大街123号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构建覆盖临渭区部分公办高中、城区中小学的现代化科学教育探究实验室体系。提升办学条件，提高教学质量，保障教育教学工作正常开展。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377,654.00</w:t>
      </w:r>
    </w:p>
    <w:p>
      <w:pPr>
        <w:pStyle w:val="null3"/>
      </w:pPr>
      <w:r>
        <w:rPr>
          <w:rFonts w:ascii="仿宋_GB2312" w:hAnsi="仿宋_GB2312" w:cs="仿宋_GB2312" w:eastAsia="仿宋_GB2312"/>
        </w:rPr>
        <w:t>采购包最高限价（元）: 377,654.00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3D打印机</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76,800.00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边柜（重型工作台）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编程交互平台</w:t>
            </w:r>
          </w:p>
        </w:tc>
        <w:tc>
          <w:tcPr>
            <w:tcW w:type="dxa" w:w="755"/>
          </w:tcPr>
          <w:p>
            <w:pPr>
              <w:pStyle w:val="null3"/>
              <w:jc w:val="right"/>
            </w:pPr>
            <w:r>
              <w:rPr>
                <w:rFonts w:ascii="仿宋_GB2312" w:hAnsi="仿宋_GB2312" w:cs="仿宋_GB2312" w:eastAsia="仿宋_GB2312"/>
              </w:rPr>
              <w:t>46.00</w:t>
            </w:r>
          </w:p>
        </w:tc>
        <w:tc>
          <w:tcPr>
            <w:tcW w:type="dxa" w:w="755"/>
          </w:tcPr>
          <w:p>
            <w:pPr>
              <w:pStyle w:val="null3"/>
              <w:jc w:val="right"/>
            </w:pPr>
            <w:r>
              <w:rPr>
                <w:rFonts w:ascii="仿宋_GB2312" w:hAnsi="仿宋_GB2312" w:cs="仿宋_GB2312" w:eastAsia="仿宋_GB2312"/>
              </w:rPr>
              <w:t>197,754.00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多媒体讲台</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12,500.00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教师工作椅</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2,000.00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实验凳</w:t>
            </w:r>
          </w:p>
        </w:tc>
        <w:tc>
          <w:tcPr>
            <w:tcW w:type="dxa" w:w="755"/>
          </w:tcPr>
          <w:p>
            <w:pPr>
              <w:pStyle w:val="null3"/>
              <w:jc w:val="right"/>
            </w:pPr>
            <w:r>
              <w:rPr>
                <w:rFonts w:ascii="仿宋_GB2312" w:hAnsi="仿宋_GB2312" w:cs="仿宋_GB2312" w:eastAsia="仿宋_GB2312"/>
              </w:rPr>
              <w:t>180.00</w:t>
            </w:r>
          </w:p>
        </w:tc>
        <w:tc>
          <w:tcPr>
            <w:tcW w:type="dxa" w:w="755"/>
          </w:tcPr>
          <w:p>
            <w:pPr>
              <w:pStyle w:val="null3"/>
              <w:jc w:val="right"/>
            </w:pPr>
            <w:r>
              <w:rPr>
                <w:rFonts w:ascii="仿宋_GB2312" w:hAnsi="仿宋_GB2312" w:cs="仿宋_GB2312" w:eastAsia="仿宋_GB2312"/>
              </w:rPr>
              <w:t>21,600.00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实验工作台</w:t>
            </w:r>
          </w:p>
        </w:tc>
        <w:tc>
          <w:tcPr>
            <w:tcW w:type="dxa" w:w="755"/>
          </w:tcPr>
          <w:p>
            <w:pPr>
              <w:pStyle w:val="null3"/>
              <w:jc w:val="right"/>
            </w:pPr>
            <w:r>
              <w:rPr>
                <w:rFonts w:ascii="仿宋_GB2312" w:hAnsi="仿宋_GB2312" w:cs="仿宋_GB2312" w:eastAsia="仿宋_GB2312"/>
              </w:rPr>
              <w:t>30.00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智慧交通展示台</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标的名称：3D打印机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一、设备定位</w:t>
            </w:r>
          </w:p>
          <w:p>
            <w:pPr>
              <w:pStyle w:val="null3"/>
              <w:jc w:val="left"/>
            </w:pPr>
            <w:r>
              <w:rPr>
                <w:rFonts w:ascii="仿宋_GB2312" w:hAnsi="仿宋_GB2312" w:cs="仿宋_GB2312" w:eastAsia="仿宋_GB2312"/>
                <w:sz w:val="21"/>
                <w:color w:val="000000"/>
              </w:rPr>
              <w:t>本设备为中小学创客教育、</w:t>
            </w:r>
            <w:r>
              <w:rPr>
                <w:rFonts w:ascii="仿宋_GB2312" w:hAnsi="仿宋_GB2312" w:cs="仿宋_GB2312" w:eastAsia="仿宋_GB2312"/>
                <w:sz w:val="21"/>
                <w:color w:val="000000"/>
              </w:rPr>
              <w:t>STEM 教学配套的桌面级 3D 打印机，适配中小学三维设计、创意制作、工程实践等教学场景，支持学生完成模型设计、打印制作、创意实现的完整实践流程，培养学生创新思维与动手实践能力。</w:t>
            </w:r>
          </w:p>
          <w:p>
            <w:pPr>
              <w:pStyle w:val="null3"/>
              <w:jc w:val="left"/>
            </w:pPr>
            <w:r>
              <w:rPr>
                <w:rFonts w:ascii="仿宋_GB2312" w:hAnsi="仿宋_GB2312" w:cs="仿宋_GB2312" w:eastAsia="仿宋_GB2312"/>
                <w:sz w:val="21"/>
                <w:color w:val="000000"/>
              </w:rPr>
              <w:t>二、核心技术参数</w:t>
            </w:r>
          </w:p>
          <w:p>
            <w:pPr>
              <w:pStyle w:val="null3"/>
              <w:jc w:val="left"/>
            </w:pPr>
            <w:r>
              <w:rPr>
                <w:rFonts w:ascii="仿宋_GB2312" w:hAnsi="仿宋_GB2312" w:cs="仿宋_GB2312" w:eastAsia="仿宋_GB2312"/>
                <w:sz w:val="21"/>
                <w:color w:val="000000"/>
              </w:rPr>
              <w:t>成型技术：熔融沉积成型（</w:t>
            </w:r>
            <w:r>
              <w:rPr>
                <w:rFonts w:ascii="仿宋_GB2312" w:hAnsi="仿宋_GB2312" w:cs="仿宋_GB2312" w:eastAsia="仿宋_GB2312"/>
                <w:sz w:val="21"/>
                <w:color w:val="000000"/>
              </w:rPr>
              <w:t>FDM）。</w:t>
            </w:r>
          </w:p>
          <w:p>
            <w:pPr>
              <w:pStyle w:val="null3"/>
              <w:jc w:val="left"/>
            </w:pPr>
            <w:r>
              <w:rPr>
                <w:rFonts w:ascii="仿宋_GB2312" w:hAnsi="仿宋_GB2312" w:cs="仿宋_GB2312" w:eastAsia="仿宋_GB2312"/>
                <w:sz w:val="21"/>
                <w:color w:val="000000"/>
              </w:rPr>
              <w:t>机身结构：采用金属框架结构，外壳配备安全防护设计，结构稳固耐用；成型尺寸（长</w:t>
            </w:r>
            <w:r>
              <w:rPr>
                <w:rFonts w:ascii="仿宋_GB2312" w:hAnsi="仿宋_GB2312" w:cs="仿宋_GB2312" w:eastAsia="仿宋_GB2312"/>
                <w:sz w:val="21"/>
                <w:color w:val="000000"/>
              </w:rPr>
              <w:t>× 宽 × 高）≥256mm×256mm×256mm，满足中小学创客教学的常规打印需求；整机尺寸与重量适配教室桌面摆放与移动搬运。</w:t>
            </w:r>
          </w:p>
          <w:p>
            <w:pPr>
              <w:pStyle w:val="null3"/>
              <w:jc w:val="left"/>
            </w:pPr>
            <w:r>
              <w:rPr>
                <w:rFonts w:ascii="仿宋_GB2312" w:hAnsi="仿宋_GB2312" w:cs="仿宋_GB2312" w:eastAsia="仿宋_GB2312"/>
                <w:sz w:val="21"/>
                <w:color w:val="000000"/>
              </w:rPr>
              <w:t>打印头：采用全金属热端、金属挤出齿轮与不锈钢喷嘴，喷嘴最高温度</w:t>
            </w:r>
            <w:r>
              <w:rPr>
                <w:rFonts w:ascii="仿宋_GB2312" w:hAnsi="仿宋_GB2312" w:cs="仿宋_GB2312" w:eastAsia="仿宋_GB2312"/>
                <w:sz w:val="21"/>
                <w:color w:val="000000"/>
              </w:rPr>
              <w:t>≥300℃；标配 0.4mm 喷嘴，支持 0.2mm、0.6mm、0.8mm 等多规格喷嘴选配，适配不同精度与场景的打印需求。</w:t>
            </w:r>
          </w:p>
          <w:p>
            <w:pPr>
              <w:pStyle w:val="null3"/>
              <w:jc w:val="left"/>
            </w:pPr>
            <w:r>
              <w:rPr>
                <w:rFonts w:ascii="仿宋_GB2312" w:hAnsi="仿宋_GB2312" w:cs="仿宋_GB2312" w:eastAsia="仿宋_GB2312"/>
                <w:sz w:val="21"/>
                <w:color w:val="000000"/>
              </w:rPr>
              <w:t>热床系统：配备加热打印平台，标配耐磨纹理打印面板，热床最高温度</w:t>
            </w:r>
            <w:r>
              <w:rPr>
                <w:rFonts w:ascii="仿宋_GB2312" w:hAnsi="仿宋_GB2312" w:cs="仿宋_GB2312" w:eastAsia="仿宋_GB2312"/>
                <w:sz w:val="21"/>
                <w:color w:val="000000"/>
              </w:rPr>
              <w:t>≥100℃，支持多种打印材料的牢固附着；支持不同类型打印面板选配，适配多场景教学使用需求。</w:t>
            </w:r>
          </w:p>
          <w:p>
            <w:pPr>
              <w:pStyle w:val="null3"/>
              <w:jc w:val="left"/>
            </w:pPr>
            <w:r>
              <w:rPr>
                <w:rFonts w:ascii="仿宋_GB2312" w:hAnsi="仿宋_GB2312" w:cs="仿宋_GB2312" w:eastAsia="仿宋_GB2312"/>
                <w:sz w:val="21"/>
                <w:color w:val="000000"/>
              </w:rPr>
              <w:t>打印性能：打印速度适配中小学教学常规需求，具备稳定的打印精度与成型质量，支持快速打印模式，可提升教学效率；配备流量控制与运动优化算法，保障打印过程稳定顺畅。</w:t>
            </w:r>
          </w:p>
          <w:p>
            <w:pPr>
              <w:pStyle w:val="null3"/>
              <w:jc w:val="left"/>
            </w:pPr>
            <w:r>
              <w:rPr>
                <w:rFonts w:ascii="仿宋_GB2312" w:hAnsi="仿宋_GB2312" w:cs="仿宋_GB2312" w:eastAsia="仿宋_GB2312"/>
                <w:sz w:val="21"/>
                <w:color w:val="000000"/>
              </w:rPr>
              <w:t>耗材兼容：支持多种常用</w:t>
            </w:r>
            <w:r>
              <w:rPr>
                <w:rFonts w:ascii="仿宋_GB2312" w:hAnsi="仿宋_GB2312" w:cs="仿宋_GB2312" w:eastAsia="仿宋_GB2312"/>
                <w:sz w:val="21"/>
                <w:color w:val="000000"/>
              </w:rPr>
              <w:t>3D 打印耗材，至少包括 PLA、PETG、TPU、ABS、尼龙（PA）、聚碳酸酯（PC）等材料，适配不同教学场景的打印需求；配备易剥离支撑方案，支撑去除便捷，降低后处理难度。</w:t>
            </w:r>
          </w:p>
          <w:p>
            <w:pPr>
              <w:pStyle w:val="null3"/>
              <w:jc w:val="left"/>
            </w:pPr>
            <w:r>
              <w:rPr>
                <w:rFonts w:ascii="仿宋_GB2312" w:hAnsi="仿宋_GB2312" w:cs="仿宋_GB2312" w:eastAsia="仿宋_GB2312"/>
                <w:sz w:val="21"/>
                <w:color w:val="000000"/>
              </w:rPr>
              <w:t>冷却系统：内置冷却风扇系统，可保障打印模型、机箱内部与主板的散热效果，确保设备长时间稳定运行。</w:t>
            </w:r>
          </w:p>
          <w:p>
            <w:pPr>
              <w:pStyle w:val="null3"/>
              <w:jc w:val="left"/>
            </w:pPr>
            <w:r>
              <w:rPr>
                <w:rFonts w:ascii="仿宋_GB2312" w:hAnsi="仿宋_GB2312" w:cs="仿宋_GB2312" w:eastAsia="仿宋_GB2312"/>
                <w:sz w:val="21"/>
                <w:color w:val="000000"/>
              </w:rPr>
              <w:t>实用功能：配备机箱监控摄像头，支持打印过程实时查看与延时摄影功能；支持断料检测与断电续打功能，打印异常时可及时提醒，断电恢复后可接续打印，减少材料浪费与教学中断。</w:t>
            </w:r>
          </w:p>
          <w:p>
            <w:pPr>
              <w:pStyle w:val="null3"/>
              <w:jc w:val="left"/>
            </w:pPr>
            <w:r>
              <w:rPr>
                <w:rFonts w:ascii="仿宋_GB2312" w:hAnsi="仿宋_GB2312" w:cs="仿宋_GB2312" w:eastAsia="仿宋_GB2312"/>
                <w:sz w:val="21"/>
                <w:color w:val="000000"/>
              </w:rPr>
              <w:t>操控方式：配备操作显示屏，支持</w:t>
            </w:r>
            <w:r>
              <w:rPr>
                <w:rFonts w:ascii="仿宋_GB2312" w:hAnsi="仿宋_GB2312" w:cs="仿宋_GB2312" w:eastAsia="仿宋_GB2312"/>
                <w:sz w:val="21"/>
                <w:color w:val="000000"/>
              </w:rPr>
              <w:t>Wi-Fi、蓝牙通信；支持本机按键、手机端 APP、电脑端软件三种操控方式，可实现远程操控与打印状态监控，适配课堂教学的多场景使用需求。</w:t>
            </w:r>
          </w:p>
          <w:p>
            <w:pPr>
              <w:pStyle w:val="null3"/>
              <w:jc w:val="left"/>
            </w:pPr>
            <w:r>
              <w:rPr>
                <w:rFonts w:ascii="仿宋_GB2312" w:hAnsi="仿宋_GB2312" w:cs="仿宋_GB2312" w:eastAsia="仿宋_GB2312"/>
                <w:sz w:val="21"/>
                <w:color w:val="000000"/>
              </w:rPr>
              <w:t>健康监测：配备设备健康监测系统，可实时监控整机运行状态，包括硬件连接、机械运行、打印过程异常等情况；出现异常时可通过屏幕、软件端推送提醒，每个异常状态均有对应说明与解决方案指引，保障设备稳定运行与教学使用连续性。</w:t>
            </w:r>
          </w:p>
          <w:p>
            <w:pPr>
              <w:pStyle w:val="null3"/>
              <w:jc w:val="left"/>
            </w:pPr>
            <w:r>
              <w:rPr>
                <w:rFonts w:ascii="仿宋_GB2312" w:hAnsi="仿宋_GB2312" w:cs="仿宋_GB2312" w:eastAsia="仿宋_GB2312"/>
                <w:sz w:val="21"/>
                <w:color w:val="000000"/>
              </w:rPr>
              <w:t>三、安全与教学适配要求</w:t>
            </w:r>
          </w:p>
          <w:p>
            <w:pPr>
              <w:pStyle w:val="null3"/>
              <w:jc w:val="left"/>
            </w:pPr>
            <w:r>
              <w:rPr>
                <w:rFonts w:ascii="仿宋_GB2312" w:hAnsi="仿宋_GB2312" w:cs="仿宋_GB2312" w:eastAsia="仿宋_GB2312"/>
                <w:sz w:val="21"/>
                <w:color w:val="000000"/>
              </w:rPr>
              <w:t>安全防护：设备具备高温部件防护、运动部件防护等安全设计，符合中小学教学设备安全规范；无外露危险部件，适配学生操作使用。</w:t>
            </w:r>
          </w:p>
          <w:p>
            <w:pPr>
              <w:pStyle w:val="null3"/>
              <w:jc w:val="left"/>
            </w:pPr>
            <w:r>
              <w:rPr>
                <w:rFonts w:ascii="仿宋_GB2312" w:hAnsi="仿宋_GB2312" w:cs="仿宋_GB2312" w:eastAsia="仿宋_GB2312"/>
                <w:sz w:val="21"/>
                <w:color w:val="000000"/>
              </w:rPr>
              <w:t>教学配套：配套基础教学资源与操作指引，支持快速上手使用；设备运行噪音适配教室教学环境，不影响正常课堂秩序。</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标的名称：边柜（重型工作台）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边柜外形尺寸：长</w:t>
            </w:r>
            <w:r>
              <w:rPr>
                <w:rFonts w:ascii="仿宋_GB2312" w:hAnsi="仿宋_GB2312" w:cs="仿宋_GB2312" w:eastAsia="仿宋_GB2312"/>
                <w:sz w:val="21"/>
                <w:color w:val="000000"/>
              </w:rPr>
              <w:t>≥2400mm、宽≥700mm、高≥850mm，可根据现场安装需求做适配调整，整体安装后稳固平整。 台面采用厚度≥12.7mm 的实验室专用双面膜实芯理化板，具备耐腐蚀、抗菌、耐磨、防火、防静电、耐热、抗污的基础性能，各项性能满足以下标准要求：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化学性能：依据</w:t>
            </w:r>
            <w:r>
              <w:rPr>
                <w:rFonts w:ascii="仿宋_GB2312" w:hAnsi="仿宋_GB2312" w:cs="仿宋_GB2312" w:eastAsia="仿宋_GB2312"/>
                <w:sz w:val="21"/>
                <w:color w:val="000000"/>
              </w:rPr>
              <w:t>GB/T 17657-2022《人造板及饰面人造板理化性能试验方法》标准，对 65% 硝酸、98% 硫酸、氢氧化钾、柠檬酸、甲基橙、间二甲苯等常用实验室试剂的耐污染性能达到 5 级，无明显变化。</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物理性能：依据</w:t>
            </w:r>
            <w:r>
              <w:rPr>
                <w:rFonts w:ascii="仿宋_GB2312" w:hAnsi="仿宋_GB2312" w:cs="仿宋_GB2312" w:eastAsia="仿宋_GB2312"/>
                <w:sz w:val="21"/>
                <w:color w:val="000000"/>
              </w:rPr>
              <w:t>GB/T 17657-2022 标准，含水率符合产品标准要求，吸水厚度膨胀率≤0.5%；板面握螺钉力≥3000N；表面耐冷热循环性能达标，无裂纹及鼓泡；浸渍剥离性能达标，贴面层与基材之间的胶层无剥离和分层现象；表面耐划痕性能达标，4.5N 作用下无连续划痕；表面耐磨性能≥1000 转，未出现磨损点。 （3）环保性能：台面依据 GB 18580-2017《室内装饰装修材料人造板及其制品中甲醛释放限量》标准，满足 E1 级环保要求；可迁移有害元素符合 GB 18584-2024《家具中有害物质限量》标准要求。 （4）抗菌性能：依据 JC/T2039-2010 标准，对大肠杆菌、金黄色葡萄球菌、肺炎克雷伯氏菌等常见菌种的抗菌率≥90%。 （5）防霉性能：依据 JC/T2039-2010 标准，防霉等级达到 1 级及以上。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6）燃烧性能：依据 GB 8624-2012《建筑材料及制品燃烧性能分级》标准，燃烧性能达到 B1 级及以上，烟气毒性等级达到 t1 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7）抗老化性能：依据 GB/T24508-2020 标准，经 48 小时老化测试后无开裂、无鼓泡、无粉化。</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台身为铝木结构，钢制部件表面经静电喷塑处理，防腐防锈；主体立柱采用直径</w:t>
            </w:r>
            <w:r>
              <w:rPr>
                <w:rFonts w:ascii="仿宋_GB2312" w:hAnsi="仿宋_GB2312" w:cs="仿宋_GB2312" w:eastAsia="仿宋_GB2312"/>
                <w:sz w:val="21"/>
                <w:color w:val="000000"/>
              </w:rPr>
              <w:t>≥40mm 的钢制圆管，横连接杆采用边长≥20mm 的钢制方管，管材壁厚均≥1.2mm；台身板采用厚度≥16mm 的三聚氰胺双贴面密度板，板材环保等级符合 GB 18580-2017 标准 E1 级要求；板材裁切面采用 PVC 封边条封边处理，封边平整严密、无脱胶漏边，封边质量符合 GB/T 3324-2017 相关标准要求。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塑料连接件采用</w:t>
            </w:r>
            <w:r>
              <w:rPr>
                <w:rFonts w:ascii="仿宋_GB2312" w:hAnsi="仿宋_GB2312" w:cs="仿宋_GB2312" w:eastAsia="仿宋_GB2312"/>
                <w:sz w:val="21"/>
                <w:color w:val="000000"/>
              </w:rPr>
              <w:t>ABS 材质制作，连接结构安全稳固，可与框架管材紧密配合，无松动异响；脚垫采用 ABS 工程塑料材质，支持高度微调，具备防滑、降噪、保护地面的功能；整体结构牢固稳定，外观简洁规整。</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标的名称：编程交互平台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处理器：核心数</w:t>
            </w:r>
            <w:r>
              <w:rPr>
                <w:rFonts w:ascii="仿宋_GB2312" w:hAnsi="仿宋_GB2312" w:cs="仿宋_GB2312" w:eastAsia="仿宋_GB2312"/>
                <w:sz w:val="21"/>
                <w:color w:val="000000"/>
              </w:rPr>
              <w:t>≥6 核，线程数≥8 线程，最大睿频≥4.0GHz，三级缓存≥8MB</w:t>
            </w:r>
            <w:r>
              <w:rPr>
                <w:rFonts w:ascii="仿宋_GB2312" w:hAnsi="仿宋_GB2312" w:cs="仿宋_GB2312" w:eastAsia="仿宋_GB2312"/>
                <w:sz w:val="21"/>
                <w:color w:val="000000"/>
              </w:rPr>
              <w:t>；</w:t>
            </w:r>
            <w:r>
              <w:rPr>
                <w:rFonts w:ascii="仿宋_GB2312" w:hAnsi="仿宋_GB2312" w:cs="仿宋_GB2312" w:eastAsia="仿宋_GB2312"/>
                <w:sz w:val="21"/>
                <w:color w:val="000000"/>
              </w:rPr>
              <w:t>不</w:t>
            </w:r>
            <w:r>
              <w:rPr>
                <w:rFonts w:ascii="仿宋_GB2312" w:hAnsi="仿宋_GB2312" w:cs="仿宋_GB2312" w:eastAsia="仿宋_GB2312"/>
                <w:sz w:val="21"/>
                <w:color w:val="000000"/>
              </w:rPr>
              <w:t>限定具体型号。</w:t>
            </w:r>
          </w:p>
          <w:p>
            <w:pPr>
              <w:pStyle w:val="null3"/>
              <w:jc w:val="left"/>
            </w:pPr>
            <w:r>
              <w:rPr>
                <w:rFonts w:ascii="仿宋_GB2312" w:hAnsi="仿宋_GB2312" w:cs="仿宋_GB2312" w:eastAsia="仿宋_GB2312"/>
                <w:sz w:val="21"/>
                <w:color w:val="000000"/>
              </w:rPr>
              <w:t>显卡：配置集成核心显卡，显卡性能满足日常编程开发、多媒体教学、</w:t>
            </w:r>
            <w:r>
              <w:rPr>
                <w:rFonts w:ascii="仿宋_GB2312" w:hAnsi="仿宋_GB2312" w:cs="仿宋_GB2312" w:eastAsia="仿宋_GB2312"/>
                <w:sz w:val="21"/>
                <w:color w:val="000000"/>
              </w:rPr>
              <w:t>4K 视频输出使用需求；支持高清双屏显示，不限定显卡具体品牌与型号。</w:t>
            </w:r>
          </w:p>
          <w:p>
            <w:pPr>
              <w:pStyle w:val="null3"/>
              <w:jc w:val="left"/>
            </w:pPr>
            <w:r>
              <w:rPr>
                <w:rFonts w:ascii="仿宋_GB2312" w:hAnsi="仿宋_GB2312" w:cs="仿宋_GB2312" w:eastAsia="仿宋_GB2312"/>
                <w:sz w:val="21"/>
                <w:color w:val="000000"/>
              </w:rPr>
              <w:t>内存：内存容量</w:t>
            </w:r>
            <w:r>
              <w:rPr>
                <w:rFonts w:ascii="仿宋_GB2312" w:hAnsi="仿宋_GB2312" w:cs="仿宋_GB2312" w:eastAsia="仿宋_GB2312"/>
                <w:sz w:val="21"/>
                <w:color w:val="000000"/>
              </w:rPr>
              <w:t>≥8GB，内存类型为 DDR4 及以上规格，运行频率≥3200MHz；支持内存容量扩展，最大可扩展容量≥16GB；不限定内存板载 / 插槽的具体结构形式。</w:t>
            </w:r>
          </w:p>
          <w:p>
            <w:pPr>
              <w:pStyle w:val="null3"/>
              <w:jc w:val="left"/>
            </w:pPr>
            <w:r>
              <w:rPr>
                <w:rFonts w:ascii="仿宋_GB2312" w:hAnsi="仿宋_GB2312" w:cs="仿宋_GB2312" w:eastAsia="仿宋_GB2312"/>
                <w:sz w:val="21"/>
                <w:color w:val="000000"/>
              </w:rPr>
              <w:t>存储：配置固态硬盘，容量</w:t>
            </w:r>
            <w:r>
              <w:rPr>
                <w:rFonts w:ascii="仿宋_GB2312" w:hAnsi="仿宋_GB2312" w:cs="仿宋_GB2312" w:eastAsia="仿宋_GB2312"/>
                <w:sz w:val="21"/>
                <w:color w:val="000000"/>
              </w:rPr>
              <w:t>≥512GB，采用 M.2 接口 NVMe 协议，读写速度满足日常编程开发、文件存储、系统运行需求；支持存储容量扩展；不限定硬盘具体物理尺寸、协议代际。</w:t>
            </w:r>
          </w:p>
          <w:p>
            <w:pPr>
              <w:pStyle w:val="null3"/>
              <w:jc w:val="left"/>
            </w:pPr>
            <w:r>
              <w:rPr>
                <w:rFonts w:ascii="仿宋_GB2312" w:hAnsi="仿宋_GB2312" w:cs="仿宋_GB2312" w:eastAsia="仿宋_GB2312"/>
                <w:sz w:val="21"/>
                <w:color w:val="000000"/>
              </w:rPr>
              <w:t>屏幕：屏幕尺寸</w:t>
            </w:r>
            <w:r>
              <w:rPr>
                <w:rFonts w:ascii="仿宋_GB2312" w:hAnsi="仿宋_GB2312" w:cs="仿宋_GB2312" w:eastAsia="仿宋_GB2312"/>
                <w:sz w:val="21"/>
                <w:color w:val="000000"/>
              </w:rPr>
              <w:t>≥15.6 英寸，分辨率≥1920×1080（全高清），屏幕亮度≥220nits，刷新率≥60Hz，色域≥45% NTSC；采用高清护眼屏，满足日常编程、教学长时间使用需求，不限定具体面板材质类型。</w:t>
            </w:r>
          </w:p>
          <w:p>
            <w:pPr>
              <w:pStyle w:val="null3"/>
              <w:jc w:val="left"/>
            </w:pPr>
            <w:r>
              <w:rPr>
                <w:rFonts w:ascii="仿宋_GB2312" w:hAnsi="仿宋_GB2312" w:cs="仿宋_GB2312" w:eastAsia="仿宋_GB2312"/>
                <w:sz w:val="21"/>
                <w:color w:val="000000"/>
              </w:rPr>
              <w:t>机身尺寸：机身适配</w:t>
            </w:r>
            <w:r>
              <w:rPr>
                <w:rFonts w:ascii="仿宋_GB2312" w:hAnsi="仿宋_GB2312" w:cs="仿宋_GB2312" w:eastAsia="仿宋_GB2312"/>
                <w:sz w:val="21"/>
                <w:color w:val="000000"/>
              </w:rPr>
              <w:t>15.6 英寸及以上屏幕，机身厚度≤20mm，整体轻薄便携，满足日常移动教学、办公使用需求。</w:t>
            </w:r>
          </w:p>
          <w:p>
            <w:pPr>
              <w:pStyle w:val="null3"/>
              <w:jc w:val="left"/>
            </w:pPr>
            <w:r>
              <w:rPr>
                <w:rFonts w:ascii="仿宋_GB2312" w:hAnsi="仿宋_GB2312" w:cs="仿宋_GB2312" w:eastAsia="仿宋_GB2312"/>
                <w:sz w:val="21"/>
                <w:color w:val="000000"/>
              </w:rPr>
              <w:t>整机重量：整机重量</w:t>
            </w:r>
            <w:r>
              <w:rPr>
                <w:rFonts w:ascii="仿宋_GB2312" w:hAnsi="仿宋_GB2312" w:cs="仿宋_GB2312" w:eastAsia="仿宋_GB2312"/>
                <w:sz w:val="21"/>
                <w:color w:val="000000"/>
              </w:rPr>
              <w:t>≤1.8kg，便于移动携带。</w:t>
            </w:r>
          </w:p>
          <w:p>
            <w:pPr>
              <w:pStyle w:val="null3"/>
              <w:jc w:val="left"/>
            </w:pPr>
            <w:r>
              <w:rPr>
                <w:rFonts w:ascii="仿宋_GB2312" w:hAnsi="仿宋_GB2312" w:cs="仿宋_GB2312" w:eastAsia="仿宋_GB2312"/>
                <w:sz w:val="21"/>
                <w:color w:val="000000"/>
              </w:rPr>
              <w:t>接口配置：机身接口至少包含：</w:t>
            </w:r>
            <w:r>
              <w:rPr>
                <w:rFonts w:ascii="仿宋_GB2312" w:hAnsi="仿宋_GB2312" w:cs="仿宋_GB2312" w:eastAsia="仿宋_GB2312"/>
                <w:sz w:val="21"/>
                <w:color w:val="000000"/>
              </w:rPr>
              <w:t>USB 3.2 及以上规格接口≥2 个、全功能 USB-C 接口≥1 个、HDMI 视频输出接口≥1 个、RJ45 千兆有线网口≥1 个、3.5mm 耳麦合一接口≥1 个；满足日常外设连接、数据传输、投影教学使用需求。</w:t>
            </w:r>
          </w:p>
          <w:p>
            <w:pPr>
              <w:pStyle w:val="null3"/>
              <w:jc w:val="left"/>
            </w:pPr>
            <w:r>
              <w:rPr>
                <w:rFonts w:ascii="仿宋_GB2312" w:hAnsi="仿宋_GB2312" w:cs="仿宋_GB2312" w:eastAsia="仿宋_GB2312"/>
                <w:sz w:val="21"/>
                <w:color w:val="000000"/>
              </w:rPr>
              <w:t>网络配置：配置无线网卡，支持</w:t>
            </w:r>
            <w:r>
              <w:rPr>
                <w:rFonts w:ascii="仿宋_GB2312" w:hAnsi="仿宋_GB2312" w:cs="仿宋_GB2312" w:eastAsia="仿宋_GB2312"/>
                <w:sz w:val="21"/>
                <w:color w:val="000000"/>
              </w:rPr>
              <w:t>WiFi 6 及以上规格无线网络，支持蓝牙 5.2 及以上版本；满足高速无线联网、无线外设连接使用需求。</w:t>
            </w:r>
          </w:p>
          <w:p>
            <w:pPr>
              <w:pStyle w:val="null3"/>
              <w:jc w:val="left"/>
            </w:pPr>
            <w:r>
              <w:rPr>
                <w:rFonts w:ascii="仿宋_GB2312" w:hAnsi="仿宋_GB2312" w:cs="仿宋_GB2312" w:eastAsia="仿宋_GB2312"/>
                <w:sz w:val="21"/>
                <w:color w:val="000000"/>
              </w:rPr>
              <w:t>电池与电源：内置锂电池，电池容量</w:t>
            </w:r>
            <w:r>
              <w:rPr>
                <w:rFonts w:ascii="仿宋_GB2312" w:hAnsi="仿宋_GB2312" w:cs="仿宋_GB2312" w:eastAsia="仿宋_GB2312"/>
                <w:sz w:val="21"/>
                <w:color w:val="000000"/>
              </w:rPr>
              <w:t>≥45Wh，满足日常移动办公、教学的续航使用需求；标配电源适配器功率≥65W，支持快速充电。</w:t>
            </w:r>
          </w:p>
          <w:p>
            <w:pPr>
              <w:pStyle w:val="null3"/>
              <w:jc w:val="left"/>
            </w:pPr>
            <w:r>
              <w:rPr>
                <w:rFonts w:ascii="仿宋_GB2312" w:hAnsi="仿宋_GB2312" w:cs="仿宋_GB2312" w:eastAsia="仿宋_GB2312"/>
                <w:sz w:val="21"/>
                <w:color w:val="000000"/>
              </w:rPr>
              <w:t>操作系统：预装正版操作系统，配备正版办公软件授权，完全满足政府采购软件正版化相关要求；支持系统版本免费升级。</w:t>
            </w:r>
          </w:p>
          <w:p>
            <w:pPr>
              <w:pStyle w:val="null3"/>
              <w:jc w:val="left"/>
            </w:pPr>
            <w:r>
              <w:rPr>
                <w:rFonts w:ascii="仿宋_GB2312" w:hAnsi="仿宋_GB2312" w:cs="仿宋_GB2312" w:eastAsia="仿宋_GB2312"/>
                <w:sz w:val="21"/>
                <w:color w:val="000000"/>
              </w:rPr>
              <w:t>外观颜色：提供灰色等常规商务配色方案，最终颜色由采购人确认。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标的名称：多媒体讲台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讲台尺寸：长</w:t>
            </w:r>
            <w:r>
              <w:rPr>
                <w:rFonts w:ascii="仿宋_GB2312" w:hAnsi="仿宋_GB2312" w:cs="仿宋_GB2312" w:eastAsia="仿宋_GB2312"/>
                <w:sz w:val="21"/>
                <w:color w:val="000000"/>
              </w:rPr>
              <w:t>≥1100mm、宽≥700mm、高≥980mm；主体结构由冷轧钢板 + 木质扶手、木质台面 + 接口盒组成，钢</w:t>
            </w:r>
            <w:r>
              <w:rPr>
                <w:rFonts w:ascii="仿宋_GB2312" w:hAnsi="仿宋_GB2312" w:cs="仿宋_GB2312" w:eastAsia="仿宋_GB2312"/>
                <w:sz w:val="21"/>
                <w:color w:val="000000"/>
              </w:rPr>
              <w:t>x</w:t>
            </w:r>
            <w:r>
              <w:rPr>
                <w:rFonts w:ascii="仿宋_GB2312" w:hAnsi="仿宋_GB2312" w:cs="仿宋_GB2312" w:eastAsia="仿宋_GB2312"/>
                <w:sz w:val="21"/>
                <w:color w:val="000000"/>
              </w:rPr>
              <w:t>制部分采用厚度为</w:t>
            </w:r>
            <w:r>
              <w:rPr>
                <w:rFonts w:ascii="仿宋_GB2312" w:hAnsi="仿宋_GB2312" w:cs="仿宋_GB2312" w:eastAsia="仿宋_GB2312"/>
                <w:sz w:val="21"/>
                <w:color w:val="000000"/>
              </w:rPr>
              <w:t>1.0mm-1.2mm 的冷轧钢板制作，钢板材质符合 GB/T 700《碳素结构钢》标准要求。</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讲台配置前置隐藏式抽屉，可容纳无线键盘、鼠标，或粉笔、板擦等常用教学物品，抽屉推拉顺畅无卡滞。</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讲台配置前置接口盒，接口盒至少包含以下接口：</w:t>
            </w:r>
            <w:r>
              <w:rPr>
                <w:rFonts w:ascii="仿宋_GB2312" w:hAnsi="仿宋_GB2312" w:cs="仿宋_GB2312" w:eastAsia="仿宋_GB2312"/>
                <w:sz w:val="21"/>
                <w:color w:val="000000"/>
              </w:rPr>
              <w:t>VGA 接口 1 个、RJ45 网络接口 1 个、USB 接口 2 个、AV 复合音视频接口（红黄白三色）1 个、MIC 麦克风接口 1 个、HDMI 高清接口 1 个、3.5mm 音频接口 1 个，所有接口接触良好、传输稳定。</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讲台台面采用厚度</w:t>
            </w:r>
            <w:r>
              <w:rPr>
                <w:rFonts w:ascii="仿宋_GB2312" w:hAnsi="仿宋_GB2312" w:cs="仿宋_GB2312" w:eastAsia="仿宋_GB2312"/>
                <w:sz w:val="21"/>
                <w:color w:val="000000"/>
              </w:rPr>
              <w:t>≥12mm 的免漆板覆盖，板材环保等级符合 GB 18580-2017《室内装饰装修材料 人造板及其制品中甲醛释放限量》E1 级要求；表面耐磨、耐刮性能符合 GB/T 17657-2022《人造板及饰面人造板理化性能试验方法》相关标准要求。</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下箱体前后均采用单门开启设计，便于内部设备安装、维护与检修；箱体内部配置置物托盘，可放置小型电教设备及配套配件。</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讲台采用分体式结构设计，支持现场拆卸与组装，便于场地运输与进场安装，拼接后整体结构稳固无松动。</w:t>
            </w:r>
            <w:r>
              <w:br/>
            </w:r>
            <w:r>
              <w:rPr>
                <w:rFonts w:ascii="仿宋_GB2312" w:hAnsi="仿宋_GB2312" w:cs="仿宋_GB2312" w:eastAsia="仿宋_GB2312"/>
                <w:sz w:val="21"/>
                <w:color w:val="000000"/>
              </w:rPr>
              <w:t>1、</w:t>
            </w:r>
            <w:r>
              <w:rPr>
                <w:rFonts w:ascii="仿宋_GB2312" w:hAnsi="仿宋_GB2312" w:cs="仿宋_GB2312" w:eastAsia="仿宋_GB2312"/>
                <w:sz w:val="21"/>
                <w:color w:val="000000"/>
              </w:rPr>
              <w:t>讲台台面采用平面设计，周边采用圆弧过渡处理，圆角半径</w:t>
            </w:r>
            <w:r>
              <w:rPr>
                <w:rFonts w:ascii="仿宋_GB2312" w:hAnsi="仿宋_GB2312" w:cs="仿宋_GB2312" w:eastAsia="仿宋_GB2312"/>
                <w:sz w:val="21"/>
                <w:color w:val="000000"/>
              </w:rPr>
              <w:t>≥R10mm，无尖锐边角，边缘打磨光滑无毛刺，保障使用安全。</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讲台外观简洁大方，配色与教学场景环境适配，最终外观样式由采购人确认；箱体设置通风散热孔，保障内部设备运行时散热通畅，设备运行温度符合安全标准。</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标的名称：教师工作椅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靠背采用原生</w:t>
            </w:r>
            <w:r>
              <w:rPr>
                <w:rFonts w:ascii="仿宋_GB2312" w:hAnsi="仿宋_GB2312" w:cs="仿宋_GB2312" w:eastAsia="仿宋_GB2312"/>
                <w:sz w:val="21"/>
                <w:color w:val="000000"/>
              </w:rPr>
              <w:t>PP 全新料制作，原料环保性能符合 GB 18580-2017 相关要求，靠背整体冲击强度、耐久性能符合 QB/T 2280-2016《办公椅》国家行业标准要求。</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靠背配置透气网布，网布经向断裂强力</w:t>
            </w:r>
            <w:r>
              <w:rPr>
                <w:rFonts w:ascii="仿宋_GB2312" w:hAnsi="仿宋_GB2312" w:cs="仿宋_GB2312" w:eastAsia="仿宋_GB2312"/>
                <w:sz w:val="21"/>
                <w:color w:val="000000"/>
              </w:rPr>
              <w:t>≥2000N、纬向断裂强力≥1500N，耐磨性能≥10000 次无破损，具备良好透气承托性能，理化指标符合 QB/T 2280-2016《办公椅》相关标准要求。</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座垫填充高密度回弹海绵，海绵密度</w:t>
            </w:r>
            <w:r>
              <w:rPr>
                <w:rFonts w:ascii="仿宋_GB2312" w:hAnsi="仿宋_GB2312" w:cs="仿宋_GB2312" w:eastAsia="仿宋_GB2312"/>
                <w:sz w:val="21"/>
                <w:color w:val="000000"/>
              </w:rPr>
              <w:t>≥35kg/m³，回弹率≥35%，甲醛释放量符合 GB 18580-2017 标准 E1 级要求；座垫整体耐久、承重性能符合 QB/T 2280-2016《办公椅》相关标准要求。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扶手采用工程</w:t>
            </w:r>
            <w:r>
              <w:rPr>
                <w:rFonts w:ascii="仿宋_GB2312" w:hAnsi="仿宋_GB2312" w:cs="仿宋_GB2312" w:eastAsia="仿宋_GB2312"/>
                <w:sz w:val="21"/>
                <w:color w:val="000000"/>
              </w:rPr>
              <w:t>PP 材质支架，扶手整体静载承重≥1000N，抗冲击性能符合 QB/T 2280-2016《办公椅》相关标准要求，表面光滑无毛刺，边角做圆角安全处理。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座椅配置气杆升降结构，具备高度调节功能，升降行程</w:t>
            </w:r>
            <w:r>
              <w:rPr>
                <w:rFonts w:ascii="仿宋_GB2312" w:hAnsi="仿宋_GB2312" w:cs="仿宋_GB2312" w:eastAsia="仿宋_GB2312"/>
                <w:sz w:val="21"/>
                <w:color w:val="000000"/>
              </w:rPr>
              <w:t>≥80mm；气杆安全性能、耐久性能符合 QB/T 2280-2016《办公椅》相关标准要求</w:t>
            </w:r>
            <w:r>
              <w:rPr>
                <w:rFonts w:ascii="仿宋_GB2312" w:hAnsi="仿宋_GB2312" w:cs="仿宋_GB2312" w:eastAsia="仿宋_GB2312"/>
                <w:sz w:val="21"/>
                <w:color w:val="000000"/>
              </w:rPr>
              <w:t>。（需提供功能证明材料、包括但不限于检测报告、官网和功能截图等）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椅脚采用承重五金材质制作，整体静载承重</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00kg，表面做防锈防腐处理；配置 360° 旋转 PU 滑轮，滑动顺畅无卡滞，滑动噪音≤50dB，耐磨不伤地面。</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标的名称：实验凳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凳面直径</w:t>
            </w:r>
            <w:r>
              <w:rPr>
                <w:rFonts w:ascii="仿宋_GB2312" w:hAnsi="仿宋_GB2312" w:cs="仿宋_GB2312" w:eastAsia="仿宋_GB2312"/>
                <w:sz w:val="21"/>
                <w:color w:val="000000"/>
              </w:rPr>
              <w:t>≥300mm、厚度≥20mm，采用 ABS 改性塑料制作，有害物质限量符合 GB 28007-2011《儿童家具通用技术条件》安全环保要求；凳面表面采用细纹咬花处理，具备防滑性能，无镜面眩光反射，使用安全舒适。</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凳架采用椭圆形碳素焊接钢管制作，钢管长径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35</w:t>
            </w:r>
            <w:r>
              <w:rPr>
                <w:rFonts w:ascii="仿宋_GB2312" w:hAnsi="仿宋_GB2312" w:cs="仿宋_GB2312" w:eastAsia="仿宋_GB2312"/>
                <w:sz w:val="21"/>
                <w:color w:val="000000"/>
              </w:rPr>
              <w:t>mm、短径≥20mm、壁厚≥1.5mm；焊接部位满焊处理，焊缝平整光滑，无虚焊、漏焊，整体结构静载承重性能符合 QB/T 2280-2016《办公椅》相关标准要求；钢架表面采用静电粉末喷涂处理，涂层附着力达到 GB/T 9286-1998 规定的 1 级及以上标准，耐腐蚀、不易脱落；凳体支持高度调节功能，调节结构安全稳固、操作顺畅；底部配置钢制承重托盘，托盘钢板厚度≥1.0mm，提升整体稳定性；脚垫采用耐磨改性 PP 材质，具备防滑、降噪功能，可保护地面。</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标的名称：实验工作台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学生桌台面采用厚度</w:t>
            </w:r>
            <w:r>
              <w:rPr>
                <w:rFonts w:ascii="仿宋_GB2312" w:hAnsi="仿宋_GB2312" w:cs="仿宋_GB2312" w:eastAsia="仿宋_GB2312"/>
                <w:sz w:val="21"/>
                <w:color w:val="000000"/>
              </w:rPr>
              <w:t>≥25mm 的 E1 级三聚氰胺浸渍胶膜纸饰面人造板，环保性能符合 GB 18580-2017《室内装饰装修材料 人造板及其制品中甲醛释放限量》要求；台面边缘采用厚度≥1.5mm 的 PVC 封边条封边处理，封边平整严密、无脱胶漏边，封边质量符合 GB/T 3324-2017《木家具通用技术条件》相关标准要求；封边颜色与桌面板材颜色适配。</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台身框架立柱采用直径</w:t>
            </w:r>
            <w:r>
              <w:rPr>
                <w:rFonts w:ascii="仿宋_GB2312" w:hAnsi="仿宋_GB2312" w:cs="仿宋_GB2312" w:eastAsia="仿宋_GB2312"/>
                <w:sz w:val="21"/>
                <w:color w:val="000000"/>
              </w:rPr>
              <w:t>≥40mm、壁厚≥1.2mm 的钢制圆管；框架横梁采用边长≥25mm、壁厚≥1.0mm 的钢制方管；钢架表面经静电喷塑处理，防腐防锈，配色提供多种常规校用方案供采购人选择确认。</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每套为</w:t>
            </w:r>
            <w:r>
              <w:rPr>
                <w:rFonts w:ascii="仿宋_GB2312" w:hAnsi="仿宋_GB2312" w:cs="仿宋_GB2312" w:eastAsia="仿宋_GB2312"/>
                <w:sz w:val="21"/>
                <w:color w:val="000000"/>
              </w:rPr>
              <w:t>6 人位拼接式学生桌，单块桌面斜边长度≥500mm，单人使用垂直深度≥480mm；拼接完成后整体桌面最大对角直径≥1600mm；桌面拼接形式由供应商结合使用需求合理设计，需满足结构稳固、边角安全的要求。优先采用六块三角形桌面拼接形式，供应商也可提供同等及以上使用性能的其他拼接结构方案</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学生桌桌面、钢架均提供不少于</w:t>
            </w:r>
            <w:r>
              <w:rPr>
                <w:rFonts w:ascii="仿宋_GB2312" w:hAnsi="仿宋_GB2312" w:cs="仿宋_GB2312" w:eastAsia="仿宋_GB2312"/>
                <w:sz w:val="21"/>
                <w:color w:val="000000"/>
              </w:rPr>
              <w:t>3 种常规校用配色方案供采购人选择，最终配色方案由采购人在合同签订前确认。</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pPr>
      <w:r>
        <w:rPr>
          <w:rFonts w:ascii="仿宋_GB2312" w:hAnsi="仿宋_GB2312" w:cs="仿宋_GB2312" w:eastAsia="仿宋_GB2312"/>
        </w:rPr>
        <w:t>标的名称：智慧交通展示台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color w:val="000000"/>
              </w:rPr>
              <w:t>1.产品定位：智慧交通展示台为 AI 未来城市套装配套的竞赛与展示载体，适配中小学创客竞赛、智慧交通主题教学场景。展示台配备竞赛任务地图，可支撑学生开展编程实践、机器人竞赛、主题展示等活动，帮助学生在沉浸式场景中完成编程调试、任务挑战，提升编程实践能力与创新思维。</w:t>
            </w:r>
          </w:p>
          <w:p>
            <w:pPr>
              <w:pStyle w:val="null3"/>
              <w:jc w:val="left"/>
            </w:pPr>
            <w:r>
              <w:rPr>
                <w:rFonts w:ascii="仿宋_GB2312" w:hAnsi="仿宋_GB2312" w:cs="仿宋_GB2312" w:eastAsia="仿宋_GB2312"/>
                <w:sz w:val="21"/>
                <w:color w:val="000000"/>
              </w:rPr>
              <w:t>2.竞赛任务地图：≥1 块，单幅尺寸≥1.2m×2.4m；地图采用耐磨防水材质印制，图案清晰、色彩均匀，标注智慧交通主题的竞赛任务点位与路线，适配 AI 未来城市套装的机器人竞赛与教学演示需求。</w:t>
            </w:r>
          </w:p>
          <w:p>
            <w:pPr>
              <w:pStyle w:val="null3"/>
            </w:pPr>
            <w:r>
              <w:rPr>
                <w:rFonts w:ascii="仿宋_GB2312" w:hAnsi="仿宋_GB2312" w:cs="仿宋_GB2312" w:eastAsia="仿宋_GB2312"/>
                <w:sz w:val="21"/>
                <w:color w:val="000000"/>
              </w:rPr>
              <w:t>3.展示台：≥1 台，台面尺寸≥1.2m×2.4m；台面平整耐磨，边缘做钝化安全处理，整体结构稳固、承重性好，可稳定承载竞赛地图与机器人设备，适配课堂教学与竞赛展示场景使用。</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服务标准：</w:t>
            </w:r>
          </w:p>
          <w:p>
            <w:pPr>
              <w:pStyle w:val="null3"/>
            </w:pPr>
            <w:r>
              <w:rPr>
                <w:rFonts w:ascii="仿宋_GB2312" w:hAnsi="仿宋_GB2312" w:cs="仿宋_GB2312" w:eastAsia="仿宋_GB2312"/>
              </w:rPr>
              <w:t>一、保修范围与维保服务</w:t>
            </w:r>
          </w:p>
          <w:p>
            <w:pPr>
              <w:pStyle w:val="null3"/>
            </w:pPr>
            <w:r>
              <w:rPr>
                <w:rFonts w:ascii="仿宋_GB2312" w:hAnsi="仿宋_GB2312" w:cs="仿宋_GB2312" w:eastAsia="仿宋_GB2312"/>
              </w:rPr>
              <w:t>质保期内，供应商每年提供不少于 2 次上门巡检、检测、保养服务。</w:t>
            </w:r>
          </w:p>
          <w:p>
            <w:pPr>
              <w:pStyle w:val="null3"/>
            </w:pPr>
            <w:r>
              <w:rPr>
                <w:rFonts w:ascii="仿宋_GB2312" w:hAnsi="仿宋_GB2312" w:cs="仿宋_GB2312" w:eastAsia="仿宋_GB2312"/>
              </w:rPr>
              <w:t>针对产品质量缺陷、货品短缺等问题，供应商在收到采购人书面 / 口头通知后 2 个日历日内，完成修复、更换、重新制作或物资补齐。</w:t>
            </w:r>
          </w:p>
          <w:p>
            <w:pPr>
              <w:pStyle w:val="null3"/>
            </w:pPr>
            <w:r>
              <w:rPr>
                <w:rFonts w:ascii="仿宋_GB2312" w:hAnsi="仿宋_GB2312" w:cs="仿宋_GB2312" w:eastAsia="仿宋_GB2312"/>
              </w:rPr>
              <w:t>纳入三包管理的产品，供应商全面履行包修、包换、包退责任，所有产生的成本、费用均由供应商承担。</w:t>
            </w:r>
          </w:p>
          <w:p>
            <w:pPr>
              <w:pStyle w:val="null3"/>
            </w:pPr>
            <w:r>
              <w:rPr>
                <w:rFonts w:ascii="仿宋_GB2312" w:hAnsi="仿宋_GB2312" w:cs="仿宋_GB2312" w:eastAsia="仿宋_GB2312"/>
              </w:rPr>
              <w:t>质保期内免收维修、人工、配件等所有费用。凡因产品设计、生产工艺、原材料本身缺陷造成的故障，由供应商无偿整改并承担全部费用，该缺陷责任不受质保期届满限制。</w:t>
            </w:r>
          </w:p>
          <w:p>
            <w:pPr>
              <w:pStyle w:val="null3"/>
            </w:pPr>
            <w:r>
              <w:rPr>
                <w:rFonts w:ascii="仿宋_GB2312" w:hAnsi="仿宋_GB2312" w:cs="仿宋_GB2312" w:eastAsia="仿宋_GB2312"/>
              </w:rPr>
              <w:t>产品终身提供技术维护服务，长期保障原厂备品备件供应。</w:t>
            </w:r>
          </w:p>
          <w:p>
            <w:pPr>
              <w:pStyle w:val="null3"/>
            </w:pPr>
            <w:r>
              <w:rPr>
                <w:rFonts w:ascii="仿宋_GB2312" w:hAnsi="仿宋_GB2312" w:cs="仿宋_GB2312" w:eastAsia="仿宋_GB2312"/>
              </w:rPr>
              <w:t>二、故障响应要求</w:t>
            </w:r>
          </w:p>
          <w:p>
            <w:pPr>
              <w:pStyle w:val="null3"/>
            </w:pPr>
            <w:r>
              <w:rPr>
                <w:rFonts w:ascii="仿宋_GB2312" w:hAnsi="仿宋_GB2312" w:cs="仿宋_GB2312" w:eastAsia="仿宋_GB2312"/>
              </w:rPr>
              <w:t>标准设置：</w:t>
            </w:r>
          </w:p>
          <w:p>
            <w:pPr>
              <w:pStyle w:val="null3"/>
            </w:pPr>
            <w:r>
              <w:rPr>
                <w:rFonts w:ascii="仿宋_GB2312" w:hAnsi="仿宋_GB2312" w:cs="仿宋_GB2312" w:eastAsia="仿宋_GB2312"/>
              </w:rPr>
              <w:t>电话远程响应 7×24小时热线，10分钟内响应对接工程师</w:t>
            </w:r>
          </w:p>
          <w:p>
            <w:pPr>
              <w:pStyle w:val="null3"/>
            </w:pPr>
            <w:r>
              <w:rPr>
                <w:rFonts w:ascii="仿宋_GB2312" w:hAnsi="仿宋_GB2312" w:cs="仿宋_GB2312" w:eastAsia="仿宋_GB2312"/>
              </w:rPr>
              <w:t>远程排障 一般故障30分钟内远程解决；</w:t>
            </w:r>
          </w:p>
          <w:p>
            <w:pPr>
              <w:pStyle w:val="null3"/>
            </w:pPr>
            <w:r>
              <w:rPr>
                <w:rFonts w:ascii="仿宋_GB2312" w:hAnsi="仿宋_GB2312" w:cs="仿宋_GB2312" w:eastAsia="仿宋_GB2312"/>
              </w:rPr>
              <w:t>复杂故障1小时内拿出解决方案</w:t>
            </w:r>
          </w:p>
          <w:p>
            <w:pPr>
              <w:pStyle w:val="null3"/>
            </w:pPr>
            <w:r>
              <w:rPr>
                <w:rFonts w:ascii="仿宋_GB2312" w:hAnsi="仿宋_GB2312" w:cs="仿宋_GB2312" w:eastAsia="仿宋_GB2312"/>
              </w:rPr>
              <w:t>现场上门 市区4小时到达现场，省内8小时，省外24小时到场</w:t>
            </w:r>
          </w:p>
          <w:p>
            <w:pPr>
              <w:pStyle w:val="null3"/>
            </w:pPr>
            <w:r>
              <w:rPr>
                <w:rFonts w:ascii="仿宋_GB2312" w:hAnsi="仿宋_GB2312" w:cs="仿宋_GB2312" w:eastAsia="仿宋_GB2312"/>
              </w:rPr>
              <w:t>故障解决时限 重大故障4小时内恢复业务运行；无法快速修复的，提供备用方案保障业务不间断。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自合同签订之日起30个日历日内交付验收完毕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进度款，所有货物到达甲方指定地点并安装调试到位后，达到付款条件起30个工作日内，支付合同总金额的30.0%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进度款，终验合格后一年内，达到付款条件起30个工作日内，支付合同总金额的40.0%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1.初验：货物到达交货地点后，由使用单位根据合同对货物（设备）的名称、品牌、规格、型号、产地、数量进行检查。初验合格填写项目移交单，双方签字盖章。 2.终验：所有货物(设备)安装、调试完毕，正常使用10个日历日后，由成交供应商向采购人提出终验书面申请，采购人确认后，组织成交供应商、有关专家及相关部门进行系统验收，并出具终验报告，验收及专家费用由成交供应商承担。验收合格后填写《政府采购项目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（1）质保期为终验合格后不少于36个月（参数中有具体要求的，按参数要求提供质保）。中标人承诺的质保时间超过招标文件要求的，按其承诺时间质保。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按《中华人民共和国政府采购法》、《中华人民共和国民法典》中的相关条款执行。 未按合同或招标文件要求提供的产品或者服务，质量不能满足采购人技术要求，采购单位有权终止合同，甚至对供应商违约行为进行追究。 解决争议的方法： 依法向有管辖权的人民法院提起诉讼。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1.本项目非专门面向中小企业采购。 2.本项目属性为货物。 3.本项目合同包1采购标的所属行业为：工业； 4.本项目为固定总价合同。 5.根据《国务院办公厅关于在政府采购中实施本国产品标准及相关政策的通知》（国办发〔2025〕34号）、关于贯彻落实《国务院办公厅关于在政府采购中实施本国产品标准及相关政策的通知》的意见（财库〔2025〕30号）、《陕西省财政厅关于在政府采购活动中实施本国产品标准及相关政策的通知》（陕财办采〔2026〕2号）的规定。 （1）对于仅有本国产品参与竞争的政府采购项目，本国产品不享受价格扣除评审优惠。（2）对于非专门面向中小企业的采购项目，既有本国产品也有非本国产品参与竞争，且提供本国产品的供应商同时为小微企业的，应按照《国务院办公厅关于在政府采购中实施本国产品标准及相关政策的通知》和《政府采购促进中小企业发展管理办法》规定，对该供应商的产品同时给予支持本国产品和小微企业产品的价格评审优惠。相关价格评审扣除优惠，均应该在供应商原始报价基础上计算，用扣除后的价格参与评审。（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 例达到80%以上时，且供应商在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供应商对其提供的产品出具《关于符合本国产品标准的声明函》，出具符合要求的《声明函》或有关证明文件的，该产品视为本国产品。不出具《声明函》的，不应享受政府采购对本国产品的支持政策。 评审中发现《关于符合本国产品标准的声明函》内容含义不明确、同类事项与响应文件表述不一致或者有明显文字错误等情况的，应当以书面形式要求供应商作出必要的澄清、说明或者补正。经澄清、说明或者补正的《关于符合本国产品标准的声明函》仍然不符合《国务院办公厅关于在政府采购中实施本国产品标准及相关政策的通知》规定要求的，供应商提供的相关产品视为不符合本国产品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投标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提供投标截止日近半年内任意一月的纳税凭据或完税证明，依法免税的应提供相关证明材料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提供投标截止日近半年内任意一月的社会保障资金缴存单据或社保机构开具的社会保险参保缴费情况证明，依法不需要缴纳社会保障资金的应提供相关证明材料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投标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符合“谈判响应文件格式”的要求</w:t>
            </w:r>
          </w:p>
        </w:tc>
        <w:tc>
          <w:tcPr>
            <w:tcW w:type="dxa" w:w="1661"/>
          </w:tcPr>
          <w:p>
            <w:pPr>
              <w:pStyle w:val="null3"/>
            </w:pPr>
            <w:r>
              <w:rPr>
                <w:rFonts w:ascii="仿宋_GB2312" w:hAnsi="仿宋_GB2312" w:cs="仿宋_GB2312" w:eastAsia="仿宋_GB2312"/>
              </w:rPr>
              <w:t>供应商参加政府采购活动承诺书.docx 谈判方案 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符合谈判文件规定的签字盖章要求</w:t>
            </w:r>
          </w:p>
        </w:tc>
        <w:tc>
          <w:tcPr>
            <w:tcW w:type="dxa" w:w="1661"/>
          </w:tcPr>
          <w:p>
            <w:pPr>
              <w:pStyle w:val="null3"/>
            </w:pPr>
            <w:r>
              <w:rPr>
                <w:rFonts w:ascii="仿宋_GB2312" w:hAnsi="仿宋_GB2312" w:cs="仿宋_GB2312" w:eastAsia="仿宋_GB2312"/>
              </w:rPr>
              <w:t>供应商参加政府采购活动承诺书.docx 谈判方案 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按照要求响应，不能有任何采购人不能接受的附加条件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供应商参加政府采购活动承诺书.docx 谈判方案 本国产品说明 中小企业声明函 商务应答表 报价表 中国境内生产的组件成本核算基本规则 响应文件封面 产品技术参数表 供应商应提交的相关资格证明材料.docx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详见附件：谈判方案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