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DBDF74">
      <w:pPr>
        <w:spacing w:line="600" w:lineRule="auto"/>
        <w:jc w:val="right"/>
        <w:rPr>
          <w:rFonts w:ascii="宋体" w:hAnsi="宋体"/>
          <w:b/>
          <w:sz w:val="24"/>
          <w:szCs w:val="24"/>
        </w:rPr>
      </w:pPr>
      <w:bookmarkStart w:id="1" w:name="_GoBack"/>
      <w:bookmarkEnd w:id="1"/>
      <w:r>
        <w:rPr>
          <w:rFonts w:hint="eastAsia" w:ascii="宋体" w:hAnsi="宋体"/>
          <w:b/>
          <w:sz w:val="24"/>
          <w:szCs w:val="24"/>
        </w:rPr>
        <w:t>合同编号：</w:t>
      </w:r>
    </w:p>
    <w:p w14:paraId="3F7C9943">
      <w:pPr>
        <w:spacing w:line="600" w:lineRule="auto"/>
        <w:jc w:val="center"/>
        <w:rPr>
          <w:rFonts w:ascii="宋体" w:hAnsi="宋体"/>
          <w:b/>
          <w:sz w:val="32"/>
          <w:szCs w:val="32"/>
        </w:rPr>
      </w:pPr>
    </w:p>
    <w:p w14:paraId="33B37D74">
      <w:pPr>
        <w:spacing w:line="600" w:lineRule="auto"/>
        <w:jc w:val="center"/>
        <w:rPr>
          <w:rFonts w:ascii="宋体" w:hAnsi="宋体"/>
          <w:b/>
          <w:sz w:val="32"/>
          <w:szCs w:val="32"/>
        </w:rPr>
      </w:pPr>
      <w:r>
        <w:rPr>
          <w:rFonts w:hint="eastAsia" w:ascii="宋体" w:hAnsi="宋体"/>
          <w:b/>
          <w:sz w:val="32"/>
          <w:szCs w:val="32"/>
          <w:lang w:val="en-US" w:eastAsia="zh-CN"/>
        </w:rPr>
        <w:t>2</w:t>
      </w:r>
      <w:r>
        <w:rPr>
          <w:rFonts w:hint="eastAsia" w:ascii="宋体" w:hAnsi="宋体"/>
          <w:b/>
          <w:sz w:val="32"/>
          <w:szCs w:val="32"/>
          <w:lang w:val="en-US" w:eastAsia="zh-CN"/>
        </w:rPr>
        <w:t>027-2029</w:t>
      </w:r>
      <w:r>
        <w:rPr>
          <w:rFonts w:hint="eastAsia" w:ascii="宋体" w:hAnsi="宋体"/>
          <w:b/>
          <w:sz w:val="32"/>
          <w:szCs w:val="32"/>
        </w:rPr>
        <w:t>年中文纸本期刊采购合同</w:t>
      </w:r>
    </w:p>
    <w:p w14:paraId="18193DF4">
      <w:pPr>
        <w:spacing w:line="480" w:lineRule="auto"/>
        <w:rPr>
          <w:rFonts w:ascii="宋体" w:hAnsi="宋体"/>
          <w:b/>
          <w:sz w:val="24"/>
          <w:szCs w:val="24"/>
        </w:rPr>
      </w:pPr>
      <w:r>
        <w:rPr>
          <w:rFonts w:hint="eastAsia" w:ascii="宋体" w:hAnsi="宋体"/>
          <w:b/>
          <w:sz w:val="24"/>
          <w:szCs w:val="24"/>
        </w:rPr>
        <w:t xml:space="preserve">甲方：           </w:t>
      </w:r>
      <w:r>
        <w:rPr>
          <w:rFonts w:ascii="宋体" w:hAnsi="宋体"/>
          <w:b/>
          <w:sz w:val="24"/>
          <w:szCs w:val="24"/>
        </w:rPr>
        <w:t xml:space="preserve">  </w:t>
      </w:r>
    </w:p>
    <w:p w14:paraId="0F26B2CF">
      <w:pPr>
        <w:spacing w:line="480" w:lineRule="auto"/>
        <w:rPr>
          <w:rFonts w:ascii="宋体" w:hAnsi="宋体"/>
          <w:b/>
          <w:sz w:val="24"/>
          <w:szCs w:val="24"/>
        </w:rPr>
      </w:pPr>
      <w:r>
        <w:rPr>
          <w:rFonts w:hint="eastAsia" w:ascii="宋体" w:hAnsi="宋体"/>
          <w:b/>
          <w:sz w:val="24"/>
          <w:szCs w:val="24"/>
        </w:rPr>
        <w:t>乙方：</w:t>
      </w:r>
      <w:r>
        <w:rPr>
          <w:rFonts w:hint="eastAsia" w:ascii="宋体" w:hAnsi="宋体"/>
          <w:b/>
          <w:sz w:val="24"/>
          <w:szCs w:val="24"/>
          <w:lang w:val="en-US" w:eastAsia="zh-CN"/>
        </w:rPr>
        <w:t xml:space="preserve">                         </w:t>
      </w:r>
      <w:r>
        <w:rPr>
          <w:rFonts w:ascii="宋体" w:hAnsi="宋体"/>
          <w:b/>
          <w:sz w:val="24"/>
          <w:szCs w:val="24"/>
        </w:rPr>
        <w:t xml:space="preserve">  </w:t>
      </w:r>
      <w:bookmarkStart w:id="0" w:name="_GoBack"/>
      <w:bookmarkEnd w:id="0"/>
    </w:p>
    <w:p w14:paraId="220B0AC7">
      <w:pPr>
        <w:spacing w:line="360" w:lineRule="auto"/>
        <w:ind w:firstLine="480" w:firstLineChars="200"/>
        <w:rPr>
          <w:rFonts w:ascii="宋体" w:hAnsi="宋体"/>
          <w:color w:val="000000"/>
          <w:sz w:val="24"/>
          <w:szCs w:val="24"/>
          <w:shd w:val="clear" w:color="auto" w:fill="FFFFFF"/>
        </w:rPr>
      </w:pPr>
      <w:r>
        <w:rPr>
          <w:rFonts w:hint="eastAsia" w:ascii="宋体" w:hAnsi="宋体"/>
          <w:color w:val="000000"/>
          <w:sz w:val="24"/>
          <w:szCs w:val="24"/>
          <w:shd w:val="clear" w:color="auto" w:fill="FFFFFF"/>
        </w:rPr>
        <w:t>根据《中华人民共和国民法典》和</w:t>
      </w:r>
      <w:r>
        <w:rPr>
          <w:rFonts w:hint="eastAsia" w:ascii="宋体" w:hAnsi="宋体"/>
          <w:sz w:val="24"/>
          <w:szCs w:val="24"/>
        </w:rPr>
        <w:t>西安建筑科技</w:t>
      </w:r>
      <w:r>
        <w:rPr>
          <w:rFonts w:hint="eastAsia" w:ascii="宋体" w:hAnsi="宋体" w:eastAsia="宋体" w:cs="Times New Roman"/>
          <w:sz w:val="24"/>
          <w:szCs w:val="24"/>
        </w:rPr>
        <w:t>大学</w:t>
      </w:r>
      <w:r>
        <w:rPr>
          <w:rFonts w:hint="eastAsia" w:ascii="宋体" w:hAnsi="宋体" w:eastAsia="宋体" w:cs="Times New Roman"/>
          <w:sz w:val="24"/>
          <w:szCs w:val="24"/>
          <w:lang w:eastAsia="zh-CN"/>
        </w:rPr>
        <w:t>图书馆2027-2029年中文纸本期刊订购配送服务项目</w:t>
      </w:r>
      <w:r>
        <w:rPr>
          <w:rFonts w:hint="eastAsia" w:ascii="宋体" w:hAnsi="宋体" w:eastAsia="宋体" w:cs="Times New Roman"/>
          <w:sz w:val="24"/>
          <w:szCs w:val="24"/>
        </w:rPr>
        <w:t>招标采购结果，及</w:t>
      </w:r>
      <w:r>
        <w:rPr>
          <w:rFonts w:hint="eastAsia" w:ascii="宋体" w:hAnsi="宋体"/>
          <w:color w:val="000000"/>
          <w:sz w:val="24"/>
          <w:szCs w:val="24"/>
          <w:shd w:val="clear" w:color="auto" w:fill="FFFFFF"/>
        </w:rPr>
        <w:t>相关招、投标文件，就</w:t>
      </w:r>
      <w:r>
        <w:rPr>
          <w:rFonts w:hint="eastAsia" w:ascii="宋体" w:hAnsi="宋体"/>
          <w:sz w:val="24"/>
          <w:szCs w:val="24"/>
        </w:rPr>
        <w:t>西安建筑科技大学</w:t>
      </w:r>
      <w:r>
        <w:rPr>
          <w:rFonts w:hint="eastAsia" w:ascii="宋体" w:hAnsi="宋体"/>
          <w:color w:val="000000"/>
          <w:sz w:val="24"/>
          <w:szCs w:val="24"/>
          <w:shd w:val="clear" w:color="auto" w:fill="FFFFFF"/>
        </w:rPr>
        <w:t>图书馆</w:t>
      </w:r>
      <w:r>
        <w:rPr>
          <w:rFonts w:hint="eastAsia" w:ascii="宋体" w:hAnsi="宋体"/>
          <w:color w:val="000000"/>
          <w:sz w:val="24"/>
          <w:szCs w:val="24"/>
          <w:shd w:val="clear" w:color="auto" w:fill="FFFFFF"/>
          <w:lang w:val="en-US" w:eastAsia="zh-CN"/>
        </w:rPr>
        <w:t>2027-2029</w:t>
      </w:r>
      <w:r>
        <w:rPr>
          <w:rFonts w:hint="eastAsia" w:ascii="宋体" w:hAnsi="宋体"/>
          <w:color w:val="000000"/>
          <w:sz w:val="24"/>
          <w:szCs w:val="24"/>
          <w:shd w:val="clear" w:color="auto" w:fill="FFFFFF"/>
        </w:rPr>
        <w:t>年期刊征订及后续服务等相关事宜，经甲乙双方平等协商，达成如下协议：</w:t>
      </w:r>
    </w:p>
    <w:p w14:paraId="0E00E696">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一、甲方委托乙方订购</w:t>
      </w:r>
      <w:r>
        <w:rPr>
          <w:rFonts w:hint="eastAsia" w:ascii="宋体" w:hAnsi="宋体"/>
          <w:color w:val="000000"/>
          <w:sz w:val="24"/>
          <w:szCs w:val="24"/>
          <w:shd w:val="clear" w:color="auto" w:fill="FFFFFF"/>
          <w:lang w:eastAsia="zh-CN"/>
        </w:rPr>
        <w:t>2027-2029</w:t>
      </w:r>
      <w:r>
        <w:rPr>
          <w:rFonts w:hint="eastAsia" w:ascii="宋体" w:hAnsi="宋体"/>
          <w:color w:val="000000"/>
          <w:sz w:val="24"/>
          <w:szCs w:val="24"/>
          <w:shd w:val="clear" w:color="auto" w:fill="FFFFFF"/>
        </w:rPr>
        <w:t>年中文纸本期刊。期刊订购折扣率为：。</w:t>
      </w:r>
    </w:p>
    <w:p w14:paraId="78F32994">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二、甲方的权利及义务</w:t>
      </w:r>
    </w:p>
    <w:p w14:paraId="21D6E00D">
      <w:pPr>
        <w:spacing w:line="360" w:lineRule="auto"/>
        <w:rPr>
          <w:rFonts w:hint="eastAsia" w:ascii="宋体" w:hAnsi="宋体"/>
          <w:color w:val="000000"/>
          <w:sz w:val="24"/>
          <w:szCs w:val="24"/>
          <w:shd w:val="clear" w:color="auto" w:fill="FFFFFF"/>
        </w:rPr>
      </w:pPr>
      <w:r>
        <w:rPr>
          <w:rFonts w:ascii="宋体" w:hAnsi="宋体"/>
          <w:color w:val="000000"/>
          <w:sz w:val="24"/>
          <w:szCs w:val="24"/>
          <w:shd w:val="clear" w:color="auto" w:fill="FFFFFF"/>
        </w:rPr>
        <w:t>1</w:t>
      </w:r>
      <w:r>
        <w:rPr>
          <w:rFonts w:hint="eastAsia" w:ascii="宋体" w:hAnsi="宋体"/>
          <w:color w:val="000000"/>
          <w:sz w:val="24"/>
          <w:szCs w:val="24"/>
          <w:shd w:val="clear" w:color="auto" w:fill="FFFFFF"/>
        </w:rPr>
        <w:t>、甲方于每年的11月底前将来年的期刊征订清单交给乙方，清单应注明刊号、刊名、订购数量、价格等信息。</w:t>
      </w:r>
    </w:p>
    <w:p w14:paraId="4150B109">
      <w:pPr>
        <w:spacing w:line="360" w:lineRule="auto"/>
        <w:rPr>
          <w:rFonts w:hint="eastAsia" w:ascii="宋体" w:hAnsi="宋体"/>
          <w:color w:val="000000"/>
          <w:sz w:val="24"/>
          <w:szCs w:val="24"/>
          <w:shd w:val="clear" w:color="auto" w:fill="FFFFFF"/>
        </w:rPr>
      </w:pPr>
      <w:r>
        <w:rPr>
          <w:rFonts w:ascii="宋体" w:hAnsi="宋体"/>
          <w:color w:val="000000"/>
          <w:sz w:val="24"/>
          <w:szCs w:val="24"/>
          <w:shd w:val="clear" w:color="auto" w:fill="FFFFFF"/>
        </w:rPr>
        <w:t>2</w:t>
      </w:r>
      <w:r>
        <w:rPr>
          <w:rFonts w:hint="eastAsia" w:ascii="宋体" w:hAnsi="宋体"/>
          <w:color w:val="000000"/>
          <w:sz w:val="24"/>
          <w:szCs w:val="24"/>
          <w:shd w:val="clear" w:color="auto" w:fill="FFFFFF"/>
        </w:rPr>
        <w:t>、甲方应及时查验收到的期刊，如发现所收期刊与发货清单内容不符、期刊破损、倒装、缺页等质量问题，及时通知乙方予以换刊。</w:t>
      </w:r>
    </w:p>
    <w:p w14:paraId="270FF12E">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3、 甲方应妥善保管发货清单以备查。</w:t>
      </w:r>
    </w:p>
    <w:p w14:paraId="39B6239D">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三、乙方的权利和义务</w:t>
      </w:r>
    </w:p>
    <w:p w14:paraId="41B1786A">
      <w:pPr>
        <w:spacing w:line="360" w:lineRule="auto"/>
        <w:rPr>
          <w:rFonts w:hint="eastAsia" w:ascii="宋体" w:hAnsi="宋体"/>
          <w:color w:val="000000"/>
          <w:sz w:val="24"/>
          <w:szCs w:val="24"/>
          <w:shd w:val="clear" w:color="auto" w:fill="FFFFFF"/>
        </w:rPr>
      </w:pPr>
      <w:r>
        <w:rPr>
          <w:rFonts w:ascii="宋体" w:hAnsi="宋体"/>
          <w:color w:val="000000"/>
          <w:sz w:val="24"/>
          <w:szCs w:val="24"/>
          <w:shd w:val="clear" w:color="auto" w:fill="FFFFFF"/>
        </w:rPr>
        <w:t>1</w:t>
      </w:r>
      <w:r>
        <w:rPr>
          <w:rFonts w:hint="eastAsia" w:ascii="宋体" w:hAnsi="宋体"/>
          <w:color w:val="000000"/>
          <w:sz w:val="24"/>
          <w:szCs w:val="24"/>
          <w:shd w:val="clear" w:color="auto" w:fill="FFFFFF"/>
        </w:rPr>
        <w:t>、乙方免费提供年度电子版和纸质版两种形式的期刊征订目录供甲方选择订购。</w:t>
      </w:r>
    </w:p>
    <w:p w14:paraId="747C9D45">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2．乙方应依据甲方提交的期刊征订清单，及时查重、汇总，并交由甲方再次确认，确认无误后的订单为最终订购单。</w:t>
      </w:r>
    </w:p>
    <w:p w14:paraId="6A31F21C">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3、乙方依据甲方的最终订购单采购，不得漏订、缺刊，期刊订到率不得低于99%（遇到期刊停刊、休刊等特殊情况除外）。</w:t>
      </w:r>
    </w:p>
    <w:p w14:paraId="61D87975">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4、乙方免费为甲方送刊，保证每周送刊至少一次，并直接送达到甲方指定地点：</w:t>
      </w:r>
      <w:r>
        <w:rPr>
          <w:rFonts w:hint="eastAsia" w:ascii="宋体" w:hAnsi="宋体"/>
          <w:b/>
          <w:color w:val="000000"/>
          <w:sz w:val="24"/>
          <w:szCs w:val="24"/>
          <w:shd w:val="clear" w:color="auto" w:fill="FFFFFF"/>
        </w:rPr>
        <w:t>西安建筑科技大学图书馆</w:t>
      </w:r>
      <w:r>
        <w:rPr>
          <w:rFonts w:hint="eastAsia" w:ascii="宋体" w:hAnsi="宋体"/>
          <w:color w:val="000000"/>
          <w:sz w:val="24"/>
          <w:szCs w:val="24"/>
          <w:shd w:val="clear" w:color="auto" w:fill="FFFFFF"/>
        </w:rPr>
        <w:t xml:space="preserve">。乙方所送达的每一批期刊必须随刊附送与货物数量、品种、价格相符的详细电子清单及打印汇总单，汇总单应字体清晰，并与期刊包装顺序保持一致。汇总单一式两份，内容一致，甲乙双方各执一份，以便核查。                             </w:t>
      </w:r>
    </w:p>
    <w:p w14:paraId="4EEDD568">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5、期刊验收由甲乙双方共同进行质量验收及货物的签收，要严格执行签收制度。若乙方不参与验收，则以甲方验收的结果为准。验货清单包括刊名、征订号（邮发代号）、中图刊号、卷期、复本数、册数、发货日期、</w:t>
      </w:r>
      <w:r>
        <w:rPr>
          <w:rFonts w:ascii="宋体" w:hAnsi="宋体"/>
          <w:color w:val="000000"/>
          <w:sz w:val="24"/>
          <w:szCs w:val="24"/>
          <w:shd w:val="clear" w:color="auto" w:fill="FFFFFF"/>
        </w:rPr>
        <w:t>ISSN</w:t>
      </w:r>
      <w:r>
        <w:rPr>
          <w:rFonts w:hint="eastAsia" w:ascii="宋体" w:hAnsi="宋体"/>
          <w:color w:val="000000"/>
          <w:sz w:val="24"/>
          <w:szCs w:val="24"/>
          <w:shd w:val="clear" w:color="auto" w:fill="FFFFFF"/>
        </w:rPr>
        <w:t>号，包号等。若甲方在验收过程中发现差错，应在验收后通知乙方，乙方应在</w:t>
      </w:r>
      <w:r>
        <w:rPr>
          <w:rFonts w:ascii="宋体" w:hAnsi="宋体"/>
          <w:color w:val="000000"/>
          <w:sz w:val="24"/>
          <w:szCs w:val="24"/>
          <w:shd w:val="clear" w:color="auto" w:fill="FFFFFF"/>
        </w:rPr>
        <w:t>48</w:t>
      </w:r>
      <w:r>
        <w:rPr>
          <w:rFonts w:hint="eastAsia" w:ascii="宋体" w:hAnsi="宋体"/>
          <w:color w:val="000000"/>
          <w:sz w:val="24"/>
          <w:szCs w:val="24"/>
          <w:shd w:val="clear" w:color="auto" w:fill="FFFFFF"/>
        </w:rPr>
        <w:t>小时内给予回应并及时处理。</w:t>
      </w:r>
    </w:p>
    <w:p w14:paraId="32A7E000">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6、乙方保证为甲方提供的期刊完全为正版期刊，如有非法出版物，乙方应承担相关法律责任和经济赔偿责任。</w:t>
      </w:r>
    </w:p>
    <w:p w14:paraId="58094A10">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7、乙方免费为甲方提供所订期刊的</w:t>
      </w:r>
      <w:r>
        <w:rPr>
          <w:rFonts w:ascii="宋体" w:hAnsi="宋体"/>
          <w:color w:val="000000"/>
          <w:sz w:val="24"/>
          <w:szCs w:val="24"/>
          <w:shd w:val="clear" w:color="auto" w:fill="FFFFFF"/>
        </w:rPr>
        <w:t>MARC</w:t>
      </w:r>
      <w:r>
        <w:rPr>
          <w:rFonts w:hint="eastAsia" w:ascii="宋体" w:hAnsi="宋体"/>
          <w:color w:val="000000"/>
          <w:sz w:val="24"/>
          <w:szCs w:val="24"/>
          <w:shd w:val="clear" w:color="auto" w:fill="FFFFFF"/>
        </w:rPr>
        <w:t>编目数据、粘贴永久性磁条，并于期刊出版后三周内免费送至甲方指定地点。若有特殊原因不能及时送达，乙方应及时向甲方说明原因。</w:t>
      </w:r>
    </w:p>
    <w:p w14:paraId="68125599">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8、到馆期刊如有破损、污损、印刷质量缺陷、缺刊等情况，乙方应无条件及时补换。同时，乙方承担刊物送达甲方指定地点前的所有供货及运输风险。</w:t>
      </w:r>
    </w:p>
    <w:p w14:paraId="259B1964">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9、乙方应保证正常情况下期刊的完整性，不得缺刊。对甲方反馈的催缺清单，及时反馈并补齐。乙方必须保证甲方订购期刊的到刊率不低于99</w:t>
      </w:r>
      <w:r>
        <w:rPr>
          <w:rFonts w:ascii="宋体" w:hAnsi="宋体"/>
          <w:color w:val="000000"/>
          <w:sz w:val="24"/>
          <w:szCs w:val="24"/>
          <w:shd w:val="clear" w:color="auto" w:fill="FFFFFF"/>
        </w:rPr>
        <w:t>%</w:t>
      </w:r>
      <w:r>
        <w:rPr>
          <w:rFonts w:hint="eastAsia" w:ascii="宋体" w:hAnsi="宋体"/>
          <w:color w:val="000000"/>
          <w:sz w:val="24"/>
          <w:szCs w:val="24"/>
          <w:shd w:val="clear" w:color="auto" w:fill="FFFFFF"/>
        </w:rPr>
        <w:t>。</w:t>
      </w:r>
    </w:p>
    <w:p w14:paraId="04370635">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10、节假日期间乙方应对甲方所到期刊根据甲方所提要求由乙方代为保管。</w:t>
      </w:r>
    </w:p>
    <w:p w14:paraId="245960D7">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11、如出版商提供甲方所订纸本期刊相应电子期刊的免费查询，乙方应及时通知并提供检索便利，同时做好维护工作，在使用中发生变化应及时通知甲方。</w:t>
      </w:r>
    </w:p>
    <w:p w14:paraId="723DE1E2">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四、付款方式</w:t>
      </w:r>
    </w:p>
    <w:p w14:paraId="58FA584C">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1、甲方分别于每年4-6月份支付乙方当年订购期刊总价款的80%，剩余款项在当年期刊到齐后支付。如若次年6月份前所订期刊仍未到齐，则乙方承担未到期刊（停刊、休刊等特殊情况除外）码洋总额150%的违约金；甲方可在未付的余款中扣除。付款前乙方需开具增值税专用发票，甲方收到发票后30个工作日内转账支付至乙方账户。如遇特殊情况不能及时支付，双方协商解决。</w:t>
      </w:r>
    </w:p>
    <w:p w14:paraId="28178C1F">
      <w:pPr>
        <w:spacing w:line="360" w:lineRule="auto"/>
        <w:ind w:firstLine="482" w:firstLineChars="200"/>
        <w:rPr>
          <w:rFonts w:hint="eastAsia" w:ascii="宋体" w:hAnsi="宋体"/>
          <w:b/>
          <w:color w:val="000000"/>
          <w:sz w:val="24"/>
          <w:szCs w:val="24"/>
          <w:shd w:val="clear" w:color="auto" w:fill="FFFFFF"/>
        </w:rPr>
      </w:pPr>
      <w:r>
        <w:rPr>
          <w:rFonts w:hint="eastAsia" w:ascii="宋体" w:hAnsi="宋体"/>
          <w:b/>
          <w:color w:val="000000"/>
          <w:sz w:val="24"/>
          <w:szCs w:val="24"/>
          <w:shd w:val="clear" w:color="auto" w:fill="FFFFFF"/>
        </w:rPr>
        <w:t>当年订购期刊总价款</w:t>
      </w:r>
      <w:r>
        <w:rPr>
          <w:rFonts w:ascii="宋体" w:hAnsi="宋体"/>
          <w:b/>
          <w:color w:val="000000"/>
          <w:sz w:val="24"/>
          <w:szCs w:val="24"/>
          <w:shd w:val="clear" w:color="auto" w:fill="FFFFFF"/>
        </w:rPr>
        <w:t>=</w:t>
      </w:r>
      <w:r>
        <w:rPr>
          <w:rFonts w:hint="eastAsia" w:ascii="宋体" w:hAnsi="宋体"/>
          <w:b/>
          <w:color w:val="000000"/>
          <w:sz w:val="24"/>
          <w:szCs w:val="24"/>
          <w:shd w:val="clear" w:color="auto" w:fill="FFFFFF"/>
        </w:rPr>
        <w:t>当年订购期刊总码洋×折扣率</w:t>
      </w:r>
    </w:p>
    <w:p w14:paraId="51529C0D">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2、甲方所订期刊如出现停刊、合并、拆分、载体变化等情况，乙方应分别通过</w:t>
      </w:r>
      <w:r>
        <w:rPr>
          <w:rFonts w:ascii="宋体" w:hAnsi="宋体"/>
          <w:color w:val="000000"/>
          <w:sz w:val="24"/>
          <w:szCs w:val="24"/>
          <w:shd w:val="clear" w:color="auto" w:fill="FFFFFF"/>
        </w:rPr>
        <w:t>Email</w:t>
      </w:r>
      <w:r>
        <w:rPr>
          <w:rFonts w:hint="eastAsia" w:ascii="宋体" w:hAnsi="宋体"/>
          <w:color w:val="000000"/>
          <w:sz w:val="24"/>
          <w:szCs w:val="24"/>
          <w:shd w:val="clear" w:color="auto" w:fill="FFFFFF"/>
        </w:rPr>
        <w:t>和书面形式及时通知甲方。停刊、休刊、价格变更等情况产生的退款或补收款项，均在当年订购期刊总价款的20%中结算。</w:t>
      </w:r>
    </w:p>
    <w:p w14:paraId="35C65AC9">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五、违约责任</w:t>
      </w:r>
    </w:p>
    <w:p w14:paraId="00396046">
      <w:pPr>
        <w:spacing w:line="360" w:lineRule="auto"/>
        <w:rPr>
          <w:rFonts w:ascii="宋体" w:hAnsi="宋体"/>
          <w:color w:val="000000"/>
          <w:sz w:val="24"/>
          <w:szCs w:val="24"/>
          <w:shd w:val="clear" w:color="auto" w:fill="FFFFFF"/>
        </w:rPr>
      </w:pPr>
      <w:r>
        <w:rPr>
          <w:rFonts w:ascii="宋体" w:hAnsi="宋体"/>
          <w:color w:val="000000"/>
          <w:sz w:val="24"/>
          <w:szCs w:val="24"/>
          <w:shd w:val="clear" w:color="auto" w:fill="FFFFFF"/>
        </w:rPr>
        <w:t>1</w:t>
      </w:r>
      <w:r>
        <w:rPr>
          <w:rFonts w:hint="eastAsia" w:ascii="宋体" w:hAnsi="宋体"/>
          <w:color w:val="000000"/>
          <w:sz w:val="24"/>
          <w:szCs w:val="24"/>
          <w:shd w:val="clear" w:color="auto" w:fill="FFFFFF"/>
        </w:rPr>
        <w:t>、乙方履行服务承诺不力，造成甲方所订期刊不能到货，又无法弥补的，甲方有权终止与乙方下一年度的合作。</w:t>
      </w:r>
    </w:p>
    <w:p w14:paraId="2C30EE64">
      <w:pPr>
        <w:spacing w:line="360" w:lineRule="auto"/>
        <w:rPr>
          <w:rFonts w:hint="eastAsia" w:ascii="宋体" w:hAnsi="宋体"/>
          <w:color w:val="000000"/>
          <w:sz w:val="24"/>
          <w:szCs w:val="24"/>
          <w:shd w:val="clear" w:color="auto" w:fill="FFFFFF"/>
        </w:rPr>
      </w:pPr>
      <w:r>
        <w:rPr>
          <w:rFonts w:ascii="宋体" w:hAnsi="宋体"/>
          <w:color w:val="000000"/>
          <w:sz w:val="24"/>
          <w:szCs w:val="24"/>
          <w:shd w:val="clear" w:color="auto" w:fill="FFFFFF"/>
        </w:rPr>
        <w:t>2</w:t>
      </w:r>
      <w:r>
        <w:rPr>
          <w:rFonts w:hint="eastAsia" w:ascii="宋体" w:hAnsi="宋体"/>
          <w:color w:val="000000"/>
          <w:sz w:val="24"/>
          <w:szCs w:val="24"/>
          <w:shd w:val="clear" w:color="auto" w:fill="FFFFFF"/>
        </w:rPr>
        <w:t>、若乙方送刊少于2次</w:t>
      </w:r>
      <w:r>
        <w:rPr>
          <w:rFonts w:ascii="宋体" w:hAnsi="宋体"/>
          <w:color w:val="000000"/>
          <w:sz w:val="24"/>
          <w:szCs w:val="24"/>
          <w:shd w:val="clear" w:color="auto" w:fill="FFFFFF"/>
        </w:rPr>
        <w:t>/</w:t>
      </w:r>
      <w:r>
        <w:rPr>
          <w:rFonts w:hint="eastAsia" w:ascii="宋体" w:hAnsi="宋体"/>
          <w:color w:val="000000"/>
          <w:sz w:val="24"/>
          <w:szCs w:val="24"/>
          <w:shd w:val="clear" w:color="auto" w:fill="FFFFFF"/>
        </w:rPr>
        <w:t>周或查询回应超过</w:t>
      </w:r>
      <w:r>
        <w:rPr>
          <w:rFonts w:ascii="宋体" w:hAnsi="宋体"/>
          <w:color w:val="000000"/>
          <w:sz w:val="24"/>
          <w:szCs w:val="24"/>
          <w:shd w:val="clear" w:color="auto" w:fill="FFFFFF"/>
        </w:rPr>
        <w:t>48</w:t>
      </w:r>
      <w:r>
        <w:rPr>
          <w:rFonts w:hint="eastAsia" w:ascii="宋体" w:hAnsi="宋体"/>
          <w:color w:val="000000"/>
          <w:sz w:val="24"/>
          <w:szCs w:val="24"/>
          <w:shd w:val="clear" w:color="auto" w:fill="FFFFFF"/>
        </w:rPr>
        <w:t>小时，每出现</w:t>
      </w:r>
      <w:r>
        <w:rPr>
          <w:rFonts w:ascii="宋体" w:hAnsi="宋体"/>
          <w:color w:val="000000"/>
          <w:sz w:val="24"/>
          <w:szCs w:val="24"/>
          <w:shd w:val="clear" w:color="auto" w:fill="FFFFFF"/>
        </w:rPr>
        <w:t>1</w:t>
      </w:r>
      <w:r>
        <w:rPr>
          <w:rFonts w:hint="eastAsia" w:ascii="宋体" w:hAnsi="宋体"/>
          <w:color w:val="000000"/>
          <w:sz w:val="24"/>
          <w:szCs w:val="24"/>
          <w:shd w:val="clear" w:color="auto" w:fill="FFFFFF"/>
        </w:rPr>
        <w:t>次，给予甲方</w:t>
      </w:r>
      <w:r>
        <w:rPr>
          <w:rFonts w:ascii="宋体" w:hAnsi="宋体"/>
          <w:color w:val="000000"/>
          <w:sz w:val="24"/>
          <w:szCs w:val="24"/>
          <w:shd w:val="clear" w:color="auto" w:fill="FFFFFF"/>
        </w:rPr>
        <w:t>500</w:t>
      </w:r>
      <w:r>
        <w:rPr>
          <w:rFonts w:hint="eastAsia" w:ascii="宋体" w:hAnsi="宋体"/>
          <w:color w:val="000000"/>
          <w:sz w:val="24"/>
          <w:szCs w:val="24"/>
          <w:shd w:val="clear" w:color="auto" w:fill="FFFFFF"/>
        </w:rPr>
        <w:t>元经济补偿。</w:t>
      </w:r>
    </w:p>
    <w:p w14:paraId="0B38C784">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六、合同期限</w:t>
      </w:r>
    </w:p>
    <w:p w14:paraId="3528EE29">
      <w:pPr>
        <w:spacing w:line="360" w:lineRule="auto"/>
        <w:ind w:firstLine="480" w:firstLineChars="200"/>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本合同经双方签字盖章后生效，有效期至甲方所订</w:t>
      </w:r>
      <w:r>
        <w:rPr>
          <w:rFonts w:hint="eastAsia" w:ascii="宋体" w:hAnsi="宋体"/>
          <w:color w:val="000000"/>
          <w:sz w:val="24"/>
          <w:szCs w:val="24"/>
          <w:shd w:val="clear" w:color="auto" w:fill="FFFFFF"/>
          <w:lang w:val="en-US" w:eastAsia="zh-CN"/>
        </w:rPr>
        <w:t>2029</w:t>
      </w:r>
      <w:r>
        <w:rPr>
          <w:rFonts w:hint="eastAsia" w:ascii="宋体" w:hAnsi="宋体"/>
          <w:color w:val="000000"/>
          <w:sz w:val="24"/>
          <w:szCs w:val="24"/>
          <w:shd w:val="clear" w:color="auto" w:fill="FFFFFF"/>
        </w:rPr>
        <w:t>年期刊最后一期到馆为止。</w:t>
      </w:r>
    </w:p>
    <w:p w14:paraId="4F99F22D">
      <w:pPr>
        <w:spacing w:line="360" w:lineRule="auto"/>
        <w:rPr>
          <w:rFonts w:ascii="宋体" w:hAnsi="宋体"/>
          <w:color w:val="000000"/>
          <w:sz w:val="24"/>
          <w:szCs w:val="24"/>
          <w:shd w:val="clear" w:color="auto" w:fill="FFFFFF"/>
        </w:rPr>
      </w:pPr>
      <w:r>
        <w:rPr>
          <w:rFonts w:hint="eastAsia" w:ascii="宋体" w:hAnsi="宋体"/>
          <w:color w:val="000000"/>
          <w:sz w:val="24"/>
          <w:szCs w:val="24"/>
          <w:shd w:val="clear" w:color="auto" w:fill="FFFFFF"/>
        </w:rPr>
        <w:t>七、本合同未尽事宜，双方可以签订补充条款，补充条款与本合同具有同等法律效力。对于合作过程中产生的问题，甲乙双方应本着友好合作、互利互惠的原则协商解决。协商不成，任何一方均可将争议提交</w:t>
      </w:r>
      <w:r>
        <w:rPr>
          <w:rFonts w:ascii="宋体" w:hAnsi="宋体"/>
          <w:color w:val="000000"/>
          <w:sz w:val="24"/>
          <w:szCs w:val="24"/>
          <w:shd w:val="clear" w:color="auto" w:fill="FFFFFF"/>
        </w:rPr>
        <w:t>西安仲裁委员会进行仲裁</w:t>
      </w:r>
      <w:r>
        <w:rPr>
          <w:rFonts w:hint="eastAsia" w:ascii="宋体" w:hAnsi="宋体"/>
          <w:color w:val="000000"/>
          <w:sz w:val="24"/>
          <w:szCs w:val="24"/>
          <w:shd w:val="clear" w:color="auto" w:fill="FFFFFF"/>
        </w:rPr>
        <w:t>。</w:t>
      </w:r>
    </w:p>
    <w:p w14:paraId="1710A57F">
      <w:pPr>
        <w:spacing w:line="360" w:lineRule="auto"/>
        <w:rPr>
          <w:rFonts w:hint="eastAsia" w:ascii="宋体" w:hAnsi="宋体"/>
          <w:color w:val="000000"/>
          <w:sz w:val="24"/>
          <w:szCs w:val="24"/>
          <w:shd w:val="clear" w:color="auto" w:fill="FFFFFF"/>
        </w:rPr>
      </w:pPr>
      <w:r>
        <w:rPr>
          <w:rFonts w:hint="eastAsia" w:ascii="宋体" w:hAnsi="宋体"/>
          <w:color w:val="000000"/>
          <w:sz w:val="24"/>
          <w:szCs w:val="24"/>
          <w:shd w:val="clear" w:color="auto" w:fill="FFFFFF"/>
        </w:rPr>
        <w:t>八、本合同一式</w:t>
      </w:r>
      <w:r>
        <w:rPr>
          <w:rFonts w:hint="eastAsia" w:ascii="宋体" w:hAnsi="宋体"/>
          <w:color w:val="000000"/>
          <w:sz w:val="24"/>
          <w:szCs w:val="24"/>
          <w:shd w:val="clear" w:color="auto" w:fill="FFFFFF"/>
          <w:lang w:val="en-US" w:eastAsia="zh-CN"/>
        </w:rPr>
        <w:t>5</w:t>
      </w:r>
      <w:r>
        <w:rPr>
          <w:rFonts w:hint="eastAsia" w:ascii="宋体" w:hAnsi="宋体"/>
          <w:color w:val="000000"/>
          <w:sz w:val="24"/>
          <w:szCs w:val="24"/>
          <w:shd w:val="clear" w:color="auto" w:fill="FFFFFF"/>
        </w:rPr>
        <w:t>份，甲方执</w:t>
      </w:r>
      <w:r>
        <w:rPr>
          <w:rFonts w:hint="eastAsia" w:ascii="宋体" w:hAnsi="宋体"/>
          <w:color w:val="000000"/>
          <w:sz w:val="24"/>
          <w:szCs w:val="24"/>
          <w:shd w:val="clear" w:color="auto" w:fill="FFFFFF"/>
          <w:lang w:val="en-US" w:eastAsia="zh-CN"/>
        </w:rPr>
        <w:t>3</w:t>
      </w:r>
      <w:r>
        <w:rPr>
          <w:rFonts w:hint="eastAsia" w:ascii="宋体" w:hAnsi="宋体"/>
          <w:color w:val="000000"/>
          <w:sz w:val="24"/>
          <w:szCs w:val="24"/>
          <w:shd w:val="clear" w:color="auto" w:fill="FFFFFF"/>
        </w:rPr>
        <w:t>份，乙方执2份，均具同等法律效力。</w:t>
      </w:r>
      <w:r>
        <w:rPr>
          <w:rFonts w:ascii="宋体" w:hAnsi="宋体"/>
          <w:color w:val="000000"/>
          <w:sz w:val="24"/>
          <w:szCs w:val="24"/>
          <w:shd w:val="clear" w:color="auto" w:fill="FFFFFF"/>
        </w:rPr>
        <w:t xml:space="preserve">   </w:t>
      </w:r>
    </w:p>
    <w:p w14:paraId="338EA8E9">
      <w:pPr>
        <w:spacing w:line="360" w:lineRule="auto"/>
        <w:rPr>
          <w:rFonts w:hint="eastAsia" w:ascii="宋体" w:hAnsi="宋体"/>
          <w:color w:val="000000"/>
          <w:sz w:val="24"/>
          <w:szCs w:val="24"/>
          <w:shd w:val="clear" w:color="auto" w:fill="FFFFFF"/>
        </w:rPr>
      </w:pPr>
    </w:p>
    <w:p w14:paraId="6C61D3CC">
      <w:pPr>
        <w:spacing w:line="360" w:lineRule="auto"/>
        <w:rPr>
          <w:rFonts w:hint="eastAsia" w:ascii="宋体" w:hAnsi="宋体"/>
          <w:color w:val="000000"/>
          <w:sz w:val="24"/>
          <w:szCs w:val="24"/>
          <w:shd w:val="clear" w:color="auto" w:fill="FFFFFF"/>
        </w:rPr>
      </w:pPr>
    </w:p>
    <w:p w14:paraId="5FC438B2">
      <w:pPr>
        <w:spacing w:line="360" w:lineRule="auto"/>
        <w:rPr>
          <w:rFonts w:hint="eastAsia" w:ascii="宋体" w:hAnsi="宋体"/>
          <w:color w:val="000000"/>
          <w:sz w:val="24"/>
          <w:szCs w:val="24"/>
          <w:shd w:val="clear" w:color="auto" w:fill="FFFFFF"/>
        </w:rPr>
      </w:pPr>
    </w:p>
    <w:p w14:paraId="75F68BBE">
      <w:pPr>
        <w:spacing w:line="360" w:lineRule="auto"/>
        <w:rPr>
          <w:rFonts w:hint="eastAsia" w:ascii="宋体" w:hAnsi="宋体"/>
          <w:color w:val="000000"/>
          <w:sz w:val="24"/>
          <w:szCs w:val="24"/>
          <w:shd w:val="clear" w:color="auto" w:fill="FFFFFF"/>
        </w:rPr>
      </w:pPr>
      <w:r>
        <w:rPr>
          <w:rFonts w:ascii="宋体" w:hAnsi="宋体"/>
          <w:color w:val="000000"/>
          <w:sz w:val="24"/>
          <w:szCs w:val="24"/>
          <w:shd w:val="clear" w:color="auto" w:fill="FFFFFF"/>
        </w:rPr>
        <w:t xml:space="preserve">       </w:t>
      </w:r>
    </w:p>
    <w:p w14:paraId="27C5833F">
      <w:pPr>
        <w:spacing w:line="720" w:lineRule="auto"/>
        <w:ind w:firstLine="120" w:firstLineChars="50"/>
        <w:rPr>
          <w:rFonts w:hint="eastAsia" w:ascii="宋体" w:hAnsi="宋体"/>
          <w:sz w:val="24"/>
          <w:szCs w:val="24"/>
        </w:rPr>
      </w:pPr>
      <w:r>
        <w:rPr>
          <w:rFonts w:hint="eastAsia" w:ascii="宋体" w:hAnsi="宋体"/>
          <w:sz w:val="24"/>
          <w:szCs w:val="24"/>
        </w:rPr>
        <w:t>甲方（盖章）：</w:t>
      </w:r>
      <w:r>
        <w:rPr>
          <w:rFonts w:hint="eastAsia" w:ascii="宋体" w:hAnsi="宋体"/>
          <w:sz w:val="24"/>
          <w:szCs w:val="24"/>
          <w:lang w:val="en-US" w:eastAsia="zh-CN"/>
        </w:rPr>
        <w:t xml:space="preserve">                      </w:t>
      </w:r>
      <w:r>
        <w:rPr>
          <w:rFonts w:hint="eastAsia" w:ascii="宋体" w:hAnsi="宋体"/>
          <w:sz w:val="24"/>
          <w:szCs w:val="24"/>
        </w:rPr>
        <w:t xml:space="preserve"> </w:t>
      </w:r>
      <w:r>
        <w:rPr>
          <w:rFonts w:ascii="宋体" w:hAnsi="宋体"/>
          <w:sz w:val="24"/>
          <w:szCs w:val="24"/>
        </w:rPr>
        <w:t xml:space="preserve"> </w:t>
      </w:r>
      <w:r>
        <w:rPr>
          <w:rFonts w:hint="eastAsia" w:ascii="宋体" w:hAnsi="宋体"/>
          <w:sz w:val="24"/>
          <w:szCs w:val="24"/>
        </w:rPr>
        <w:t xml:space="preserve">   乙方（盖章）：</w:t>
      </w:r>
    </w:p>
    <w:p w14:paraId="55B003A7">
      <w:pPr>
        <w:spacing w:line="720" w:lineRule="auto"/>
        <w:ind w:firstLine="120" w:firstLineChars="50"/>
        <w:rPr>
          <w:rFonts w:hint="eastAsia" w:ascii="宋体" w:hAnsi="宋体"/>
          <w:sz w:val="24"/>
          <w:szCs w:val="24"/>
        </w:rPr>
      </w:pPr>
    </w:p>
    <w:p w14:paraId="4829A50A">
      <w:pPr>
        <w:spacing w:line="720" w:lineRule="auto"/>
        <w:rPr>
          <w:rFonts w:ascii="宋体" w:hAnsi="宋体"/>
          <w:sz w:val="24"/>
          <w:szCs w:val="24"/>
        </w:rPr>
      </w:pPr>
      <w:r>
        <w:rPr>
          <w:rFonts w:hint="eastAsia" w:ascii="宋体" w:hAnsi="宋体"/>
          <w:sz w:val="24"/>
          <w:szCs w:val="24"/>
        </w:rPr>
        <w:t xml:space="preserve">日期     </w:t>
      </w:r>
      <w:r>
        <w:rPr>
          <w:rFonts w:ascii="宋体" w:hAnsi="宋体"/>
          <w:sz w:val="24"/>
          <w:szCs w:val="24"/>
        </w:rPr>
        <w:t xml:space="preserve">  </w:t>
      </w:r>
      <w:r>
        <w:rPr>
          <w:rFonts w:hint="eastAsia" w:ascii="宋体" w:hAnsi="宋体"/>
          <w:sz w:val="24"/>
          <w:szCs w:val="24"/>
        </w:rPr>
        <w:t>年    月    日                日期        年    月    日</w:t>
      </w:r>
    </w:p>
    <w:p w14:paraId="7FBEB13B">
      <w:pPr>
        <w:spacing w:line="360" w:lineRule="auto"/>
        <w:rPr>
          <w:rFonts w:hint="eastAsia" w:ascii="宋体" w:hAnsi="宋体"/>
          <w:sz w:val="24"/>
          <w:szCs w:val="24"/>
        </w:rPr>
      </w:pPr>
    </w:p>
    <w:p w14:paraId="36243341">
      <w:pPr>
        <w:spacing w:line="360" w:lineRule="auto"/>
        <w:rPr>
          <w:rFonts w:ascii="宋体" w:hAnsi="宋体"/>
          <w:sz w:val="24"/>
          <w:szCs w:val="24"/>
        </w:rPr>
      </w:pPr>
    </w:p>
    <w:sectPr>
      <w:footerReference r:id="rId3" w:type="default"/>
      <w:pgSz w:w="11906" w:h="16838"/>
      <w:pgMar w:top="1440" w:right="1588" w:bottom="1440" w:left="1797" w:header="851" w:footer="73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937F2">
    <w:pPr>
      <w:pStyle w:val="3"/>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rPr>
      <w:t>3</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rPr>
      <w:t>3</w:t>
    </w:r>
    <w:r>
      <w:rPr>
        <w:b/>
        <w:bCs/>
        <w:sz w:val="24"/>
        <w:szCs w:val="24"/>
      </w:rPr>
      <w:fldChar w:fldCharType="end"/>
    </w:r>
  </w:p>
  <w:p w14:paraId="5E60A01E">
    <w:pPr>
      <w:pStyle w:val="3"/>
      <w:jc w:val="cen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jNWFjOTU4NTE2YzlkNGZmMjcyMmJkNzJkNDZiNTYifQ=="/>
  </w:docVars>
  <w:rsids>
    <w:rsidRoot w:val="0002689D"/>
    <w:rsid w:val="0002689D"/>
    <w:rsid w:val="000307C5"/>
    <w:rsid w:val="0006599B"/>
    <w:rsid w:val="00081201"/>
    <w:rsid w:val="000A1C74"/>
    <w:rsid w:val="000A6B1D"/>
    <w:rsid w:val="001252F3"/>
    <w:rsid w:val="00141F97"/>
    <w:rsid w:val="001670EE"/>
    <w:rsid w:val="0017281B"/>
    <w:rsid w:val="001B1694"/>
    <w:rsid w:val="001D7609"/>
    <w:rsid w:val="001E2339"/>
    <w:rsid w:val="001F1BF4"/>
    <w:rsid w:val="00212B5F"/>
    <w:rsid w:val="00215D6A"/>
    <w:rsid w:val="0028512F"/>
    <w:rsid w:val="002A1100"/>
    <w:rsid w:val="002A4FCF"/>
    <w:rsid w:val="002B230C"/>
    <w:rsid w:val="002F25EB"/>
    <w:rsid w:val="00316162"/>
    <w:rsid w:val="00362681"/>
    <w:rsid w:val="003E2EDF"/>
    <w:rsid w:val="004C7F48"/>
    <w:rsid w:val="00532509"/>
    <w:rsid w:val="005B3CE4"/>
    <w:rsid w:val="00602B77"/>
    <w:rsid w:val="006D4336"/>
    <w:rsid w:val="006F54E7"/>
    <w:rsid w:val="00717F99"/>
    <w:rsid w:val="007D753F"/>
    <w:rsid w:val="007F7852"/>
    <w:rsid w:val="00805CC2"/>
    <w:rsid w:val="00815571"/>
    <w:rsid w:val="00822AF6"/>
    <w:rsid w:val="00884AD4"/>
    <w:rsid w:val="008E4249"/>
    <w:rsid w:val="0090447C"/>
    <w:rsid w:val="00987EE8"/>
    <w:rsid w:val="009A248A"/>
    <w:rsid w:val="009A40BA"/>
    <w:rsid w:val="009B0D00"/>
    <w:rsid w:val="009F155E"/>
    <w:rsid w:val="00A06F52"/>
    <w:rsid w:val="00AE2A5E"/>
    <w:rsid w:val="00B21444"/>
    <w:rsid w:val="00B34BDE"/>
    <w:rsid w:val="00B9243D"/>
    <w:rsid w:val="00BB71E3"/>
    <w:rsid w:val="00C1033B"/>
    <w:rsid w:val="00C24488"/>
    <w:rsid w:val="00C30FE1"/>
    <w:rsid w:val="00C600AD"/>
    <w:rsid w:val="00C67EED"/>
    <w:rsid w:val="00C83B59"/>
    <w:rsid w:val="00D1193A"/>
    <w:rsid w:val="00D371F7"/>
    <w:rsid w:val="00D51505"/>
    <w:rsid w:val="00D8179E"/>
    <w:rsid w:val="00D93857"/>
    <w:rsid w:val="00D96443"/>
    <w:rsid w:val="00DC5798"/>
    <w:rsid w:val="00DF3C4B"/>
    <w:rsid w:val="00DF72E5"/>
    <w:rsid w:val="00E00591"/>
    <w:rsid w:val="00E85C23"/>
    <w:rsid w:val="00E911BD"/>
    <w:rsid w:val="00EC4370"/>
    <w:rsid w:val="00EF3C02"/>
    <w:rsid w:val="00F37A06"/>
    <w:rsid w:val="00F74C4F"/>
    <w:rsid w:val="00F76AD4"/>
    <w:rsid w:val="00FF0C67"/>
    <w:rsid w:val="43F26B06"/>
    <w:rsid w:val="4E8544FF"/>
    <w:rsid w:val="7C8D50D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kern w:val="2"/>
      <w:sz w:val="21"/>
      <w:szCs w:val="22"/>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Date"/>
    <w:basedOn w:val="1"/>
    <w:next w:val="1"/>
    <w:link w:val="7"/>
    <w:uiPriority w:val="0"/>
    <w:pPr>
      <w:ind w:left="100" w:leftChars="2500"/>
    </w:pPr>
    <w:rPr>
      <w:rFonts w:ascii="Times New Roman" w:hAnsi="Times New Roman"/>
      <w:szCs w:val="24"/>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9"/>
    <w:uiPriority w:val="0"/>
    <w:pPr>
      <w:pBdr>
        <w:bottom w:val="single" w:color="auto" w:sz="6" w:space="1"/>
      </w:pBdr>
      <w:tabs>
        <w:tab w:val="center" w:pos="4153"/>
        <w:tab w:val="right" w:pos="8306"/>
      </w:tabs>
      <w:snapToGrid w:val="0"/>
      <w:jc w:val="center"/>
    </w:pPr>
    <w:rPr>
      <w:sz w:val="18"/>
      <w:szCs w:val="18"/>
    </w:rPr>
  </w:style>
  <w:style w:type="character" w:customStyle="1" w:styleId="7">
    <w:name w:val="日期 Char"/>
    <w:link w:val="2"/>
    <w:uiPriority w:val="0"/>
    <w:rPr>
      <w:kern w:val="2"/>
      <w:sz w:val="21"/>
      <w:szCs w:val="24"/>
    </w:rPr>
  </w:style>
  <w:style w:type="character" w:customStyle="1" w:styleId="8">
    <w:name w:val="页脚 Char"/>
    <w:link w:val="3"/>
    <w:uiPriority w:val="99"/>
    <w:rPr>
      <w:rFonts w:ascii="Calibri" w:hAnsi="Calibri"/>
      <w:kern w:val="2"/>
      <w:sz w:val="18"/>
      <w:szCs w:val="18"/>
    </w:rPr>
  </w:style>
  <w:style w:type="character" w:customStyle="1" w:styleId="9">
    <w:name w:val="页眉 Char"/>
    <w:link w:val="4"/>
    <w:uiPriority w:val="0"/>
    <w:rPr>
      <w:rFonts w:ascii="Calibri" w:hAnsi="Calibri"/>
      <w:kern w:val="2"/>
      <w:sz w:val="18"/>
      <w:szCs w:val="18"/>
    </w:rPr>
  </w:style>
  <w:style w:type="paragraph" w:customStyle="1" w:styleId="10">
    <w:name w:val="列出段落1"/>
    <w:basedOn w:val="1"/>
    <w:uiPriority w:val="0"/>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1667</Words>
  <Characters>1733</Characters>
  <Lines>14</Lines>
  <Paragraphs>4</Paragraphs>
  <TotalTime>1</TotalTime>
  <ScaleCrop>false</ScaleCrop>
  <LinksUpToDate>false</LinksUpToDate>
  <CharactersWithSpaces>1887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2014-11-20T10:13:00Z</dcterms:created>
  <dc:creator>asus-pc</dc:creator>
  <cp:lastModifiedBy>陕西中技招标有限公司</cp:lastModifiedBy>
  <dcterms:modified xsi:type="dcterms:W3CDTF">2026-07-23T08:35:24Z</dcterms:modified>
  <dc:title>2015年期刊采购合同</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9396C28A105E4410985968BE4A989300_13</vt:lpwstr>
  </property>
</Properties>
</file>