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2C2FB5">
      <w:pPr>
        <w:pStyle w:val="9"/>
        <w:rPr>
          <w:rFonts w:hint="default" w:ascii="宋体" w:hAnsi="宋体" w:eastAsia="宋体" w:cs="宋体"/>
          <w:b/>
          <w:bCs/>
          <w:color w:val="FF0000"/>
          <w:kern w:val="0"/>
          <w:sz w:val="30"/>
          <w:szCs w:val="30"/>
          <w:highlight w:val="none"/>
          <w:lang w:val="en-US"/>
        </w:rPr>
      </w:pPr>
      <w:r>
        <w:rPr>
          <w:rFonts w:hint="eastAsia" w:ascii="宋体" w:hAnsi="宋体" w:eastAsia="宋体" w:cs="宋体"/>
          <w:b/>
          <w:bCs/>
          <w:color w:val="auto"/>
          <w:kern w:val="0"/>
          <w:sz w:val="30"/>
          <w:szCs w:val="30"/>
          <w:highlight w:val="none"/>
        </w:rPr>
        <w:t>项目编号：</w:t>
      </w:r>
      <w:r>
        <w:rPr>
          <w:rFonts w:hint="eastAsia" w:ascii="宋体" w:hAnsi="宋体" w:cs="宋体"/>
          <w:b/>
          <w:bCs/>
          <w:color w:val="auto"/>
          <w:kern w:val="0"/>
          <w:sz w:val="30"/>
          <w:szCs w:val="30"/>
          <w:highlight w:val="none"/>
          <w:lang w:val="en-US" w:eastAsia="zh-CN"/>
        </w:rPr>
        <w:t>HXXS2026-031</w:t>
      </w:r>
    </w:p>
    <w:p w14:paraId="056EB622">
      <w:pPr>
        <w:pStyle w:val="9"/>
        <w:rPr>
          <w:rFonts w:hint="default" w:ascii="宋体" w:hAnsi="宋体" w:eastAsia="宋体" w:cs="宋体"/>
          <w:color w:val="auto"/>
          <w:kern w:val="0"/>
          <w:sz w:val="24"/>
          <w:szCs w:val="24"/>
          <w:highlight w:val="none"/>
          <w:lang w:val="en-US" w:eastAsia="zh-CN" w:bidi="ar"/>
        </w:rPr>
      </w:pPr>
    </w:p>
    <w:p w14:paraId="25568BAA">
      <w:pPr>
        <w:pStyle w:val="42"/>
        <w:ind w:left="0" w:leftChars="0" w:firstLine="0" w:firstLineChars="0"/>
        <w:rPr>
          <w:rFonts w:hint="eastAsia" w:ascii="宋体" w:hAnsi="宋体" w:eastAsia="宋体" w:cs="宋体"/>
          <w:b/>
          <w:bCs/>
          <w:color w:val="auto"/>
          <w:kern w:val="0"/>
          <w:sz w:val="24"/>
          <w:szCs w:val="24"/>
          <w:highlight w:val="none"/>
          <w:lang w:val="en-US" w:eastAsia="zh-CN" w:bidi="ar"/>
        </w:rPr>
      </w:pPr>
    </w:p>
    <w:p w14:paraId="66F8D272">
      <w:pPr>
        <w:tabs>
          <w:tab w:val="left" w:pos="2410"/>
          <w:tab w:val="center" w:pos="4423"/>
        </w:tabs>
        <w:jc w:val="center"/>
        <w:rPr>
          <w:rFonts w:hint="eastAsia" w:ascii="宋体" w:hAnsi="宋体" w:eastAsia="宋体" w:cs="宋体"/>
          <w:b/>
          <w:bCs w:val="0"/>
          <w:color w:val="auto"/>
          <w:sz w:val="52"/>
          <w:szCs w:val="52"/>
          <w:highlight w:val="none"/>
          <w:lang w:val="en-US" w:eastAsia="zh-CN"/>
        </w:rPr>
      </w:pPr>
      <w:r>
        <w:rPr>
          <w:rFonts w:hint="eastAsia" w:ascii="宋体" w:hAnsi="宋体" w:cs="宋体"/>
          <w:b/>
          <w:bCs w:val="0"/>
          <w:color w:val="auto"/>
          <w:sz w:val="52"/>
          <w:szCs w:val="52"/>
          <w:highlight w:val="none"/>
          <w:lang w:val="en-US" w:eastAsia="zh-CN"/>
        </w:rPr>
        <w:t>吴堡县沿黄土石山区植物园建设（三期）项目监理服务</w:t>
      </w:r>
    </w:p>
    <w:p w14:paraId="7E2064D2">
      <w:pPr>
        <w:tabs>
          <w:tab w:val="left" w:pos="2410"/>
          <w:tab w:val="center" w:pos="4423"/>
        </w:tabs>
        <w:jc w:val="center"/>
        <w:rPr>
          <w:rFonts w:hint="eastAsia" w:ascii="宋体" w:hAnsi="宋体" w:eastAsia="宋体" w:cs="宋体"/>
          <w:b/>
          <w:bCs w:val="0"/>
          <w:color w:val="auto"/>
          <w:sz w:val="52"/>
          <w:szCs w:val="52"/>
          <w:highlight w:val="none"/>
          <w:lang w:val="en-US" w:eastAsia="zh-CN"/>
        </w:rPr>
      </w:pPr>
    </w:p>
    <w:p w14:paraId="7DFC8239">
      <w:pPr>
        <w:tabs>
          <w:tab w:val="left" w:pos="2410"/>
          <w:tab w:val="center" w:pos="4423"/>
        </w:tabs>
        <w:jc w:val="center"/>
        <w:rPr>
          <w:rFonts w:hint="default"/>
          <w:b/>
          <w:bCs w:val="0"/>
          <w:sz w:val="72"/>
          <w:szCs w:val="72"/>
          <w:lang w:val="en-US"/>
        </w:rPr>
      </w:pPr>
      <w:r>
        <w:rPr>
          <w:rFonts w:hint="eastAsia" w:ascii="宋体" w:hAnsi="宋体" w:eastAsia="宋体" w:cs="宋体"/>
          <w:b/>
          <w:bCs w:val="0"/>
          <w:color w:val="auto"/>
          <w:sz w:val="72"/>
          <w:szCs w:val="72"/>
          <w:highlight w:val="none"/>
          <w:lang w:val="en-US" w:eastAsia="zh-CN"/>
        </w:rPr>
        <w:t>竞争性磋商</w:t>
      </w:r>
      <w:r>
        <w:rPr>
          <w:rFonts w:hint="eastAsia" w:ascii="宋体" w:hAnsi="宋体" w:cs="宋体"/>
          <w:b/>
          <w:bCs w:val="0"/>
          <w:color w:val="auto"/>
          <w:sz w:val="72"/>
          <w:szCs w:val="72"/>
          <w:highlight w:val="none"/>
          <w:lang w:val="en-US" w:eastAsia="zh-CN"/>
        </w:rPr>
        <w:t>文件</w:t>
      </w:r>
    </w:p>
    <w:p w14:paraId="14DAD31C">
      <w:pPr>
        <w:pStyle w:val="42"/>
        <w:ind w:left="0" w:leftChars="0" w:firstLine="0" w:firstLineChars="0"/>
        <w:jc w:val="both"/>
        <w:rPr>
          <w:rFonts w:hint="eastAsia" w:ascii="宋体" w:hAnsi="宋体" w:eastAsia="宋体" w:cs="宋体"/>
          <w:b/>
          <w:color w:val="auto"/>
          <w:sz w:val="30"/>
          <w:highlight w:val="none"/>
        </w:rPr>
      </w:pPr>
    </w:p>
    <w:p w14:paraId="55FCE1B5">
      <w:pPr>
        <w:pStyle w:val="42"/>
        <w:ind w:left="0" w:leftChars="0" w:firstLine="0" w:firstLineChars="0"/>
        <w:jc w:val="both"/>
        <w:rPr>
          <w:rFonts w:hint="eastAsia" w:ascii="宋体" w:hAnsi="宋体" w:eastAsia="宋体" w:cs="宋体"/>
          <w:b/>
          <w:color w:val="auto"/>
          <w:sz w:val="30"/>
          <w:highlight w:val="none"/>
        </w:rPr>
      </w:pPr>
    </w:p>
    <w:p w14:paraId="65035C87">
      <w:pPr>
        <w:pStyle w:val="15"/>
        <w:rPr>
          <w:rFonts w:hint="eastAsia" w:ascii="宋体" w:hAnsi="宋体" w:eastAsia="宋体" w:cs="宋体"/>
          <w:b/>
          <w:color w:val="auto"/>
          <w:sz w:val="30"/>
          <w:highlight w:val="none"/>
        </w:rPr>
      </w:pPr>
    </w:p>
    <w:p w14:paraId="0C080B97">
      <w:pPr>
        <w:pStyle w:val="9"/>
        <w:rPr>
          <w:rFonts w:hint="eastAsia" w:ascii="宋体" w:hAnsi="宋体" w:eastAsia="宋体" w:cs="宋体"/>
          <w:highlight w:val="none"/>
        </w:rPr>
      </w:pPr>
    </w:p>
    <w:p w14:paraId="16FFAD6F">
      <w:pPr>
        <w:rPr>
          <w:rFonts w:hint="eastAsia" w:ascii="宋体" w:hAnsi="宋体" w:eastAsia="宋体" w:cs="宋体"/>
          <w:highlight w:val="none"/>
        </w:rPr>
      </w:pPr>
    </w:p>
    <w:p w14:paraId="44F39BAB">
      <w:pPr>
        <w:pStyle w:val="23"/>
        <w:rPr>
          <w:rFonts w:hint="eastAsia"/>
        </w:rPr>
      </w:pPr>
    </w:p>
    <w:p w14:paraId="15E53107">
      <w:pPr>
        <w:keepNext w:val="0"/>
        <w:keepLines w:val="0"/>
        <w:widowControl/>
        <w:suppressLineNumbers w:val="0"/>
        <w:ind w:firstLine="964" w:firstLineChars="300"/>
        <w:jc w:val="left"/>
        <w:rPr>
          <w:rFonts w:hint="eastAsia" w:ascii="宋体" w:hAnsi="宋体" w:eastAsia="宋体" w:cs="宋体"/>
          <w:b/>
          <w:color w:val="auto"/>
          <w:sz w:val="32"/>
          <w:szCs w:val="32"/>
          <w:highlight w:val="none"/>
          <w:lang w:val="en-US" w:eastAsia="zh-CN"/>
        </w:rPr>
      </w:pPr>
    </w:p>
    <w:p w14:paraId="4D643A51">
      <w:pPr>
        <w:keepNext w:val="0"/>
        <w:keepLines w:val="0"/>
        <w:widowControl/>
        <w:suppressLineNumbers w:val="0"/>
        <w:jc w:val="left"/>
        <w:rPr>
          <w:rFonts w:hint="eastAsia" w:ascii="宋体" w:hAnsi="宋体" w:eastAsia="宋体" w:cs="宋体"/>
          <w:b/>
          <w:color w:val="auto"/>
          <w:sz w:val="32"/>
          <w:szCs w:val="32"/>
          <w:highlight w:val="none"/>
          <w:lang w:val="en-US" w:eastAsia="zh-CN"/>
        </w:rPr>
      </w:pPr>
    </w:p>
    <w:p w14:paraId="2874C012">
      <w:pPr>
        <w:keepNext w:val="0"/>
        <w:keepLines w:val="0"/>
        <w:widowControl/>
        <w:suppressLineNumbers w:val="0"/>
        <w:ind w:firstLine="964" w:firstLineChars="300"/>
        <w:jc w:val="left"/>
        <w:rPr>
          <w:rFonts w:hint="eastAsia" w:ascii="宋体" w:hAnsi="宋体" w:eastAsia="宋体" w:cs="宋体"/>
          <w:b/>
          <w:color w:val="auto"/>
          <w:sz w:val="32"/>
          <w:szCs w:val="32"/>
          <w:highlight w:val="none"/>
          <w:lang w:val="en-US" w:eastAsia="zh-CN"/>
        </w:rPr>
      </w:pPr>
    </w:p>
    <w:p w14:paraId="0CAE7F5A">
      <w:pPr>
        <w:pStyle w:val="23"/>
        <w:rPr>
          <w:rFonts w:hint="eastAsia"/>
          <w:lang w:val="en-US" w:eastAsia="zh-CN"/>
        </w:rPr>
      </w:pPr>
    </w:p>
    <w:p w14:paraId="4E3C171D">
      <w:pPr>
        <w:keepNext w:val="0"/>
        <w:keepLines w:val="0"/>
        <w:widowControl/>
        <w:suppressLineNumbers w:val="0"/>
        <w:ind w:firstLine="964" w:firstLineChars="300"/>
        <w:jc w:val="lef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采 购 人：</w:t>
      </w:r>
      <w:r>
        <w:rPr>
          <w:rFonts w:hint="eastAsia" w:ascii="宋体" w:hAnsi="宋体" w:cs="宋体"/>
          <w:b/>
          <w:color w:val="auto"/>
          <w:sz w:val="32"/>
          <w:szCs w:val="32"/>
          <w:highlight w:val="none"/>
          <w:lang w:val="en-US" w:eastAsia="zh-CN"/>
        </w:rPr>
        <w:t>吴堡县林业局</w:t>
      </w:r>
    </w:p>
    <w:p w14:paraId="674B4F5F">
      <w:pPr>
        <w:pStyle w:val="42"/>
        <w:ind w:firstLine="630" w:firstLineChars="300"/>
        <w:rPr>
          <w:rFonts w:hint="eastAsia" w:ascii="宋体" w:hAnsi="宋体" w:eastAsia="宋体" w:cs="宋体"/>
          <w:highlight w:val="none"/>
          <w:lang w:val="en-US" w:eastAsia="zh-CN"/>
        </w:rPr>
      </w:pPr>
    </w:p>
    <w:p w14:paraId="19AA589D">
      <w:pPr>
        <w:ind w:left="0" w:leftChars="0" w:firstLine="964" w:firstLineChars="300"/>
        <w:jc w:val="both"/>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eastAsia="zh-CN"/>
        </w:rPr>
        <w:t>代理</w:t>
      </w:r>
      <w:r>
        <w:rPr>
          <w:rFonts w:hint="eastAsia" w:ascii="宋体" w:hAnsi="宋体" w:eastAsia="宋体" w:cs="宋体"/>
          <w:b/>
          <w:color w:val="auto"/>
          <w:sz w:val="32"/>
          <w:szCs w:val="32"/>
          <w:highlight w:val="none"/>
          <w:lang w:val="en-US" w:eastAsia="zh-CN"/>
        </w:rPr>
        <w:t>机构：</w:t>
      </w:r>
      <w:r>
        <w:rPr>
          <w:rFonts w:hint="eastAsia" w:ascii="宋体" w:hAnsi="宋体" w:cs="宋体"/>
          <w:b/>
          <w:color w:val="auto"/>
          <w:sz w:val="32"/>
          <w:szCs w:val="32"/>
          <w:highlight w:val="none"/>
          <w:lang w:val="en-US" w:eastAsia="zh-CN"/>
        </w:rPr>
        <w:t>陕西泓祥兴顺工程项目管理有限公司</w:t>
      </w:r>
    </w:p>
    <w:p w14:paraId="4B16F322">
      <w:pPr>
        <w:pStyle w:val="42"/>
        <w:rPr>
          <w:rFonts w:hint="eastAsia" w:ascii="宋体" w:hAnsi="宋体" w:eastAsia="宋体" w:cs="宋体"/>
          <w:highlight w:val="none"/>
        </w:rPr>
      </w:pPr>
    </w:p>
    <w:p w14:paraId="4E63D454">
      <w:p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二零二</w:t>
      </w:r>
      <w:r>
        <w:rPr>
          <w:rFonts w:hint="eastAsia" w:ascii="宋体" w:hAnsi="宋体" w:cs="宋体"/>
          <w:b/>
          <w:color w:val="auto"/>
          <w:sz w:val="32"/>
          <w:szCs w:val="32"/>
          <w:highlight w:val="none"/>
          <w:lang w:val="en-US" w:eastAsia="zh-CN"/>
        </w:rPr>
        <w:t>六</w:t>
      </w:r>
      <w:r>
        <w:rPr>
          <w:rFonts w:hint="eastAsia" w:ascii="宋体" w:hAnsi="宋体" w:eastAsia="宋体" w:cs="宋体"/>
          <w:b/>
          <w:color w:val="auto"/>
          <w:sz w:val="32"/>
          <w:szCs w:val="32"/>
          <w:highlight w:val="none"/>
          <w:lang w:val="en-US" w:eastAsia="zh-CN"/>
        </w:rPr>
        <w:t>年</w:t>
      </w:r>
      <w:r>
        <w:rPr>
          <w:rFonts w:hint="eastAsia" w:ascii="宋体" w:hAnsi="宋体" w:cs="宋体"/>
          <w:b/>
          <w:color w:val="auto"/>
          <w:sz w:val="32"/>
          <w:szCs w:val="32"/>
          <w:highlight w:val="none"/>
          <w:lang w:val="en-US" w:eastAsia="zh-CN"/>
        </w:rPr>
        <w:t>九</w:t>
      </w:r>
      <w:r>
        <w:rPr>
          <w:rFonts w:hint="eastAsia" w:ascii="宋体" w:hAnsi="宋体" w:eastAsia="宋体" w:cs="宋体"/>
          <w:b/>
          <w:color w:val="auto"/>
          <w:sz w:val="32"/>
          <w:szCs w:val="32"/>
          <w:highlight w:val="none"/>
          <w:lang w:val="en-US" w:eastAsia="zh-CN"/>
        </w:rPr>
        <w:t>月</w:t>
      </w:r>
    </w:p>
    <w:p w14:paraId="6B8514C2">
      <w:pPr>
        <w:spacing w:line="360" w:lineRule="auto"/>
        <w:jc w:val="center"/>
        <w:rPr>
          <w:rFonts w:hint="eastAsia" w:ascii="宋体" w:hAnsi="宋体" w:eastAsia="宋体" w:cs="宋体"/>
          <w:b/>
          <w:sz w:val="48"/>
          <w:szCs w:val="48"/>
        </w:rPr>
        <w:sectPr>
          <w:headerReference r:id="rId4" w:type="first"/>
          <w:headerReference r:id="rId3" w:type="default"/>
          <w:footerReference r:id="rId5" w:type="default"/>
          <w:pgSz w:w="11906" w:h="16838"/>
          <w:pgMar w:top="1440" w:right="1644" w:bottom="1440" w:left="1644" w:header="851" w:footer="992" w:gutter="0"/>
          <w:pgNumType w:fmt="decimal"/>
          <w:cols w:space="720" w:num="1"/>
          <w:titlePg/>
          <w:docGrid w:type="lines" w:linePitch="312" w:charSpace="0"/>
        </w:sectPr>
      </w:pPr>
    </w:p>
    <w:p w14:paraId="7AC130CB">
      <w:pPr>
        <w:spacing w:line="360" w:lineRule="auto"/>
        <w:jc w:val="center"/>
        <w:rPr>
          <w:rFonts w:hint="eastAsia" w:ascii="宋体" w:hAnsi="宋体" w:eastAsia="宋体" w:cs="宋体"/>
          <w:b/>
          <w:sz w:val="48"/>
          <w:szCs w:val="48"/>
        </w:rPr>
      </w:pPr>
      <w:r>
        <w:rPr>
          <w:rFonts w:hint="eastAsia" w:ascii="宋体" w:hAnsi="宋体" w:eastAsia="宋体" w:cs="宋体"/>
          <w:b/>
          <w:sz w:val="48"/>
          <w:szCs w:val="48"/>
        </w:rPr>
        <w:t>目   录</w:t>
      </w:r>
    </w:p>
    <w:sdt>
      <w:sdtPr>
        <w:rPr>
          <w:rFonts w:hint="eastAsia" w:ascii="宋体" w:hAnsi="宋体" w:eastAsia="宋体" w:cs="宋体"/>
        </w:rPr>
        <w:id w:val="147473171"/>
        <w15:color w:val="DBDBDB"/>
        <w:docPartObj>
          <w:docPartGallery w:val="Table of Contents"/>
          <w:docPartUnique/>
        </w:docPartObj>
      </w:sdtPr>
      <w:sdtEndPr>
        <w:rPr>
          <w:rFonts w:hint="eastAsia" w:ascii="宋体" w:hAnsi="宋体" w:eastAsia="宋体" w:cs="宋体"/>
          <w:b/>
          <w:sz w:val="28"/>
          <w:szCs w:val="28"/>
        </w:rPr>
      </w:sdtEndPr>
      <w:sdtContent>
        <w:p w14:paraId="7763C7B6">
          <w:pPr>
            <w:spacing w:line="360" w:lineRule="auto"/>
            <w:jc w:val="center"/>
            <w:rPr>
              <w:rFonts w:hint="eastAsia" w:ascii="宋体" w:hAnsi="宋体" w:eastAsia="宋体" w:cs="宋体"/>
            </w:rPr>
          </w:pPr>
        </w:p>
        <w:p w14:paraId="1E8A617B">
          <w:pPr>
            <w:pStyle w:val="18"/>
            <w:keepNext w:val="0"/>
            <w:keepLines w:val="0"/>
            <w:pageBreakBefore w:val="0"/>
            <w:widowControl w:val="0"/>
            <w:tabs>
              <w:tab w:val="right" w:leader="dot" w:pos="8618"/>
            </w:tabs>
            <w:kinsoku/>
            <w:wordWrap/>
            <w:overflowPunct/>
            <w:topLinePunct w:val="0"/>
            <w:autoSpaceDE/>
            <w:autoSpaceDN/>
            <w:bidi w:val="0"/>
            <w:spacing w:line="720" w:lineRule="auto"/>
            <w:textAlignment w:val="auto"/>
            <w:rPr>
              <w:sz w:val="32"/>
              <w:szCs w:val="28"/>
            </w:rPr>
          </w:pPr>
          <w:r>
            <w:rPr>
              <w:rFonts w:hint="eastAsia" w:ascii="宋体" w:hAnsi="宋体" w:eastAsia="宋体" w:cs="宋体"/>
              <w:b/>
              <w:sz w:val="56"/>
              <w:szCs w:val="56"/>
            </w:rPr>
            <w:fldChar w:fldCharType="begin"/>
          </w:r>
          <w:r>
            <w:rPr>
              <w:rFonts w:hint="eastAsia" w:ascii="宋体" w:hAnsi="宋体" w:eastAsia="宋体" w:cs="宋体"/>
              <w:b/>
              <w:sz w:val="56"/>
              <w:szCs w:val="56"/>
            </w:rPr>
            <w:instrText xml:space="preserve">TOC \o "1-2" \h \u </w:instrText>
          </w:r>
          <w:r>
            <w:rPr>
              <w:rFonts w:hint="eastAsia" w:ascii="宋体" w:hAnsi="宋体" w:eastAsia="宋体" w:cs="宋体"/>
              <w:b/>
              <w:sz w:val="56"/>
              <w:szCs w:val="56"/>
            </w:rPr>
            <w:fldChar w:fldCharType="separate"/>
          </w:r>
          <w:r>
            <w:rPr>
              <w:rFonts w:hint="eastAsia" w:ascii="宋体" w:hAnsi="宋体" w:eastAsia="宋体" w:cs="宋体"/>
              <w:sz w:val="32"/>
              <w:szCs w:val="56"/>
            </w:rPr>
            <w:fldChar w:fldCharType="begin"/>
          </w:r>
          <w:r>
            <w:rPr>
              <w:rFonts w:hint="eastAsia" w:ascii="宋体" w:hAnsi="宋体" w:eastAsia="宋体" w:cs="宋体"/>
              <w:sz w:val="32"/>
              <w:szCs w:val="56"/>
            </w:rPr>
            <w:instrText xml:space="preserve"> HYPERLINK \l _Toc8090 </w:instrText>
          </w:r>
          <w:r>
            <w:rPr>
              <w:rFonts w:hint="eastAsia" w:ascii="宋体" w:hAnsi="宋体" w:eastAsia="宋体" w:cs="宋体"/>
              <w:sz w:val="32"/>
              <w:szCs w:val="56"/>
            </w:rPr>
            <w:fldChar w:fldCharType="separate"/>
          </w:r>
          <w:r>
            <w:rPr>
              <w:rFonts w:hint="eastAsia" w:ascii="宋体" w:hAnsi="宋体" w:eastAsia="宋体" w:cs="宋体"/>
              <w:sz w:val="32"/>
              <w:szCs w:val="52"/>
            </w:rPr>
            <w:t>第一章 竞争性磋商公告</w:t>
          </w:r>
          <w:r>
            <w:rPr>
              <w:sz w:val="32"/>
              <w:szCs w:val="28"/>
            </w:rPr>
            <w:tab/>
          </w:r>
          <w:r>
            <w:rPr>
              <w:sz w:val="32"/>
              <w:szCs w:val="28"/>
            </w:rPr>
            <w:fldChar w:fldCharType="begin"/>
          </w:r>
          <w:r>
            <w:rPr>
              <w:sz w:val="32"/>
              <w:szCs w:val="28"/>
            </w:rPr>
            <w:instrText xml:space="preserve"> PAGEREF _Toc8090 \h </w:instrText>
          </w:r>
          <w:r>
            <w:rPr>
              <w:sz w:val="32"/>
              <w:szCs w:val="28"/>
            </w:rPr>
            <w:fldChar w:fldCharType="separate"/>
          </w:r>
          <w:r>
            <w:rPr>
              <w:sz w:val="32"/>
              <w:szCs w:val="28"/>
            </w:rPr>
            <w:t>3</w:t>
          </w:r>
          <w:r>
            <w:rPr>
              <w:sz w:val="32"/>
              <w:szCs w:val="28"/>
            </w:rPr>
            <w:fldChar w:fldCharType="end"/>
          </w:r>
          <w:r>
            <w:rPr>
              <w:rFonts w:hint="eastAsia" w:ascii="宋体" w:hAnsi="宋体" w:eastAsia="宋体" w:cs="宋体"/>
              <w:sz w:val="32"/>
              <w:szCs w:val="56"/>
            </w:rPr>
            <w:fldChar w:fldCharType="end"/>
          </w:r>
        </w:p>
        <w:p w14:paraId="7071FBBB">
          <w:pPr>
            <w:pStyle w:val="18"/>
            <w:keepNext w:val="0"/>
            <w:keepLines w:val="0"/>
            <w:pageBreakBefore w:val="0"/>
            <w:widowControl w:val="0"/>
            <w:tabs>
              <w:tab w:val="right" w:leader="dot" w:pos="8618"/>
            </w:tabs>
            <w:kinsoku/>
            <w:wordWrap/>
            <w:overflowPunct/>
            <w:topLinePunct w:val="0"/>
            <w:autoSpaceDE/>
            <w:autoSpaceDN/>
            <w:bidi w:val="0"/>
            <w:spacing w:line="720" w:lineRule="auto"/>
            <w:textAlignment w:val="auto"/>
            <w:rPr>
              <w:sz w:val="32"/>
              <w:szCs w:val="28"/>
            </w:rPr>
          </w:pPr>
          <w:r>
            <w:rPr>
              <w:rFonts w:hint="eastAsia" w:ascii="宋体" w:hAnsi="宋体" w:eastAsia="宋体" w:cs="宋体"/>
              <w:sz w:val="32"/>
              <w:szCs w:val="56"/>
            </w:rPr>
            <w:fldChar w:fldCharType="begin"/>
          </w:r>
          <w:r>
            <w:rPr>
              <w:rFonts w:hint="eastAsia" w:ascii="宋体" w:hAnsi="宋体" w:eastAsia="宋体" w:cs="宋体"/>
              <w:sz w:val="32"/>
              <w:szCs w:val="56"/>
            </w:rPr>
            <w:instrText xml:space="preserve"> HYPERLINK \l _Toc14481 </w:instrText>
          </w:r>
          <w:r>
            <w:rPr>
              <w:rFonts w:hint="eastAsia" w:ascii="宋体" w:hAnsi="宋体" w:eastAsia="宋体" w:cs="宋体"/>
              <w:sz w:val="32"/>
              <w:szCs w:val="56"/>
            </w:rPr>
            <w:fldChar w:fldCharType="separate"/>
          </w:r>
          <w:r>
            <w:rPr>
              <w:rFonts w:hint="eastAsia" w:ascii="宋体" w:hAnsi="宋体" w:eastAsia="宋体" w:cs="宋体"/>
              <w:sz w:val="32"/>
              <w:szCs w:val="52"/>
            </w:rPr>
            <w:t>第二章 供应商须知前附表</w:t>
          </w:r>
          <w:r>
            <w:rPr>
              <w:sz w:val="32"/>
              <w:szCs w:val="28"/>
            </w:rPr>
            <w:tab/>
          </w:r>
          <w:r>
            <w:rPr>
              <w:sz w:val="32"/>
              <w:szCs w:val="28"/>
            </w:rPr>
            <w:fldChar w:fldCharType="begin"/>
          </w:r>
          <w:r>
            <w:rPr>
              <w:sz w:val="32"/>
              <w:szCs w:val="28"/>
            </w:rPr>
            <w:instrText xml:space="preserve"> PAGEREF _Toc14481 \h </w:instrText>
          </w:r>
          <w:r>
            <w:rPr>
              <w:sz w:val="32"/>
              <w:szCs w:val="28"/>
            </w:rPr>
            <w:fldChar w:fldCharType="separate"/>
          </w:r>
          <w:r>
            <w:rPr>
              <w:sz w:val="32"/>
              <w:szCs w:val="28"/>
            </w:rPr>
            <w:t>8</w:t>
          </w:r>
          <w:r>
            <w:rPr>
              <w:sz w:val="32"/>
              <w:szCs w:val="28"/>
            </w:rPr>
            <w:fldChar w:fldCharType="end"/>
          </w:r>
          <w:r>
            <w:rPr>
              <w:rFonts w:hint="eastAsia" w:ascii="宋体" w:hAnsi="宋体" w:eastAsia="宋体" w:cs="宋体"/>
              <w:sz w:val="32"/>
              <w:szCs w:val="56"/>
            </w:rPr>
            <w:fldChar w:fldCharType="end"/>
          </w:r>
        </w:p>
        <w:p w14:paraId="5A1F20FF">
          <w:pPr>
            <w:pStyle w:val="18"/>
            <w:keepNext w:val="0"/>
            <w:keepLines w:val="0"/>
            <w:pageBreakBefore w:val="0"/>
            <w:widowControl w:val="0"/>
            <w:tabs>
              <w:tab w:val="right" w:leader="dot" w:pos="8618"/>
            </w:tabs>
            <w:kinsoku/>
            <w:wordWrap/>
            <w:overflowPunct/>
            <w:topLinePunct w:val="0"/>
            <w:autoSpaceDE/>
            <w:autoSpaceDN/>
            <w:bidi w:val="0"/>
            <w:spacing w:line="720" w:lineRule="auto"/>
            <w:textAlignment w:val="auto"/>
            <w:rPr>
              <w:sz w:val="32"/>
              <w:szCs w:val="28"/>
            </w:rPr>
          </w:pPr>
          <w:r>
            <w:rPr>
              <w:rFonts w:hint="eastAsia" w:ascii="宋体" w:hAnsi="宋体" w:eastAsia="宋体" w:cs="宋体"/>
              <w:sz w:val="32"/>
              <w:szCs w:val="56"/>
            </w:rPr>
            <w:fldChar w:fldCharType="begin"/>
          </w:r>
          <w:r>
            <w:rPr>
              <w:rFonts w:hint="eastAsia" w:ascii="宋体" w:hAnsi="宋体" w:eastAsia="宋体" w:cs="宋体"/>
              <w:sz w:val="32"/>
              <w:szCs w:val="56"/>
            </w:rPr>
            <w:instrText xml:space="preserve"> HYPERLINK \l _Toc21681 </w:instrText>
          </w:r>
          <w:r>
            <w:rPr>
              <w:rFonts w:hint="eastAsia" w:ascii="宋体" w:hAnsi="宋体" w:eastAsia="宋体" w:cs="宋体"/>
              <w:sz w:val="32"/>
              <w:szCs w:val="56"/>
            </w:rPr>
            <w:fldChar w:fldCharType="separate"/>
          </w:r>
          <w:r>
            <w:rPr>
              <w:rFonts w:hint="eastAsia" w:ascii="宋体" w:hAnsi="宋体" w:eastAsia="宋体" w:cs="宋体"/>
              <w:sz w:val="32"/>
              <w:szCs w:val="52"/>
            </w:rPr>
            <w:t>第三章 评标方法和标准</w:t>
          </w:r>
          <w:r>
            <w:rPr>
              <w:sz w:val="32"/>
              <w:szCs w:val="28"/>
            </w:rPr>
            <w:tab/>
          </w:r>
          <w:r>
            <w:rPr>
              <w:sz w:val="32"/>
              <w:szCs w:val="28"/>
            </w:rPr>
            <w:fldChar w:fldCharType="begin"/>
          </w:r>
          <w:r>
            <w:rPr>
              <w:sz w:val="32"/>
              <w:szCs w:val="28"/>
            </w:rPr>
            <w:instrText xml:space="preserve"> PAGEREF _Toc21681 \h </w:instrText>
          </w:r>
          <w:r>
            <w:rPr>
              <w:sz w:val="32"/>
              <w:szCs w:val="28"/>
            </w:rPr>
            <w:fldChar w:fldCharType="separate"/>
          </w:r>
          <w:r>
            <w:rPr>
              <w:sz w:val="32"/>
              <w:szCs w:val="28"/>
            </w:rPr>
            <w:t>36</w:t>
          </w:r>
          <w:r>
            <w:rPr>
              <w:sz w:val="32"/>
              <w:szCs w:val="28"/>
            </w:rPr>
            <w:fldChar w:fldCharType="end"/>
          </w:r>
          <w:r>
            <w:rPr>
              <w:rFonts w:hint="eastAsia" w:ascii="宋体" w:hAnsi="宋体" w:eastAsia="宋体" w:cs="宋体"/>
              <w:sz w:val="32"/>
              <w:szCs w:val="56"/>
            </w:rPr>
            <w:fldChar w:fldCharType="end"/>
          </w:r>
        </w:p>
        <w:p w14:paraId="1DCF3CBC">
          <w:pPr>
            <w:pStyle w:val="18"/>
            <w:keepNext w:val="0"/>
            <w:keepLines w:val="0"/>
            <w:pageBreakBefore w:val="0"/>
            <w:widowControl w:val="0"/>
            <w:tabs>
              <w:tab w:val="right" w:leader="dot" w:pos="8618"/>
            </w:tabs>
            <w:kinsoku/>
            <w:wordWrap/>
            <w:overflowPunct/>
            <w:topLinePunct w:val="0"/>
            <w:autoSpaceDE/>
            <w:autoSpaceDN/>
            <w:bidi w:val="0"/>
            <w:spacing w:line="720" w:lineRule="auto"/>
            <w:textAlignment w:val="auto"/>
            <w:rPr>
              <w:sz w:val="32"/>
              <w:szCs w:val="28"/>
            </w:rPr>
          </w:pPr>
          <w:r>
            <w:rPr>
              <w:rFonts w:hint="eastAsia" w:ascii="宋体" w:hAnsi="宋体" w:eastAsia="宋体" w:cs="宋体"/>
              <w:sz w:val="32"/>
              <w:szCs w:val="56"/>
            </w:rPr>
            <w:fldChar w:fldCharType="begin"/>
          </w:r>
          <w:r>
            <w:rPr>
              <w:rFonts w:hint="eastAsia" w:ascii="宋体" w:hAnsi="宋体" w:eastAsia="宋体" w:cs="宋体"/>
              <w:sz w:val="32"/>
              <w:szCs w:val="56"/>
            </w:rPr>
            <w:instrText xml:space="preserve"> HYPERLINK \l _Toc29003 </w:instrText>
          </w:r>
          <w:r>
            <w:rPr>
              <w:rFonts w:hint="eastAsia" w:ascii="宋体" w:hAnsi="宋体" w:eastAsia="宋体" w:cs="宋体"/>
              <w:sz w:val="32"/>
              <w:szCs w:val="56"/>
            </w:rPr>
            <w:fldChar w:fldCharType="separate"/>
          </w:r>
          <w:r>
            <w:rPr>
              <w:rFonts w:hint="eastAsia" w:ascii="宋体" w:hAnsi="宋体" w:eastAsia="宋体" w:cs="宋体"/>
              <w:sz w:val="32"/>
              <w:szCs w:val="52"/>
            </w:rPr>
            <w:t>第四章 合同条款及格式</w:t>
          </w:r>
          <w:r>
            <w:rPr>
              <w:sz w:val="32"/>
              <w:szCs w:val="28"/>
            </w:rPr>
            <w:tab/>
          </w:r>
          <w:r>
            <w:rPr>
              <w:sz w:val="32"/>
              <w:szCs w:val="28"/>
            </w:rPr>
            <w:fldChar w:fldCharType="begin"/>
          </w:r>
          <w:r>
            <w:rPr>
              <w:sz w:val="32"/>
              <w:szCs w:val="28"/>
            </w:rPr>
            <w:instrText xml:space="preserve"> PAGEREF _Toc29003 \h </w:instrText>
          </w:r>
          <w:r>
            <w:rPr>
              <w:sz w:val="32"/>
              <w:szCs w:val="28"/>
            </w:rPr>
            <w:fldChar w:fldCharType="separate"/>
          </w:r>
          <w:r>
            <w:rPr>
              <w:sz w:val="32"/>
              <w:szCs w:val="28"/>
            </w:rPr>
            <w:t>45</w:t>
          </w:r>
          <w:r>
            <w:rPr>
              <w:sz w:val="32"/>
              <w:szCs w:val="28"/>
            </w:rPr>
            <w:fldChar w:fldCharType="end"/>
          </w:r>
          <w:r>
            <w:rPr>
              <w:rFonts w:hint="eastAsia" w:ascii="宋体" w:hAnsi="宋体" w:eastAsia="宋体" w:cs="宋体"/>
              <w:sz w:val="32"/>
              <w:szCs w:val="56"/>
            </w:rPr>
            <w:fldChar w:fldCharType="end"/>
          </w:r>
        </w:p>
        <w:p w14:paraId="253F2CAD">
          <w:pPr>
            <w:pStyle w:val="18"/>
            <w:keepNext w:val="0"/>
            <w:keepLines w:val="0"/>
            <w:pageBreakBefore w:val="0"/>
            <w:widowControl w:val="0"/>
            <w:tabs>
              <w:tab w:val="right" w:leader="dot" w:pos="8618"/>
            </w:tabs>
            <w:kinsoku/>
            <w:wordWrap/>
            <w:overflowPunct/>
            <w:topLinePunct w:val="0"/>
            <w:autoSpaceDE/>
            <w:autoSpaceDN/>
            <w:bidi w:val="0"/>
            <w:spacing w:line="720" w:lineRule="auto"/>
            <w:textAlignment w:val="auto"/>
            <w:rPr>
              <w:sz w:val="32"/>
              <w:szCs w:val="28"/>
            </w:rPr>
          </w:pPr>
          <w:r>
            <w:rPr>
              <w:rFonts w:hint="eastAsia" w:ascii="宋体" w:hAnsi="宋体" w:eastAsia="宋体" w:cs="宋体"/>
              <w:sz w:val="32"/>
              <w:szCs w:val="56"/>
            </w:rPr>
            <w:fldChar w:fldCharType="begin"/>
          </w:r>
          <w:r>
            <w:rPr>
              <w:rFonts w:hint="eastAsia" w:ascii="宋体" w:hAnsi="宋体" w:eastAsia="宋体" w:cs="宋体"/>
              <w:sz w:val="32"/>
              <w:szCs w:val="56"/>
            </w:rPr>
            <w:instrText xml:space="preserve"> HYPERLINK \l _Toc722 </w:instrText>
          </w:r>
          <w:r>
            <w:rPr>
              <w:rFonts w:hint="eastAsia" w:ascii="宋体" w:hAnsi="宋体" w:eastAsia="宋体" w:cs="宋体"/>
              <w:sz w:val="32"/>
              <w:szCs w:val="56"/>
            </w:rPr>
            <w:fldChar w:fldCharType="separate"/>
          </w:r>
          <w:r>
            <w:rPr>
              <w:rFonts w:hint="eastAsia" w:ascii="宋体" w:hAnsi="宋体" w:eastAsia="宋体" w:cs="宋体"/>
              <w:sz w:val="32"/>
              <w:szCs w:val="52"/>
            </w:rPr>
            <w:t xml:space="preserve">第五章 </w:t>
          </w:r>
          <w:r>
            <w:rPr>
              <w:rFonts w:hint="eastAsia" w:ascii="宋体" w:hAnsi="宋体" w:eastAsia="宋体" w:cs="宋体"/>
              <w:sz w:val="32"/>
              <w:szCs w:val="52"/>
              <w:highlight w:val="none"/>
            </w:rPr>
            <w:t>采购内容及要求</w:t>
          </w:r>
          <w:r>
            <w:rPr>
              <w:sz w:val="32"/>
              <w:szCs w:val="28"/>
            </w:rPr>
            <w:tab/>
          </w:r>
          <w:r>
            <w:rPr>
              <w:sz w:val="32"/>
              <w:szCs w:val="28"/>
            </w:rPr>
            <w:fldChar w:fldCharType="begin"/>
          </w:r>
          <w:r>
            <w:rPr>
              <w:sz w:val="32"/>
              <w:szCs w:val="28"/>
            </w:rPr>
            <w:instrText xml:space="preserve"> PAGEREF _Toc722 \h </w:instrText>
          </w:r>
          <w:r>
            <w:rPr>
              <w:sz w:val="32"/>
              <w:szCs w:val="28"/>
            </w:rPr>
            <w:fldChar w:fldCharType="separate"/>
          </w:r>
          <w:r>
            <w:rPr>
              <w:sz w:val="32"/>
              <w:szCs w:val="28"/>
            </w:rPr>
            <w:t>50</w:t>
          </w:r>
          <w:r>
            <w:rPr>
              <w:sz w:val="32"/>
              <w:szCs w:val="28"/>
            </w:rPr>
            <w:fldChar w:fldCharType="end"/>
          </w:r>
          <w:r>
            <w:rPr>
              <w:rFonts w:hint="eastAsia" w:ascii="宋体" w:hAnsi="宋体" w:eastAsia="宋体" w:cs="宋体"/>
              <w:sz w:val="32"/>
              <w:szCs w:val="56"/>
            </w:rPr>
            <w:fldChar w:fldCharType="end"/>
          </w:r>
        </w:p>
        <w:p w14:paraId="54C02F82">
          <w:pPr>
            <w:pStyle w:val="18"/>
            <w:keepNext w:val="0"/>
            <w:keepLines w:val="0"/>
            <w:pageBreakBefore w:val="0"/>
            <w:widowControl w:val="0"/>
            <w:tabs>
              <w:tab w:val="right" w:leader="dot" w:pos="8618"/>
            </w:tabs>
            <w:kinsoku/>
            <w:wordWrap/>
            <w:overflowPunct/>
            <w:topLinePunct w:val="0"/>
            <w:autoSpaceDE/>
            <w:autoSpaceDN/>
            <w:bidi w:val="0"/>
            <w:spacing w:line="720" w:lineRule="auto"/>
            <w:textAlignment w:val="auto"/>
            <w:rPr>
              <w:sz w:val="32"/>
              <w:szCs w:val="28"/>
            </w:rPr>
          </w:pPr>
          <w:r>
            <w:rPr>
              <w:rFonts w:hint="eastAsia" w:ascii="宋体" w:hAnsi="宋体" w:eastAsia="宋体" w:cs="宋体"/>
              <w:sz w:val="32"/>
              <w:szCs w:val="56"/>
            </w:rPr>
            <w:fldChar w:fldCharType="begin"/>
          </w:r>
          <w:r>
            <w:rPr>
              <w:rFonts w:hint="eastAsia" w:ascii="宋体" w:hAnsi="宋体" w:eastAsia="宋体" w:cs="宋体"/>
              <w:sz w:val="32"/>
              <w:szCs w:val="56"/>
            </w:rPr>
            <w:instrText xml:space="preserve"> HYPERLINK \l _Toc6427 </w:instrText>
          </w:r>
          <w:r>
            <w:rPr>
              <w:rFonts w:hint="eastAsia" w:ascii="宋体" w:hAnsi="宋体" w:eastAsia="宋体" w:cs="宋体"/>
              <w:sz w:val="32"/>
              <w:szCs w:val="56"/>
            </w:rPr>
            <w:fldChar w:fldCharType="separate"/>
          </w:r>
          <w:r>
            <w:rPr>
              <w:rFonts w:hint="eastAsia" w:ascii="宋体" w:hAnsi="宋体" w:eastAsia="宋体" w:cs="宋体"/>
              <w:sz w:val="32"/>
              <w:szCs w:val="28"/>
              <w:lang w:eastAsia="zh-CN"/>
            </w:rPr>
            <w:t>第六章 竞争性磋商响应文件格式</w:t>
          </w:r>
          <w:r>
            <w:rPr>
              <w:sz w:val="32"/>
              <w:szCs w:val="28"/>
            </w:rPr>
            <w:tab/>
          </w:r>
          <w:r>
            <w:rPr>
              <w:sz w:val="32"/>
              <w:szCs w:val="28"/>
            </w:rPr>
            <w:fldChar w:fldCharType="begin"/>
          </w:r>
          <w:r>
            <w:rPr>
              <w:sz w:val="32"/>
              <w:szCs w:val="28"/>
            </w:rPr>
            <w:instrText xml:space="preserve"> PAGEREF _Toc6427 \h </w:instrText>
          </w:r>
          <w:r>
            <w:rPr>
              <w:sz w:val="32"/>
              <w:szCs w:val="28"/>
            </w:rPr>
            <w:fldChar w:fldCharType="separate"/>
          </w:r>
          <w:r>
            <w:rPr>
              <w:sz w:val="32"/>
              <w:szCs w:val="28"/>
            </w:rPr>
            <w:t>52</w:t>
          </w:r>
          <w:r>
            <w:rPr>
              <w:sz w:val="32"/>
              <w:szCs w:val="28"/>
            </w:rPr>
            <w:fldChar w:fldCharType="end"/>
          </w:r>
          <w:r>
            <w:rPr>
              <w:rFonts w:hint="eastAsia" w:ascii="宋体" w:hAnsi="宋体" w:eastAsia="宋体" w:cs="宋体"/>
              <w:sz w:val="32"/>
              <w:szCs w:val="56"/>
            </w:rPr>
            <w:fldChar w:fldCharType="end"/>
          </w:r>
        </w:p>
        <w:p w14:paraId="2424C7B1">
          <w:pPr>
            <w:keepNext w:val="0"/>
            <w:keepLines w:val="0"/>
            <w:pageBreakBefore w:val="0"/>
            <w:widowControl w:val="0"/>
            <w:kinsoku/>
            <w:wordWrap/>
            <w:overflowPunct/>
            <w:topLinePunct w:val="0"/>
            <w:autoSpaceDE/>
            <w:autoSpaceDN/>
            <w:bidi w:val="0"/>
            <w:adjustRightInd w:val="0"/>
            <w:snapToGrid w:val="0"/>
            <w:spacing w:line="720" w:lineRule="auto"/>
            <w:textAlignment w:val="auto"/>
            <w:rPr>
              <w:rFonts w:hint="eastAsia" w:ascii="宋体" w:hAnsi="宋体" w:eastAsia="宋体" w:cs="宋体"/>
              <w:b/>
              <w:sz w:val="28"/>
              <w:szCs w:val="28"/>
            </w:rPr>
          </w:pPr>
          <w:r>
            <w:rPr>
              <w:rFonts w:hint="eastAsia" w:ascii="宋体" w:hAnsi="宋体" w:eastAsia="宋体" w:cs="宋体"/>
              <w:sz w:val="32"/>
              <w:szCs w:val="56"/>
            </w:rPr>
            <w:fldChar w:fldCharType="end"/>
          </w:r>
        </w:p>
      </w:sdtContent>
    </w:sdt>
    <w:p w14:paraId="717E647C">
      <w:pPr>
        <w:adjustRightInd w:val="0"/>
        <w:snapToGrid w:val="0"/>
        <w:spacing w:line="360" w:lineRule="auto"/>
        <w:rPr>
          <w:rFonts w:hint="eastAsia" w:ascii="宋体" w:hAnsi="宋体" w:eastAsia="宋体" w:cs="宋体"/>
          <w:sz w:val="32"/>
          <w:szCs w:val="32"/>
        </w:rPr>
      </w:pPr>
    </w:p>
    <w:p w14:paraId="744320BC">
      <w:pPr>
        <w:spacing w:line="360" w:lineRule="auto"/>
        <w:jc w:val="center"/>
        <w:rPr>
          <w:rFonts w:hint="eastAsia" w:ascii="宋体" w:hAnsi="宋体" w:eastAsia="宋体" w:cs="宋体"/>
          <w:b/>
          <w:sz w:val="44"/>
          <w:lang w:val="en-US" w:eastAsia="zh-CN"/>
        </w:rPr>
      </w:pPr>
      <w:r>
        <w:rPr>
          <w:rFonts w:hint="eastAsia" w:ascii="宋体" w:hAnsi="宋体" w:cs="宋体"/>
          <w:b/>
          <w:sz w:val="44"/>
          <w:lang w:val="en-US" w:eastAsia="zh-CN"/>
        </w:rPr>
        <w:t xml:space="preserve"> </w:t>
      </w:r>
    </w:p>
    <w:p w14:paraId="46CADAF9">
      <w:pPr>
        <w:spacing w:line="360" w:lineRule="auto"/>
        <w:jc w:val="center"/>
        <w:rPr>
          <w:rFonts w:hint="eastAsia" w:ascii="宋体" w:hAnsi="宋体" w:eastAsia="宋体" w:cs="宋体"/>
          <w:b/>
          <w:sz w:val="44"/>
        </w:rPr>
      </w:pPr>
    </w:p>
    <w:p w14:paraId="45C13C7E">
      <w:pPr>
        <w:pStyle w:val="2"/>
        <w:numPr>
          <w:ilvl w:val="0"/>
          <w:numId w:val="2"/>
        </w:numPr>
        <w:spacing w:line="360" w:lineRule="auto"/>
        <w:rPr>
          <w:rFonts w:hint="eastAsia" w:ascii="宋体" w:hAnsi="宋体" w:eastAsia="宋体" w:cs="宋体"/>
          <w:sz w:val="36"/>
          <w:szCs w:val="36"/>
        </w:rPr>
        <w:sectPr>
          <w:footerReference r:id="rId7" w:type="first"/>
          <w:footerReference r:id="rId6" w:type="default"/>
          <w:pgSz w:w="11906" w:h="16838"/>
          <w:pgMar w:top="1440" w:right="1644" w:bottom="1440" w:left="1644" w:header="851" w:footer="992" w:gutter="0"/>
          <w:pgNumType w:fmt="decimal" w:start="2"/>
          <w:cols w:space="720" w:num="1"/>
          <w:titlePg/>
          <w:docGrid w:type="lines" w:linePitch="312" w:charSpace="0"/>
        </w:sectPr>
      </w:pPr>
      <w:bookmarkStart w:id="0" w:name="_Toc504605084"/>
    </w:p>
    <w:p w14:paraId="1513FB23">
      <w:pPr>
        <w:pStyle w:val="2"/>
        <w:numPr>
          <w:ilvl w:val="0"/>
          <w:numId w:val="2"/>
        </w:numPr>
        <w:spacing w:line="360" w:lineRule="auto"/>
        <w:rPr>
          <w:rFonts w:hint="eastAsia" w:ascii="宋体" w:hAnsi="宋体" w:eastAsia="宋体" w:cs="宋体"/>
          <w:sz w:val="36"/>
          <w:szCs w:val="36"/>
        </w:rPr>
      </w:pPr>
      <w:r>
        <w:rPr>
          <w:rFonts w:hint="eastAsia" w:ascii="宋体" w:hAnsi="宋体" w:eastAsia="宋体" w:cs="宋体"/>
          <w:sz w:val="36"/>
          <w:szCs w:val="36"/>
        </w:rPr>
        <w:t xml:space="preserve"> </w:t>
      </w:r>
      <w:bookmarkStart w:id="1" w:name="_Toc8090"/>
      <w:bookmarkStart w:id="2" w:name="_Toc9301"/>
      <w:r>
        <w:rPr>
          <w:rFonts w:hint="eastAsia" w:ascii="宋体" w:hAnsi="宋体" w:eastAsia="宋体" w:cs="宋体"/>
          <w:sz w:val="36"/>
          <w:szCs w:val="36"/>
        </w:rPr>
        <w:t>竞争性磋商公告</w:t>
      </w:r>
      <w:bookmarkEnd w:id="0"/>
      <w:bookmarkEnd w:id="1"/>
      <w:bookmarkEnd w:id="2"/>
    </w:p>
    <w:p w14:paraId="516FBB9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textAlignment w:val="baseline"/>
        <w:rPr>
          <w:rFonts w:hint="eastAsia" w:asciiTheme="minorEastAsia" w:hAnsiTheme="minorEastAsia" w:eastAsiaTheme="minorEastAsia" w:cstheme="minorEastAsia"/>
          <w:b w:val="0"/>
          <w:bCs w:val="0"/>
          <w:sz w:val="24"/>
          <w:szCs w:val="24"/>
        </w:rPr>
      </w:pPr>
      <w:r>
        <w:rPr>
          <w:rStyle w:val="29"/>
          <w:rFonts w:hint="eastAsia" w:asciiTheme="minorEastAsia" w:hAnsiTheme="minorEastAsia" w:eastAsiaTheme="minorEastAsia" w:cstheme="minorEastAsia"/>
          <w:b/>
          <w:bCs/>
          <w:i w:val="0"/>
          <w:iCs w:val="0"/>
          <w:caps w:val="0"/>
          <w:color w:val="333333"/>
          <w:spacing w:val="0"/>
          <w:sz w:val="24"/>
          <w:szCs w:val="24"/>
          <w:shd w:val="clear" w:fill="FFFFFF"/>
          <w:vertAlign w:val="baseline"/>
        </w:rPr>
        <w:t>项目概况</w:t>
      </w:r>
    </w:p>
    <w:p w14:paraId="4295ECD2">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吴堡县沿黄土石山区植物园建设（三期）项目监理服务采购项目的潜在供应商应在榆林市卓越创新谷科创孵化基地2楼004室获取采购文件，并于 2026年09月23日 09时30分 （北京时间）前提交响应文件。</w:t>
      </w:r>
    </w:p>
    <w:p w14:paraId="0172B86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29"/>
          <w:rFonts w:hint="eastAsia" w:asciiTheme="minorEastAsia" w:hAnsiTheme="minorEastAsia" w:eastAsiaTheme="minorEastAsia" w:cstheme="minorEastAsia"/>
          <w:b/>
          <w:bCs/>
          <w:i w:val="0"/>
          <w:iCs w:val="0"/>
          <w:caps w:val="0"/>
          <w:color w:val="333333"/>
          <w:spacing w:val="0"/>
          <w:sz w:val="24"/>
          <w:szCs w:val="24"/>
          <w:shd w:val="clear" w:fill="FFFFFF"/>
          <w:vertAlign w:val="baseline"/>
        </w:rPr>
        <w:t>一、项目基本情况</w:t>
      </w:r>
    </w:p>
    <w:p w14:paraId="0AC9628D">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项目编号：HXXS2026-031</w:t>
      </w:r>
    </w:p>
    <w:p w14:paraId="61C1D0D5">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项目名称：吴堡县沿黄土石山区植物园建设（三期）项目监理服务</w:t>
      </w:r>
    </w:p>
    <w:p w14:paraId="22C2AC84">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采购方式：竞争性磋商</w:t>
      </w:r>
    </w:p>
    <w:p w14:paraId="492228E7">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预算金额：378,000.00元</w:t>
      </w:r>
    </w:p>
    <w:p w14:paraId="777F17DB">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采购需求：</w:t>
      </w:r>
    </w:p>
    <w:p w14:paraId="2360736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合同包1(吴堡县沿黄土石山区植物园建设（三期）项目监理服务):</w:t>
      </w:r>
    </w:p>
    <w:p w14:paraId="7506C5B5">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合同包预算金额：378,000.00元</w:t>
      </w:r>
    </w:p>
    <w:p w14:paraId="7D77589A">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合同包最高限价：378,000.00元</w:t>
      </w:r>
    </w:p>
    <w:tbl>
      <w:tblPr>
        <w:tblStyle w:val="2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00"/>
        <w:gridCol w:w="2051"/>
        <w:gridCol w:w="2789"/>
        <w:gridCol w:w="840"/>
        <w:gridCol w:w="1360"/>
        <w:gridCol w:w="1440"/>
      </w:tblGrid>
      <w:tr w14:paraId="13C6C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8" w:hRule="atLeast"/>
          <w:tblHeader/>
        </w:trPr>
        <w:tc>
          <w:tcPr>
            <w:tcW w:w="36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243EA0">
            <w:pPr>
              <w:keepNext w:val="0"/>
              <w:keepLines w:val="0"/>
              <w:widowControl/>
              <w:suppressLineNumbers w:val="0"/>
              <w:spacing w:before="0" w:beforeAutospacing="0" w:after="0" w:afterAutospacing="0" w:line="360" w:lineRule="atLeast"/>
              <w:ind w:left="0" w:right="0"/>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品目号</w:t>
            </w:r>
          </w:p>
        </w:tc>
        <w:tc>
          <w:tcPr>
            <w:tcW w:w="117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A3850D">
            <w:pPr>
              <w:keepNext w:val="0"/>
              <w:keepLines w:val="0"/>
              <w:widowControl/>
              <w:suppressLineNumbers w:val="0"/>
              <w:spacing w:before="0" w:beforeAutospacing="0" w:after="0" w:afterAutospacing="0" w:line="360" w:lineRule="atLeast"/>
              <w:ind w:left="0" w:right="0"/>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品目名称</w:t>
            </w:r>
          </w:p>
        </w:tc>
        <w:tc>
          <w:tcPr>
            <w:tcW w:w="157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920FF0">
            <w:pPr>
              <w:keepNext w:val="0"/>
              <w:keepLines w:val="0"/>
              <w:widowControl/>
              <w:suppressLineNumbers w:val="0"/>
              <w:spacing w:before="0" w:beforeAutospacing="0" w:after="0" w:afterAutospacing="0" w:line="360" w:lineRule="atLeast"/>
              <w:ind w:left="0" w:right="0"/>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采购标的</w:t>
            </w:r>
          </w:p>
        </w:tc>
        <w:tc>
          <w:tcPr>
            <w:tcW w:w="4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FE3299">
            <w:pPr>
              <w:keepNext w:val="0"/>
              <w:keepLines w:val="0"/>
              <w:widowControl/>
              <w:suppressLineNumbers w:val="0"/>
              <w:spacing w:before="0" w:beforeAutospacing="0" w:after="0" w:afterAutospacing="0" w:line="360" w:lineRule="atLeast"/>
              <w:ind w:left="0" w:right="0"/>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数量（单位）</w:t>
            </w:r>
          </w:p>
        </w:tc>
        <w:tc>
          <w:tcPr>
            <w:tcW w:w="82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8DEEC2">
            <w:pPr>
              <w:keepNext w:val="0"/>
              <w:keepLines w:val="0"/>
              <w:widowControl/>
              <w:suppressLineNumbers w:val="0"/>
              <w:spacing w:before="0" w:beforeAutospacing="0" w:after="0" w:afterAutospacing="0" w:line="360" w:lineRule="atLeast"/>
              <w:ind w:left="0" w:right="0"/>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技术规格、参数及要求</w:t>
            </w:r>
          </w:p>
        </w:tc>
        <w:tc>
          <w:tcPr>
            <w:tcW w:w="6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6ECDCA">
            <w:pPr>
              <w:keepNext w:val="0"/>
              <w:keepLines w:val="0"/>
              <w:widowControl/>
              <w:suppressLineNumbers w:val="0"/>
              <w:spacing w:before="0" w:beforeAutospacing="0" w:after="0" w:afterAutospacing="0" w:line="360" w:lineRule="atLeast"/>
              <w:ind w:left="0" w:right="0"/>
              <w:jc w:val="center"/>
              <w:textAlignment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品目预算(元)</w:t>
            </w:r>
          </w:p>
        </w:tc>
      </w:tr>
      <w:tr w14:paraId="36719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36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310C44">
            <w:pPr>
              <w:keepNext w:val="0"/>
              <w:keepLines w:val="0"/>
              <w:widowControl/>
              <w:suppressLineNumbers w:val="0"/>
              <w:spacing w:before="0" w:beforeAutospacing="0" w:after="0" w:afterAutospacing="0" w:line="360" w:lineRule="atLeast"/>
              <w:ind w:left="0" w:right="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1-1</w:t>
            </w:r>
          </w:p>
        </w:tc>
        <w:tc>
          <w:tcPr>
            <w:tcW w:w="117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8E8C34">
            <w:pPr>
              <w:keepNext w:val="0"/>
              <w:keepLines w:val="0"/>
              <w:widowControl/>
              <w:suppressLineNumbers w:val="0"/>
              <w:spacing w:before="0" w:beforeAutospacing="0" w:after="0" w:afterAutospacing="0" w:line="360" w:lineRule="atLeast"/>
              <w:ind w:left="0" w:right="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工程监理服务</w:t>
            </w:r>
          </w:p>
        </w:tc>
        <w:tc>
          <w:tcPr>
            <w:tcW w:w="157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E64BCB">
            <w:pPr>
              <w:keepNext w:val="0"/>
              <w:keepLines w:val="0"/>
              <w:widowControl/>
              <w:suppressLineNumbers w:val="0"/>
              <w:spacing w:before="0" w:beforeAutospacing="0" w:after="0" w:afterAutospacing="0" w:line="360" w:lineRule="atLeast"/>
              <w:ind w:left="0" w:right="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吴堡县沿黄土石山区植物园建设（三期）项目监理服务</w:t>
            </w:r>
          </w:p>
        </w:tc>
        <w:tc>
          <w:tcPr>
            <w:tcW w:w="4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66B34E">
            <w:pPr>
              <w:keepNext w:val="0"/>
              <w:keepLines w:val="0"/>
              <w:widowControl/>
              <w:suppressLineNumbers w:val="0"/>
              <w:spacing w:before="0" w:beforeAutospacing="0" w:after="0" w:afterAutospacing="0" w:line="360" w:lineRule="atLeast"/>
              <w:ind w:left="0" w:right="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1(项)</w:t>
            </w:r>
          </w:p>
        </w:tc>
        <w:tc>
          <w:tcPr>
            <w:tcW w:w="82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D1D972">
            <w:pPr>
              <w:keepNext w:val="0"/>
              <w:keepLines w:val="0"/>
              <w:widowControl/>
              <w:suppressLineNumbers w:val="0"/>
              <w:spacing w:before="0" w:beforeAutospacing="0" w:after="0" w:afterAutospacing="0" w:line="360" w:lineRule="atLeast"/>
              <w:ind w:left="0" w:right="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详见采购文件</w:t>
            </w:r>
          </w:p>
        </w:tc>
        <w:tc>
          <w:tcPr>
            <w:tcW w:w="6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0A80B">
            <w:pPr>
              <w:keepNext w:val="0"/>
              <w:keepLines w:val="0"/>
              <w:widowControl/>
              <w:suppressLineNumbers w:val="0"/>
              <w:spacing w:before="0" w:beforeAutospacing="0" w:after="0" w:afterAutospacing="0" w:line="360" w:lineRule="atLeast"/>
              <w:ind w:left="0" w:right="0"/>
              <w:jc w:val="right"/>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vertAlign w:val="baseline"/>
                <w:lang w:val="en-US" w:eastAsia="zh-CN" w:bidi="ar"/>
              </w:rPr>
              <w:t>378,000.00</w:t>
            </w:r>
          </w:p>
        </w:tc>
      </w:tr>
    </w:tbl>
    <w:p w14:paraId="62E13FD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本合同包不接受联合体投标</w:t>
      </w:r>
    </w:p>
    <w:p w14:paraId="428EDA3B">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合同履行期限：详见磋商文件</w:t>
      </w:r>
    </w:p>
    <w:p w14:paraId="1AE7891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29"/>
          <w:rFonts w:hint="eastAsia" w:asciiTheme="minorEastAsia" w:hAnsiTheme="minorEastAsia" w:eastAsiaTheme="minorEastAsia" w:cstheme="minorEastAsia"/>
          <w:b/>
          <w:bCs/>
          <w:i w:val="0"/>
          <w:iCs w:val="0"/>
          <w:caps w:val="0"/>
          <w:color w:val="333333"/>
          <w:spacing w:val="0"/>
          <w:sz w:val="24"/>
          <w:szCs w:val="24"/>
          <w:shd w:val="clear" w:fill="FFFFFF"/>
          <w:vertAlign w:val="baseline"/>
        </w:rPr>
        <w:t>二、申请人的资格要求：</w:t>
      </w:r>
    </w:p>
    <w:p w14:paraId="0683DD1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1.满足《中华人民共和国政府采购法》第二十二条规定;</w:t>
      </w:r>
    </w:p>
    <w:p w14:paraId="1C7CA44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2.落实政府采购政策需满足的资格要求：</w:t>
      </w:r>
    </w:p>
    <w:p w14:paraId="37FF1BB8">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合同包1(吴堡县沿黄土石山区植物园建设（三期）项目监理服务)落实政府采购政策需满足的资格要求如下:</w:t>
      </w:r>
    </w:p>
    <w:p w14:paraId="5EC83171">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1.《节能产品政府采购实施意见》（财库〔2004〕185号）；</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2.《环境标志产品政府采购实施的意见》（财库〔2006〕90号）；</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3.《国务院办公厅关于建立政府强制采购节能产品制度的通知》（国办发〔2007〕51号）；</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4.根据《政府采购促进中小企业发展管理办法》（财库〔2020〕46号）的规定；</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5.根据《陕西省财政厅关于进一步加大政府采购支持中小企业力度的通知》（陕财办采〔2022〕5号）；</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6.根据《榆林市财政局关于进一步加大政府采购支持中小企业力度的通知》（榆政财采发〔2022〕10号）；</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7.《陕西省中小企业政府采购信用融资办法》（陕财办采〔2018〕23号）、《陕西省财政厅关于加快推进我省中小企业政府采购信用融资工作的通知》（陕财办采〔2020〕15号）、《陕西省财政厅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中国人民银行西安分行关于深入推进政府采购信用融资业务的通知》（陕财办采〔2023〕5号）等有关规定、业务流程、办理平台(http://www.ccgp-shaanxi.gov.cn/zcdservice/zcd/shanxi/；</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8.财政部司法部关于政府采购支持监狱企业发展有关问题的通知（财库〔2014〕68号）；</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9.《财政部民政部中国残疾人联合会关于促进残疾人就业政府采购政策的通知》（财库〔2017〕141号）；</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10.《关于在政府采购活动中查询及使用信用记录有关问题的通知》（财库〔2016〕125号）；</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11.其他需要落实的政府采购政策（如有最新颁布的政府采购政策，按最新文件执行）。</w:t>
      </w:r>
    </w:p>
    <w:p w14:paraId="0D3CB0EB">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3.本项目的特定资格要求：</w:t>
      </w:r>
    </w:p>
    <w:p w14:paraId="0B948253">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合同包1(吴堡县沿黄土石山区植物园建设（三期）项目监理服务)特定资格要求如下:</w:t>
      </w:r>
    </w:p>
    <w:p w14:paraId="541566C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（1）具有独立承担民事责任能力的法人、其他组织或自然人，并出具合法有效的营业执照或事业单位法人证书等国家规定的相关证明，自然人参与的提供其身份证明；</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（2）供应商须具备市政公用工程监理乙级及以上资质；拟派项目总监理工程师具备市政公用工程注册监理工程师及以上执业资格，且未担任其他在建工程项目的总监理工程师（提供无在建工程声明）；</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（3）社保缴纳证明：提供响应文件递交截止时间前六个月内至少一个月的社会保障资金缴存单据或社保机构开具的社会保险参保缴费情况证明，依法不需要缴纳社会保障资金的单位应提供相关证明材料；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（4）税收缴纳证明：提供响应文件递交截止时间前六个月内至少一个月的纳税证明或完税证明，纳税证明或完税证明上应有代收机构或税务机关的公章或业务专用章。依法免税的供应商应提供相关文件证明；</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5）财务状况报告：提供企业赋码后2025年度经会计师事务所或审计机构审计的财务审计报告，不足一年的提供成立以来的资产负债表、利润表、现金流量表及基本账户银行出具的资信证明），提供的财务审计报告需在注册会计师行业统一监管平台（http://acc.mof.gov.cn/）可查询并提供网页查询截图；</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6）提供在投标截止日前在信用中国网（www.creditchina.gov.cn）未被列入失信被执行人、重大税收违法案件当事人名单和在中国政府采购网（www.ccgp.gov.cn）未被列入政府采购严重违法失信行为记录名单（查询日期为从竞争性磋商文件发售之日起至投标截止日前）并加盖供应商公章；</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7）提供榆林市政府采购服务类项目投标人信用承诺书、投标信用（保证金）承诺书等（格式详见竞争性磋商文件）；投标人应在“信用中国（陕西榆林）”网站进行注册、登录、自主上报信用承诺书（网址：https://credit.yl.gov.cn/）；</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（8）书面声明：参加本次政府采购活动前三年内在经营活动中没有重大违纪，以及未被列入失信被执行人、重大税收违法失信主体名单、政府采购严重违法失信行为记录名单的书面声明；</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（9）本合同包专门面向中小企业采购，提供中小企业声明函；</w:t>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br w:type="textWrapping"/>
      </w:r>
      <w:r>
        <w:rPr>
          <w:rFonts w:hint="eastAsia" w:asciiTheme="minorEastAsia" w:hAnsiTheme="minorEastAsia" w:eastAsiaTheme="minorEastAsia" w:cstheme="minorEastAsia"/>
          <w:i w:val="0"/>
          <w:iCs w:val="0"/>
          <w:caps w:val="0"/>
          <w:color w:val="333333"/>
          <w:spacing w:val="0"/>
          <w:sz w:val="24"/>
          <w:szCs w:val="24"/>
          <w:shd w:val="clear" w:fill="FFFFFF"/>
          <w:vertAlign w:val="baseline"/>
        </w:rPr>
        <w:t>（10）本项目不接受联合体投标；单位负责人为同一人或者存在直接控股、管理关系的不同供应商，不得参加同一合同项下的政府采购活动；（提供书面声明材料）。</w:t>
      </w:r>
    </w:p>
    <w:p w14:paraId="2017E07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29"/>
          <w:rFonts w:hint="eastAsia" w:asciiTheme="minorEastAsia" w:hAnsiTheme="minorEastAsia" w:eastAsiaTheme="minorEastAsia" w:cstheme="minorEastAsia"/>
          <w:b/>
          <w:bCs/>
          <w:i w:val="0"/>
          <w:iCs w:val="0"/>
          <w:caps w:val="0"/>
          <w:color w:val="333333"/>
          <w:spacing w:val="0"/>
          <w:sz w:val="24"/>
          <w:szCs w:val="24"/>
          <w:shd w:val="clear" w:fill="FFFFFF"/>
          <w:vertAlign w:val="baseline"/>
        </w:rPr>
        <w:t>三、获取采购文件</w:t>
      </w:r>
    </w:p>
    <w:p w14:paraId="1B6C227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时间： 2026年09月11日 至 2026年09月17日 ，每天上午 09:00:00 至 12:00:00 ，下午 14:00:00 至 17:00:00 （北京时间）</w:t>
      </w:r>
    </w:p>
    <w:p w14:paraId="3E5F6751">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途径：榆林市卓越创新谷科创孵化基地2楼004室</w:t>
      </w:r>
    </w:p>
    <w:p w14:paraId="7F3B0B7A">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方式：现场获取</w:t>
      </w:r>
    </w:p>
    <w:p w14:paraId="0A16C1D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售价： 0元</w:t>
      </w:r>
    </w:p>
    <w:p w14:paraId="114DF1C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29"/>
          <w:rFonts w:hint="eastAsia" w:asciiTheme="minorEastAsia" w:hAnsiTheme="minorEastAsia" w:eastAsiaTheme="minorEastAsia" w:cstheme="minorEastAsia"/>
          <w:b/>
          <w:bCs/>
          <w:i w:val="0"/>
          <w:iCs w:val="0"/>
          <w:caps w:val="0"/>
          <w:color w:val="333333"/>
          <w:spacing w:val="0"/>
          <w:sz w:val="24"/>
          <w:szCs w:val="24"/>
          <w:shd w:val="clear" w:fill="FFFFFF"/>
          <w:vertAlign w:val="baseline"/>
        </w:rPr>
        <w:t>四、响应文件提交</w:t>
      </w:r>
    </w:p>
    <w:p w14:paraId="7D7E6677">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截止时间： 2026年09月23日 09时30分00秒 （北京时间）</w:t>
      </w:r>
    </w:p>
    <w:p w14:paraId="56B777A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地点：榆林市卓越创新谷科创孵化基地2楼开标室</w:t>
      </w:r>
    </w:p>
    <w:p w14:paraId="48F71BF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29"/>
          <w:rFonts w:hint="eastAsia" w:asciiTheme="minorEastAsia" w:hAnsiTheme="minorEastAsia" w:eastAsiaTheme="minorEastAsia" w:cstheme="minorEastAsia"/>
          <w:b/>
          <w:bCs/>
          <w:i w:val="0"/>
          <w:iCs w:val="0"/>
          <w:caps w:val="0"/>
          <w:color w:val="333333"/>
          <w:spacing w:val="0"/>
          <w:sz w:val="24"/>
          <w:szCs w:val="24"/>
          <w:shd w:val="clear" w:fill="FFFFFF"/>
          <w:vertAlign w:val="baseline"/>
        </w:rPr>
        <w:t>五、开启</w:t>
      </w:r>
    </w:p>
    <w:p w14:paraId="45AC5C37">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时间： 2026年09月23日 09时30分00秒 （北京时间）</w:t>
      </w:r>
    </w:p>
    <w:p w14:paraId="19A74118">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地点：榆林市卓越创新谷科创孵化基地2楼开标室</w:t>
      </w:r>
    </w:p>
    <w:p w14:paraId="48D0574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29"/>
          <w:rFonts w:hint="eastAsia" w:asciiTheme="minorEastAsia" w:hAnsiTheme="minorEastAsia" w:eastAsiaTheme="minorEastAsia" w:cstheme="minorEastAsia"/>
          <w:b/>
          <w:bCs/>
          <w:i w:val="0"/>
          <w:iCs w:val="0"/>
          <w:caps w:val="0"/>
          <w:color w:val="333333"/>
          <w:spacing w:val="0"/>
          <w:sz w:val="24"/>
          <w:szCs w:val="24"/>
          <w:shd w:val="clear" w:fill="FFFFFF"/>
          <w:vertAlign w:val="baseline"/>
        </w:rPr>
        <w:t>六、公告期限</w:t>
      </w:r>
    </w:p>
    <w:p w14:paraId="3604FA88">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自本公告发布之日起3个工作日。</w:t>
      </w:r>
    </w:p>
    <w:p w14:paraId="04DD6F2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29"/>
          <w:rFonts w:hint="eastAsia" w:asciiTheme="minorEastAsia" w:hAnsiTheme="minorEastAsia" w:eastAsiaTheme="minorEastAsia" w:cstheme="minorEastAsia"/>
          <w:b/>
          <w:bCs/>
          <w:i w:val="0"/>
          <w:iCs w:val="0"/>
          <w:caps w:val="0"/>
          <w:color w:val="333333"/>
          <w:spacing w:val="0"/>
          <w:sz w:val="24"/>
          <w:szCs w:val="24"/>
          <w:shd w:val="clear" w:fill="FFFFFF"/>
          <w:vertAlign w:val="baseline"/>
        </w:rPr>
        <w:t>七、其他补充事宜</w:t>
      </w:r>
    </w:p>
    <w:p w14:paraId="11369E08">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kern w:val="0"/>
          <w:sz w:val="24"/>
          <w:szCs w:val="24"/>
          <w:shd w:val="clear" w:fill="FFFFFF"/>
          <w:vertAlign w:val="baseline"/>
          <w:lang w:val="en-US" w:eastAsia="zh-CN" w:bidi="ar"/>
        </w:rPr>
        <w:t>1.供应商未办理陕西省公共资源交易中心CA锁的到榆林市市民大厦三楼E18、E19窗口办理，咨询电话0912-3452148、029-88661298或4006-369-888（陕西CA联系电话）。</w:t>
      </w:r>
    </w:p>
    <w:p w14:paraId="4B9097C8">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kern w:val="0"/>
          <w:sz w:val="24"/>
          <w:szCs w:val="24"/>
          <w:shd w:val="clear" w:fill="FFFFFF"/>
          <w:vertAlign w:val="baseline"/>
          <w:lang w:val="en-US" w:eastAsia="zh-CN" w:bidi="ar"/>
        </w:rPr>
        <w:t>2.请各供应商领取竞争性磋商文件后，按照陕西省财政厅《关于政府采购供应商注册登记有关事项的通知》要求，通过陕西省政府采购网注册登记加入陕西省政府采购供应商库。</w:t>
      </w:r>
    </w:p>
    <w:p w14:paraId="5DE45DC6">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kern w:val="0"/>
          <w:sz w:val="24"/>
          <w:szCs w:val="24"/>
          <w:shd w:val="clear" w:fill="FFFFFF"/>
          <w:vertAlign w:val="baseline"/>
          <w:lang w:val="en-US" w:eastAsia="zh-CN" w:bidi="ar"/>
        </w:rPr>
        <w:t>3.关于自主上报信用承诺书事宜，遵循《榆林市公共资源交易中心关于公共资源交易信用承诺网上公示的通知》（榆交易函〔2021〕19号）文件相关要求执行。</w:t>
      </w:r>
    </w:p>
    <w:p w14:paraId="162EB885">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kern w:val="0"/>
          <w:sz w:val="24"/>
          <w:szCs w:val="24"/>
          <w:shd w:val="clear" w:fill="FFFFFF"/>
          <w:vertAlign w:val="baseline"/>
          <w:lang w:val="en-US" w:eastAsia="zh-CN" w:bidi="ar"/>
        </w:rPr>
        <w:t>4.供应商需在文件获取时间内到陕西泓祥兴顺工程项目管理有限公司线下获取：确认报名及获取文件时请携带加盖公章的①网上报名回执单；②单位介绍信原件；③经办人身份证原件及加盖供应商原色印章的身份证复印件；双休及法定节假日除外,谢绝邮寄（供应商登录全国公共资源交易中心平台（陕西省）（http://www.sxggzyjy.cn/）在线上报名,选择“电子交易平台-陕西政府采购交易系统-陕西省公共资源交易平台-供应商”进行登录，登录后选择“交易乙方”身份进入供应商界面进行投标报名）；各供应商在提交响应文件截止时间之前，应随时关注发布的变更公告，代理公司不再单独通知，因供应商自身原因未及时关注所造成的一切后果由供应商自行承担。</w:t>
      </w:r>
    </w:p>
    <w:p w14:paraId="045EA0A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Theme="minorEastAsia" w:hAnsiTheme="minorEastAsia" w:eastAsiaTheme="minorEastAsia" w:cstheme="minorEastAsia"/>
          <w:b w:val="0"/>
          <w:bCs w:val="0"/>
          <w:i w:val="0"/>
          <w:iCs w:val="0"/>
          <w:caps w:val="0"/>
          <w:color w:val="333333"/>
          <w:spacing w:val="0"/>
          <w:sz w:val="24"/>
          <w:szCs w:val="24"/>
        </w:rPr>
      </w:pPr>
      <w:r>
        <w:rPr>
          <w:rStyle w:val="29"/>
          <w:rFonts w:hint="eastAsia" w:asciiTheme="minorEastAsia" w:hAnsiTheme="minorEastAsia" w:eastAsiaTheme="minorEastAsia" w:cstheme="minorEastAsia"/>
          <w:b/>
          <w:bCs/>
          <w:i w:val="0"/>
          <w:iCs w:val="0"/>
          <w:caps w:val="0"/>
          <w:color w:val="333333"/>
          <w:spacing w:val="0"/>
          <w:sz w:val="24"/>
          <w:szCs w:val="24"/>
          <w:shd w:val="clear" w:fill="FFFFFF"/>
          <w:vertAlign w:val="baseline"/>
        </w:rPr>
        <w:t>八、对本次招标提出询问，请按以下方式联系。</w:t>
      </w:r>
    </w:p>
    <w:p w14:paraId="3448544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rPr>
        <w:t>1.采购人信息</w:t>
      </w:r>
    </w:p>
    <w:p w14:paraId="48521396">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名称：吴堡县林业局</w:t>
      </w:r>
    </w:p>
    <w:p w14:paraId="166B38F6">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地址：吴堡县宋家川镇新建街111号</w:t>
      </w:r>
    </w:p>
    <w:p w14:paraId="6BFD7C6F">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联系方式：19039158862</w:t>
      </w:r>
    </w:p>
    <w:p w14:paraId="6ECD2A7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rPr>
        <w:t>2.采购代理机构信息</w:t>
      </w:r>
    </w:p>
    <w:p w14:paraId="1ABA69BF">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名称：陕西泓祥兴顺工程项目管理有限公司</w:t>
      </w:r>
    </w:p>
    <w:p w14:paraId="36A8BBE9">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地址：榆林市卓越创新谷科创孵化基地2楼004室</w:t>
      </w:r>
    </w:p>
    <w:p w14:paraId="03B48E1D">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联系方式：17749200027</w:t>
      </w:r>
    </w:p>
    <w:p w14:paraId="2EB9A12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rPr>
        <w:t>3.项目联系方式</w:t>
      </w:r>
    </w:p>
    <w:p w14:paraId="6B4A7838">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项目联系人：李卓</w:t>
      </w:r>
    </w:p>
    <w:p w14:paraId="45AACABA">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vertAlign w:val="baseline"/>
        </w:rPr>
        <w:t>电话：17749200027</w:t>
      </w:r>
    </w:p>
    <w:p w14:paraId="3D30578C">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Theme="minorEastAsia" w:hAnsiTheme="minorEastAsia" w:eastAsiaTheme="minorEastAsia" w:cstheme="minorEastAsia"/>
          <w:color w:val="auto"/>
          <w:sz w:val="24"/>
          <w:szCs w:val="24"/>
        </w:rPr>
      </w:pPr>
    </w:p>
    <w:p w14:paraId="64365905">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Theme="minorEastAsia" w:hAnsiTheme="minorEastAsia" w:eastAsiaTheme="minorEastAsia" w:cstheme="minorEastAsia"/>
          <w:sz w:val="24"/>
          <w:szCs w:val="24"/>
        </w:rPr>
      </w:pPr>
    </w:p>
    <w:p w14:paraId="37A7DF07">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b w:val="0"/>
          <w:bCs w:val="0"/>
          <w:kern w:val="2"/>
          <w:sz w:val="24"/>
          <w:szCs w:val="24"/>
          <w:lang w:val="en-US" w:eastAsia="zh-CN" w:bidi="ar-SA"/>
        </w:rPr>
      </w:pPr>
    </w:p>
    <w:p w14:paraId="69A4F4F4">
      <w:pPr>
        <w:shd w:val="clear"/>
        <w:spacing w:line="360" w:lineRule="auto"/>
        <w:rPr>
          <w:rFonts w:hint="eastAsia" w:ascii="宋体" w:hAnsi="宋体" w:eastAsia="宋体" w:cs="宋体"/>
          <w:i w:val="0"/>
          <w:iCs w:val="0"/>
          <w:caps w:val="0"/>
          <w:color w:val="auto"/>
          <w:spacing w:val="0"/>
          <w:sz w:val="24"/>
          <w:szCs w:val="24"/>
          <w:shd w:val="clear" w:fill="FFFFFF"/>
        </w:rPr>
      </w:pPr>
    </w:p>
    <w:p w14:paraId="0BCE8AAC">
      <w:pPr>
        <w:shd w:val="clear"/>
        <w:spacing w:line="360" w:lineRule="auto"/>
        <w:rPr>
          <w:rFonts w:hint="eastAsia" w:ascii="宋体" w:hAnsi="宋体" w:eastAsia="宋体" w:cs="宋体"/>
          <w:i w:val="0"/>
          <w:iCs w:val="0"/>
          <w:caps w:val="0"/>
          <w:color w:val="auto"/>
          <w:spacing w:val="0"/>
          <w:sz w:val="24"/>
          <w:szCs w:val="24"/>
          <w:shd w:val="clear" w:fill="FFFFFF"/>
        </w:rPr>
      </w:pPr>
    </w:p>
    <w:p w14:paraId="64FB3D55">
      <w:pPr>
        <w:spacing w:line="360" w:lineRule="auto"/>
        <w:rPr>
          <w:rFonts w:hint="eastAsia" w:ascii="宋体" w:hAnsi="宋体" w:eastAsia="宋体" w:cs="宋体"/>
          <w:i w:val="0"/>
          <w:iCs w:val="0"/>
          <w:caps w:val="0"/>
          <w:color w:val="auto"/>
          <w:spacing w:val="0"/>
          <w:sz w:val="24"/>
          <w:szCs w:val="24"/>
          <w:shd w:val="clear" w:fill="FFFFFF"/>
        </w:rPr>
      </w:pPr>
    </w:p>
    <w:p w14:paraId="32ADF07C">
      <w:pPr>
        <w:spacing w:line="360" w:lineRule="auto"/>
        <w:rPr>
          <w:rFonts w:hint="eastAsia" w:ascii="宋体" w:hAnsi="宋体" w:eastAsia="宋体" w:cs="宋体"/>
          <w:i w:val="0"/>
          <w:iCs w:val="0"/>
          <w:caps w:val="0"/>
          <w:color w:val="auto"/>
          <w:spacing w:val="0"/>
          <w:sz w:val="24"/>
          <w:szCs w:val="24"/>
          <w:shd w:val="clear" w:fill="FFFFFF"/>
        </w:rPr>
      </w:pPr>
    </w:p>
    <w:p w14:paraId="6DE2A75B">
      <w:pPr>
        <w:spacing w:line="360" w:lineRule="auto"/>
        <w:rPr>
          <w:rFonts w:hint="eastAsia" w:ascii="宋体" w:hAnsi="宋体" w:eastAsia="宋体" w:cs="宋体"/>
          <w:i w:val="0"/>
          <w:iCs w:val="0"/>
          <w:caps w:val="0"/>
          <w:color w:val="auto"/>
          <w:spacing w:val="0"/>
          <w:sz w:val="24"/>
          <w:szCs w:val="24"/>
          <w:shd w:val="clear" w:fill="FFFFFF"/>
        </w:rPr>
      </w:pPr>
    </w:p>
    <w:p w14:paraId="77D9A6E2">
      <w:pPr>
        <w:pStyle w:val="2"/>
        <w:keepNext/>
        <w:keepLines w:val="0"/>
        <w:pageBreakBefore w:val="0"/>
        <w:widowControl w:val="0"/>
        <w:kinsoku/>
        <w:wordWrap/>
        <w:overflowPunct/>
        <w:topLinePunct w:val="0"/>
        <w:autoSpaceDE/>
        <w:autoSpaceDN/>
        <w:bidi w:val="0"/>
        <w:adjustRightInd w:val="0"/>
        <w:snapToGrid w:val="0"/>
        <w:spacing w:after="313" w:afterLines="100" w:line="360" w:lineRule="auto"/>
        <w:jc w:val="both"/>
        <w:textAlignment w:val="auto"/>
        <w:rPr>
          <w:rFonts w:hint="eastAsia" w:ascii="宋体" w:hAnsi="宋体" w:eastAsia="宋体" w:cs="宋体"/>
          <w:sz w:val="36"/>
          <w:szCs w:val="36"/>
        </w:rPr>
        <w:sectPr>
          <w:pgSz w:w="11906" w:h="16838"/>
          <w:pgMar w:top="1440" w:right="1531" w:bottom="1440" w:left="1531" w:header="720" w:footer="720" w:gutter="0"/>
          <w:pgNumType w:fmt="decimal"/>
          <w:cols w:space="720" w:num="1"/>
          <w:docGrid w:type="lines" w:linePitch="312" w:charSpace="0"/>
        </w:sectPr>
      </w:pPr>
      <w:bookmarkStart w:id="3" w:name="_Toc504605168"/>
      <w:bookmarkStart w:id="4" w:name="_Toc1227"/>
      <w:bookmarkStart w:id="5" w:name="_Toc504605086"/>
      <w:bookmarkStart w:id="6" w:name="_Toc504605085"/>
    </w:p>
    <w:p w14:paraId="4E42B579">
      <w:pPr>
        <w:pStyle w:val="2"/>
        <w:keepNext/>
        <w:keepLines w:val="0"/>
        <w:pageBreakBefore w:val="0"/>
        <w:widowControl w:val="0"/>
        <w:kinsoku/>
        <w:wordWrap/>
        <w:overflowPunct/>
        <w:topLinePunct w:val="0"/>
        <w:autoSpaceDE/>
        <w:autoSpaceDN/>
        <w:bidi w:val="0"/>
        <w:adjustRightInd w:val="0"/>
        <w:snapToGrid w:val="0"/>
        <w:spacing w:after="313" w:afterLines="100" w:line="360" w:lineRule="auto"/>
        <w:textAlignment w:val="auto"/>
        <w:rPr>
          <w:rFonts w:hint="eastAsia" w:ascii="宋体" w:hAnsi="宋体" w:eastAsia="宋体" w:cs="宋体"/>
          <w:sz w:val="36"/>
          <w:szCs w:val="36"/>
        </w:rPr>
      </w:pPr>
      <w:bookmarkStart w:id="7" w:name="_Toc14481"/>
      <w:r>
        <w:rPr>
          <w:rFonts w:hint="eastAsia" w:ascii="宋体" w:hAnsi="宋体" w:eastAsia="宋体" w:cs="宋体"/>
          <w:sz w:val="36"/>
          <w:szCs w:val="36"/>
        </w:rPr>
        <w:t>第二章 供应商须知前附表</w:t>
      </w:r>
      <w:bookmarkEnd w:id="7"/>
    </w:p>
    <w:bookmarkEnd w:id="3"/>
    <w:bookmarkEnd w:id="4"/>
    <w:bookmarkEnd w:id="5"/>
    <w:bookmarkEnd w:id="6"/>
    <w:tbl>
      <w:tblPr>
        <w:tblStyle w:val="25"/>
        <w:tblW w:w="9282" w:type="dxa"/>
        <w:jc w:val="center"/>
        <w:tblLayout w:type="fixed"/>
        <w:tblCellMar>
          <w:top w:w="0" w:type="dxa"/>
          <w:left w:w="108" w:type="dxa"/>
          <w:bottom w:w="0" w:type="dxa"/>
          <w:right w:w="108" w:type="dxa"/>
        </w:tblCellMar>
      </w:tblPr>
      <w:tblGrid>
        <w:gridCol w:w="723"/>
        <w:gridCol w:w="1851"/>
        <w:gridCol w:w="6708"/>
      </w:tblGrid>
      <w:tr w14:paraId="22557C08">
        <w:tblPrEx>
          <w:tblCellMar>
            <w:top w:w="0" w:type="dxa"/>
            <w:left w:w="108" w:type="dxa"/>
            <w:bottom w:w="0" w:type="dxa"/>
            <w:right w:w="108" w:type="dxa"/>
          </w:tblCellMar>
        </w:tblPrEx>
        <w:trPr>
          <w:trHeight w:val="276"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6BECF6F">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sz w:val="24"/>
                <w:szCs w:val="24"/>
              </w:rPr>
            </w:pPr>
            <w:bookmarkStart w:id="8" w:name="_Toc504605169"/>
            <w:bookmarkStart w:id="9" w:name="_Toc504605087"/>
            <w:r>
              <w:rPr>
                <w:rFonts w:hint="eastAsia" w:ascii="宋体" w:hAnsi="宋体" w:eastAsia="宋体" w:cs="宋体"/>
                <w:b/>
                <w:sz w:val="24"/>
                <w:szCs w:val="24"/>
                <w:lang w:val="zh-CN"/>
              </w:rPr>
              <w:t>序号</w:t>
            </w:r>
          </w:p>
        </w:tc>
        <w:tc>
          <w:tcPr>
            <w:tcW w:w="1851" w:type="dxa"/>
            <w:tcBorders>
              <w:top w:val="single" w:color="auto" w:sz="4" w:space="0"/>
              <w:left w:val="single" w:color="auto" w:sz="4" w:space="0"/>
              <w:bottom w:val="single" w:color="auto" w:sz="4" w:space="0"/>
              <w:right w:val="single" w:color="auto" w:sz="4" w:space="0"/>
            </w:tcBorders>
            <w:vAlign w:val="center"/>
          </w:tcPr>
          <w:p w14:paraId="45FDC505">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lang w:val="zh-CN"/>
              </w:rPr>
              <w:t>摘 要</w:t>
            </w:r>
          </w:p>
        </w:tc>
        <w:tc>
          <w:tcPr>
            <w:tcW w:w="6708" w:type="dxa"/>
            <w:tcBorders>
              <w:top w:val="single" w:color="auto" w:sz="4" w:space="0"/>
              <w:left w:val="single" w:color="auto" w:sz="4" w:space="0"/>
              <w:bottom w:val="single" w:color="auto" w:sz="4" w:space="0"/>
              <w:right w:val="single" w:color="auto" w:sz="4" w:space="0"/>
            </w:tcBorders>
            <w:vAlign w:val="center"/>
          </w:tcPr>
          <w:p w14:paraId="6616FDAD">
            <w:pPr>
              <w:keepNext w:val="0"/>
              <w:keepLines w:val="0"/>
              <w:pageBreakBefore w:val="0"/>
              <w:kinsoku/>
              <w:wordWrap/>
              <w:overflowPunct/>
              <w:topLinePunct w:val="0"/>
              <w:autoSpaceDE/>
              <w:autoSpaceDN/>
              <w:bidi w:val="0"/>
              <w:adjustRightInd w:val="0"/>
              <w:snapToGrid w:val="0"/>
              <w:spacing w:line="360" w:lineRule="auto"/>
              <w:ind w:left="472" w:leftChars="24" w:hanging="422" w:hangingChars="175"/>
              <w:jc w:val="center"/>
              <w:rPr>
                <w:rFonts w:hint="eastAsia" w:ascii="宋体" w:hAnsi="宋体" w:eastAsia="宋体" w:cs="宋体"/>
                <w:b/>
                <w:sz w:val="24"/>
                <w:szCs w:val="24"/>
              </w:rPr>
            </w:pPr>
            <w:r>
              <w:rPr>
                <w:rFonts w:hint="eastAsia" w:ascii="宋体" w:hAnsi="宋体" w:eastAsia="宋体" w:cs="宋体"/>
                <w:b/>
                <w:sz w:val="24"/>
                <w:szCs w:val="24"/>
              </w:rPr>
              <w:t>编  列  内  容</w:t>
            </w:r>
          </w:p>
        </w:tc>
      </w:tr>
      <w:tr w14:paraId="43A64DA9">
        <w:tblPrEx>
          <w:tblCellMar>
            <w:top w:w="0" w:type="dxa"/>
            <w:left w:w="108" w:type="dxa"/>
            <w:bottom w:w="0" w:type="dxa"/>
            <w:right w:w="108" w:type="dxa"/>
          </w:tblCellMar>
        </w:tblPrEx>
        <w:trPr>
          <w:jc w:val="center"/>
        </w:trPr>
        <w:tc>
          <w:tcPr>
            <w:tcW w:w="723" w:type="dxa"/>
            <w:tcBorders>
              <w:top w:val="single" w:color="auto" w:sz="4" w:space="0"/>
              <w:left w:val="single" w:color="auto" w:sz="4" w:space="0"/>
              <w:bottom w:val="single" w:color="auto" w:sz="4" w:space="0"/>
              <w:right w:val="single" w:color="auto" w:sz="4" w:space="0"/>
            </w:tcBorders>
            <w:vAlign w:val="center"/>
          </w:tcPr>
          <w:p w14:paraId="6760849E">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rPr>
            </w:pPr>
          </w:p>
        </w:tc>
        <w:tc>
          <w:tcPr>
            <w:tcW w:w="1851" w:type="dxa"/>
            <w:tcBorders>
              <w:top w:val="single" w:color="auto" w:sz="4" w:space="0"/>
              <w:left w:val="single" w:color="auto" w:sz="4" w:space="0"/>
              <w:bottom w:val="single" w:color="auto" w:sz="4" w:space="0"/>
              <w:right w:val="single" w:color="auto" w:sz="4" w:space="0"/>
            </w:tcBorders>
            <w:vAlign w:val="center"/>
          </w:tcPr>
          <w:p w14:paraId="3C999B71">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采购人</w:t>
            </w:r>
          </w:p>
        </w:tc>
        <w:tc>
          <w:tcPr>
            <w:tcW w:w="6708" w:type="dxa"/>
            <w:tcBorders>
              <w:top w:val="single" w:color="auto" w:sz="4" w:space="0"/>
              <w:left w:val="single" w:color="auto" w:sz="4" w:space="0"/>
              <w:bottom w:val="single" w:color="auto" w:sz="4" w:space="0"/>
              <w:right w:val="single" w:color="auto" w:sz="4" w:space="0"/>
            </w:tcBorders>
            <w:vAlign w:val="center"/>
          </w:tcPr>
          <w:p w14:paraId="2D096AB6">
            <w:pPr>
              <w:keepNext w:val="0"/>
              <w:keepLines w:val="0"/>
              <w:pageBreakBefore w:val="0"/>
              <w:kinsoku/>
              <w:wordWrap/>
              <w:overflowPunct/>
              <w:topLinePunct w:val="0"/>
              <w:autoSpaceDE/>
              <w:autoSpaceDN/>
              <w:bidi w:val="0"/>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cs="宋体"/>
                <w:b w:val="0"/>
                <w:bCs w:val="0"/>
                <w:kern w:val="2"/>
                <w:sz w:val="24"/>
                <w:szCs w:val="24"/>
                <w:lang w:val="en-US" w:eastAsia="zh-CN" w:bidi="ar-SA"/>
              </w:rPr>
              <w:t>吴堡县林业局</w:t>
            </w:r>
          </w:p>
          <w:p w14:paraId="505E1834">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jc w:val="both"/>
              <w:rPr>
                <w:rFonts w:hint="eastAsia" w:ascii="宋体" w:hAnsi="宋体" w:eastAsia="宋体" w:cs="宋体"/>
                <w:b w:val="0"/>
                <w:bCs w:val="0"/>
                <w:kern w:val="2"/>
                <w:sz w:val="24"/>
                <w:szCs w:val="24"/>
                <w:lang w:val="en-US" w:eastAsia="zh-CN" w:bidi="ar-SA"/>
              </w:rPr>
            </w:pPr>
            <w:r>
              <w:rPr>
                <w:rFonts w:hint="eastAsia" w:ascii="宋体" w:hAnsi="宋体" w:eastAsia="宋体" w:cs="宋体"/>
                <w:color w:val="000000" w:themeColor="text1"/>
                <w:sz w:val="24"/>
                <w:szCs w:val="24"/>
                <w:lang w:eastAsia="zh-CN"/>
                <w14:textFill>
                  <w14:solidFill>
                    <w14:schemeClr w14:val="tx1"/>
                  </w14:solidFill>
                </w14:textFill>
              </w:rPr>
              <w:t>地址：</w:t>
            </w:r>
            <w:r>
              <w:rPr>
                <w:rFonts w:hint="eastAsia" w:cs="宋体"/>
                <w:b w:val="0"/>
                <w:bCs w:val="0"/>
                <w:kern w:val="2"/>
                <w:sz w:val="24"/>
                <w:szCs w:val="24"/>
                <w:lang w:val="en-US" w:eastAsia="zh-CN" w:bidi="ar-SA"/>
              </w:rPr>
              <w:t>吴堡县宋家川镇新建街111号</w:t>
            </w:r>
          </w:p>
          <w:p w14:paraId="5506AB8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jc w:val="both"/>
              <w:rPr>
                <w:rFonts w:hint="eastAsia" w:ascii="宋体" w:hAnsi="宋体" w:eastAsia="宋体" w:cs="宋体"/>
                <w:sz w:val="24"/>
                <w:szCs w:val="24"/>
              </w:rPr>
            </w:pPr>
            <w:r>
              <w:rPr>
                <w:rFonts w:hint="eastAsia" w:ascii="宋体" w:hAnsi="宋体" w:eastAsia="宋体" w:cs="宋体"/>
                <w:sz w:val="24"/>
                <w:szCs w:val="24"/>
                <w:lang w:val="en-US" w:eastAsia="zh-CN"/>
              </w:rPr>
              <w:t>电话：</w:t>
            </w:r>
            <w:r>
              <w:rPr>
                <w:rFonts w:hint="eastAsia" w:cs="宋体"/>
                <w:sz w:val="24"/>
                <w:szCs w:val="24"/>
                <w:lang w:val="en-US" w:eastAsia="zh-CN"/>
              </w:rPr>
              <w:t>19039158862</w:t>
            </w:r>
          </w:p>
        </w:tc>
      </w:tr>
      <w:tr w14:paraId="3B0B715A">
        <w:tblPrEx>
          <w:tblCellMar>
            <w:top w:w="0" w:type="dxa"/>
            <w:left w:w="108" w:type="dxa"/>
            <w:bottom w:w="0" w:type="dxa"/>
            <w:right w:w="108" w:type="dxa"/>
          </w:tblCellMar>
        </w:tblPrEx>
        <w:trPr>
          <w:jc w:val="center"/>
        </w:trPr>
        <w:tc>
          <w:tcPr>
            <w:tcW w:w="723" w:type="dxa"/>
            <w:tcBorders>
              <w:top w:val="single" w:color="auto" w:sz="4" w:space="0"/>
              <w:left w:val="single" w:color="auto" w:sz="4" w:space="0"/>
              <w:bottom w:val="single" w:color="auto" w:sz="4" w:space="0"/>
              <w:right w:val="single" w:color="auto" w:sz="4" w:space="0"/>
            </w:tcBorders>
            <w:vAlign w:val="center"/>
          </w:tcPr>
          <w:p w14:paraId="2A918049">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rPr>
            </w:pPr>
          </w:p>
        </w:tc>
        <w:tc>
          <w:tcPr>
            <w:tcW w:w="1851" w:type="dxa"/>
            <w:tcBorders>
              <w:top w:val="single" w:color="auto" w:sz="4" w:space="0"/>
              <w:left w:val="single" w:color="auto" w:sz="4" w:space="0"/>
              <w:bottom w:val="single" w:color="auto" w:sz="4" w:space="0"/>
              <w:right w:val="single" w:color="auto" w:sz="4" w:space="0"/>
            </w:tcBorders>
            <w:vAlign w:val="center"/>
          </w:tcPr>
          <w:p w14:paraId="1196C0E2">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采购代理机构</w:t>
            </w:r>
          </w:p>
        </w:tc>
        <w:tc>
          <w:tcPr>
            <w:tcW w:w="6708" w:type="dxa"/>
            <w:tcBorders>
              <w:top w:val="single" w:color="auto" w:sz="4" w:space="0"/>
              <w:left w:val="single" w:color="auto" w:sz="4" w:space="0"/>
              <w:bottom w:val="single" w:color="auto" w:sz="4" w:space="0"/>
              <w:right w:val="single" w:color="auto" w:sz="4" w:space="0"/>
            </w:tcBorders>
            <w:vAlign w:val="center"/>
          </w:tcPr>
          <w:p w14:paraId="7DCD895F">
            <w:pPr>
              <w:keepNext w:val="0"/>
              <w:keepLines w:val="0"/>
              <w:pageBreakBefore w:val="0"/>
              <w:kinsoku/>
              <w:wordWrap/>
              <w:overflowPunct/>
              <w:topLinePunct w:val="0"/>
              <w:autoSpaceDE/>
              <w:autoSpaceDN/>
              <w:bidi w:val="0"/>
              <w:adjustRightInd w:val="0"/>
              <w:snapToGrid w:val="0"/>
              <w:spacing w:line="360" w:lineRule="auto"/>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w:t>
            </w:r>
            <w:r>
              <w:rPr>
                <w:rFonts w:hint="eastAsia" w:ascii="宋体" w:hAnsi="宋体" w:cs="宋体"/>
                <w:color w:val="000000" w:themeColor="text1"/>
                <w:sz w:val="24"/>
                <w:szCs w:val="24"/>
                <w:lang w:eastAsia="zh-CN"/>
                <w14:textFill>
                  <w14:solidFill>
                    <w14:schemeClr w14:val="tx1"/>
                  </w14:solidFill>
                </w14:textFill>
              </w:rPr>
              <w:t>陕西泓祥兴顺工程项目管理有限公司</w:t>
            </w:r>
          </w:p>
          <w:p w14:paraId="6BFC6BFC">
            <w:pPr>
              <w:keepNext w:val="0"/>
              <w:keepLines w:val="0"/>
              <w:pageBreakBefore w:val="0"/>
              <w:kinsoku/>
              <w:wordWrap/>
              <w:overflowPunct/>
              <w:topLinePunct w:val="0"/>
              <w:autoSpaceDE/>
              <w:autoSpaceDN/>
              <w:bidi w:val="0"/>
              <w:adjustRightInd w:val="0"/>
              <w:snapToGrid w:val="0"/>
              <w:spacing w:line="360" w:lineRule="auto"/>
              <w:jc w:val="left"/>
              <w:rPr>
                <w:rFonts w:hint="eastAsia" w:ascii="宋体" w:hAnsi="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w:t>
            </w:r>
            <w:r>
              <w:rPr>
                <w:rFonts w:hint="eastAsia" w:ascii="宋体" w:hAnsi="宋体" w:eastAsia="宋体" w:cs="宋体"/>
                <w:color w:val="000000" w:themeColor="text1"/>
                <w:sz w:val="24"/>
                <w:szCs w:val="24"/>
                <w:lang w:val="en-US" w:eastAsia="zh-CN"/>
                <w14:textFill>
                  <w14:solidFill>
                    <w14:schemeClr w14:val="tx1"/>
                  </w14:solidFill>
                </w14:textFill>
              </w:rPr>
              <w:t>榆林市卓越创新谷科创孵化基地2楼004室</w:t>
            </w:r>
          </w:p>
          <w:p w14:paraId="11FB05CB">
            <w:pPr>
              <w:keepNext w:val="0"/>
              <w:keepLines w:val="0"/>
              <w:pageBreakBefore w:val="0"/>
              <w:kinsoku/>
              <w:wordWrap/>
              <w:overflowPunct/>
              <w:topLinePunct w:val="0"/>
              <w:autoSpaceDE/>
              <w:autoSpaceDN/>
              <w:bidi w:val="0"/>
              <w:adjustRightInd w:val="0"/>
              <w:snapToGrid w:val="0"/>
              <w:spacing w:line="360" w:lineRule="auto"/>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联系人：</w:t>
            </w:r>
            <w:r>
              <w:rPr>
                <w:rFonts w:hint="eastAsia" w:ascii="宋体" w:hAnsi="宋体" w:cs="宋体"/>
                <w:color w:val="000000" w:themeColor="text1"/>
                <w:sz w:val="24"/>
                <w:szCs w:val="24"/>
                <w:lang w:val="en-US" w:eastAsia="zh-CN"/>
                <w14:textFill>
                  <w14:solidFill>
                    <w14:schemeClr w14:val="tx1"/>
                  </w14:solidFill>
                </w14:textFill>
              </w:rPr>
              <w:t>李卓</w:t>
            </w:r>
            <w:r>
              <w:rPr>
                <w:rFonts w:hint="eastAsia" w:ascii="宋体" w:hAnsi="宋体" w:eastAsia="宋体" w:cs="宋体"/>
                <w:color w:val="000000" w:themeColor="text1"/>
                <w:sz w:val="24"/>
                <w:szCs w:val="24"/>
                <w:lang w:eastAsia="zh-CN"/>
                <w14:textFill>
                  <w14:solidFill>
                    <w14:schemeClr w14:val="tx1"/>
                  </w14:solidFill>
                </w14:textFill>
              </w:rPr>
              <w:t xml:space="preserve"> </w:t>
            </w:r>
          </w:p>
          <w:p w14:paraId="0FF7DBEF">
            <w:pPr>
              <w:pStyle w:val="48"/>
              <w:keepNext w:val="0"/>
              <w:keepLines w:val="0"/>
              <w:pageBreakBefore w:val="0"/>
              <w:kinsoku/>
              <w:wordWrap/>
              <w:overflowPunct/>
              <w:topLinePunct w:val="0"/>
              <w:autoSpaceDE/>
              <w:autoSpaceDN/>
              <w:bidi w:val="0"/>
              <w:adjustRightInd w:val="0"/>
              <w:snapToGrid w:val="0"/>
              <w:spacing w:line="360" w:lineRule="auto"/>
              <w:ind w:firstLine="0" w:firstLineChars="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w:t>
            </w:r>
            <w:r>
              <w:rPr>
                <w:rFonts w:hint="eastAsia" w:ascii="宋体" w:hAnsi="宋体" w:cs="宋体"/>
                <w:color w:val="000000" w:themeColor="text1"/>
                <w:sz w:val="24"/>
                <w:szCs w:val="24"/>
                <w:lang w:val="en-US" w:eastAsia="zh-CN"/>
                <w14:textFill>
                  <w14:solidFill>
                    <w14:schemeClr w14:val="tx1"/>
                  </w14:solidFill>
                </w14:textFill>
              </w:rPr>
              <w:t>17749200027</w:t>
            </w:r>
          </w:p>
        </w:tc>
      </w:tr>
      <w:tr w14:paraId="539F8B20">
        <w:tblPrEx>
          <w:tblCellMar>
            <w:top w:w="0" w:type="dxa"/>
            <w:left w:w="108" w:type="dxa"/>
            <w:bottom w:w="0" w:type="dxa"/>
            <w:right w:w="108" w:type="dxa"/>
          </w:tblCellMar>
        </w:tblPrEx>
        <w:trPr>
          <w:jc w:val="center"/>
        </w:trPr>
        <w:tc>
          <w:tcPr>
            <w:tcW w:w="723" w:type="dxa"/>
            <w:tcBorders>
              <w:top w:val="single" w:color="auto" w:sz="4" w:space="0"/>
              <w:left w:val="single" w:color="auto" w:sz="4" w:space="0"/>
              <w:bottom w:val="single" w:color="auto" w:sz="4" w:space="0"/>
              <w:right w:val="single" w:color="auto" w:sz="4" w:space="0"/>
            </w:tcBorders>
            <w:vAlign w:val="center"/>
          </w:tcPr>
          <w:p w14:paraId="5AF7D20B">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rPr>
            </w:pPr>
          </w:p>
        </w:tc>
        <w:tc>
          <w:tcPr>
            <w:tcW w:w="1851" w:type="dxa"/>
            <w:tcBorders>
              <w:top w:val="single" w:color="auto" w:sz="4" w:space="0"/>
              <w:left w:val="single" w:color="auto" w:sz="4" w:space="0"/>
              <w:bottom w:val="single" w:color="auto" w:sz="4" w:space="0"/>
              <w:right w:val="single" w:color="auto" w:sz="4" w:space="0"/>
            </w:tcBorders>
            <w:vAlign w:val="center"/>
          </w:tcPr>
          <w:p w14:paraId="2C0C0621">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6708" w:type="dxa"/>
            <w:tcBorders>
              <w:top w:val="single" w:color="auto" w:sz="4" w:space="0"/>
              <w:left w:val="single" w:color="auto" w:sz="4" w:space="0"/>
              <w:bottom w:val="single" w:color="auto" w:sz="4" w:space="0"/>
              <w:right w:val="single" w:color="auto" w:sz="4" w:space="0"/>
            </w:tcBorders>
            <w:vAlign w:val="center"/>
          </w:tcPr>
          <w:p w14:paraId="6B9414DE">
            <w:pPr>
              <w:keepNext w:val="0"/>
              <w:keepLines w:val="0"/>
              <w:pageBreakBefore w:val="0"/>
              <w:kinsoku/>
              <w:wordWrap/>
              <w:overflowPunct/>
              <w:topLinePunct w:val="0"/>
              <w:autoSpaceDE/>
              <w:autoSpaceDN/>
              <w:bidi w:val="0"/>
              <w:adjustRightInd w:val="0"/>
              <w:snapToGrid w:val="0"/>
              <w:spacing w:line="360" w:lineRule="auto"/>
              <w:jc w:val="left"/>
              <w:rPr>
                <w:rFonts w:hint="eastAsia" w:ascii="宋体" w:hAnsi="宋体" w:eastAsia="宋体" w:cs="宋体"/>
                <w:sz w:val="24"/>
                <w:szCs w:val="24"/>
              </w:rPr>
            </w:pPr>
            <w:r>
              <w:rPr>
                <w:rFonts w:hint="eastAsia" w:ascii="宋体" w:hAnsi="宋体" w:cs="宋体"/>
                <w:color w:val="000000" w:themeColor="text1"/>
                <w:sz w:val="24"/>
                <w:szCs w:val="24"/>
                <w:lang w:eastAsia="zh-CN"/>
                <w14:textFill>
                  <w14:solidFill>
                    <w14:schemeClr w14:val="tx1"/>
                  </w14:solidFill>
                </w14:textFill>
              </w:rPr>
              <w:t>吴堡县沿黄土石山区植物园建设（三期）项目监理服务</w:t>
            </w:r>
          </w:p>
        </w:tc>
      </w:tr>
      <w:tr w14:paraId="50390A49">
        <w:tblPrEx>
          <w:tblCellMar>
            <w:top w:w="0" w:type="dxa"/>
            <w:left w:w="108" w:type="dxa"/>
            <w:bottom w:w="0" w:type="dxa"/>
            <w:right w:w="108" w:type="dxa"/>
          </w:tblCellMar>
        </w:tblPrEx>
        <w:trPr>
          <w:jc w:val="center"/>
        </w:trPr>
        <w:tc>
          <w:tcPr>
            <w:tcW w:w="723" w:type="dxa"/>
            <w:tcBorders>
              <w:top w:val="single" w:color="auto" w:sz="4" w:space="0"/>
              <w:left w:val="single" w:color="auto" w:sz="4" w:space="0"/>
              <w:bottom w:val="single" w:color="auto" w:sz="4" w:space="0"/>
              <w:right w:val="single" w:color="auto" w:sz="4" w:space="0"/>
            </w:tcBorders>
            <w:vAlign w:val="center"/>
          </w:tcPr>
          <w:p w14:paraId="104C0F92">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655A1FBE">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项目概况</w:t>
            </w:r>
          </w:p>
        </w:tc>
        <w:tc>
          <w:tcPr>
            <w:tcW w:w="6708" w:type="dxa"/>
            <w:tcBorders>
              <w:top w:val="single" w:color="auto" w:sz="4" w:space="0"/>
              <w:left w:val="single" w:color="auto" w:sz="4" w:space="0"/>
              <w:bottom w:val="single" w:color="auto" w:sz="4" w:space="0"/>
              <w:right w:val="single" w:color="auto" w:sz="4" w:space="0"/>
            </w:tcBorders>
            <w:vAlign w:val="center"/>
          </w:tcPr>
          <w:p w14:paraId="43F9FEDE">
            <w:pPr>
              <w:keepNext w:val="0"/>
              <w:keepLines w:val="0"/>
              <w:pageBreakBefore w:val="0"/>
              <w:kinsoku/>
              <w:wordWrap/>
              <w:overflowPunct/>
              <w:topLinePunct w:val="0"/>
              <w:autoSpaceDE/>
              <w:autoSpaceDN/>
              <w:bidi w:val="0"/>
              <w:adjustRightInd w:val="0"/>
              <w:snapToGrid w:val="0"/>
              <w:spacing w:line="360" w:lineRule="auto"/>
              <w:rPr>
                <w:rFonts w:hint="eastAsia" w:ascii="宋体" w:hAnsi="宋体" w:eastAsia="宋体" w:cs="宋体"/>
                <w:sz w:val="24"/>
                <w:szCs w:val="24"/>
                <w:lang w:val="zh-CN"/>
              </w:rPr>
            </w:pPr>
            <w:r>
              <w:rPr>
                <w:rFonts w:hint="eastAsia" w:ascii="宋体" w:hAnsi="宋体" w:cs="宋体"/>
                <w:color w:val="000000" w:themeColor="text1"/>
                <w:sz w:val="24"/>
                <w:szCs w:val="24"/>
                <w:lang w:eastAsia="zh-CN"/>
                <w14:textFill>
                  <w14:solidFill>
                    <w14:schemeClr w14:val="tx1"/>
                  </w14:solidFill>
                </w14:textFill>
              </w:rPr>
              <w:t>吴堡县沿黄土石山区植物园建设（三期）项目监理服务</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cs="宋体"/>
                <w:color w:val="auto"/>
                <w:kern w:val="0"/>
                <w:sz w:val="24"/>
                <w:szCs w:val="24"/>
                <w:highlight w:val="none"/>
                <w:lang w:val="en-US" w:eastAsia="zh-CN" w:bidi="ar"/>
              </w:rPr>
              <w:t>包含的所有工作内容</w:t>
            </w:r>
            <w:r>
              <w:rPr>
                <w:rFonts w:hint="eastAsia" w:ascii="宋体" w:hAnsi="宋体" w:eastAsia="宋体" w:cs="宋体"/>
                <w:color w:val="000000" w:themeColor="text1"/>
                <w:sz w:val="24"/>
                <w:szCs w:val="24"/>
                <w:lang w:eastAsia="zh-CN"/>
                <w14:textFill>
                  <w14:solidFill>
                    <w14:schemeClr w14:val="tx1"/>
                  </w14:solidFill>
                </w14:textFill>
              </w:rPr>
              <w:t>）</w:t>
            </w:r>
          </w:p>
        </w:tc>
      </w:tr>
      <w:tr w14:paraId="4ED884DB">
        <w:tblPrEx>
          <w:tblCellMar>
            <w:top w:w="0" w:type="dxa"/>
            <w:left w:w="108" w:type="dxa"/>
            <w:bottom w:w="0" w:type="dxa"/>
            <w:right w:w="108" w:type="dxa"/>
          </w:tblCellMar>
        </w:tblPrEx>
        <w:trPr>
          <w:jc w:val="center"/>
        </w:trPr>
        <w:tc>
          <w:tcPr>
            <w:tcW w:w="723" w:type="dxa"/>
            <w:tcBorders>
              <w:top w:val="single" w:color="auto" w:sz="4" w:space="0"/>
              <w:left w:val="single" w:color="auto" w:sz="4" w:space="0"/>
              <w:bottom w:val="single" w:color="auto" w:sz="4" w:space="0"/>
              <w:right w:val="single" w:color="auto" w:sz="4" w:space="0"/>
            </w:tcBorders>
            <w:vAlign w:val="center"/>
          </w:tcPr>
          <w:p w14:paraId="54A6F541">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50117B64">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采购方式</w:t>
            </w:r>
          </w:p>
        </w:tc>
        <w:tc>
          <w:tcPr>
            <w:tcW w:w="6708" w:type="dxa"/>
            <w:tcBorders>
              <w:top w:val="single" w:color="auto" w:sz="4" w:space="0"/>
              <w:left w:val="single" w:color="auto" w:sz="4" w:space="0"/>
              <w:bottom w:val="single" w:color="auto" w:sz="4" w:space="0"/>
              <w:right w:val="single" w:color="auto" w:sz="4" w:space="0"/>
            </w:tcBorders>
            <w:vAlign w:val="center"/>
          </w:tcPr>
          <w:p w14:paraId="57820B6F">
            <w:pPr>
              <w:keepNext w:val="0"/>
              <w:keepLines w:val="0"/>
              <w:pageBreakBefore w:val="0"/>
              <w:kinsoku/>
              <w:wordWrap/>
              <w:overflowPunct/>
              <w:topLinePunct w:val="0"/>
              <w:autoSpaceDE/>
              <w:autoSpaceDN/>
              <w:bidi w:val="0"/>
              <w:adjustRightInd w:val="0"/>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竞争性磋商</w:t>
            </w:r>
          </w:p>
        </w:tc>
      </w:tr>
      <w:tr w14:paraId="73E0FDA0">
        <w:tblPrEx>
          <w:tblCellMar>
            <w:top w:w="0" w:type="dxa"/>
            <w:left w:w="108" w:type="dxa"/>
            <w:bottom w:w="0" w:type="dxa"/>
            <w:right w:w="108" w:type="dxa"/>
          </w:tblCellMar>
        </w:tblPrEx>
        <w:trPr>
          <w:jc w:val="center"/>
        </w:trPr>
        <w:tc>
          <w:tcPr>
            <w:tcW w:w="723" w:type="dxa"/>
            <w:tcBorders>
              <w:top w:val="single" w:color="auto" w:sz="4" w:space="0"/>
              <w:left w:val="single" w:color="auto" w:sz="4" w:space="0"/>
              <w:bottom w:val="single" w:color="auto" w:sz="4" w:space="0"/>
              <w:right w:val="single" w:color="auto" w:sz="4" w:space="0"/>
            </w:tcBorders>
            <w:vAlign w:val="center"/>
          </w:tcPr>
          <w:p w14:paraId="55DC5431">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lang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055B97D0">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预算金额</w:t>
            </w:r>
          </w:p>
        </w:tc>
        <w:tc>
          <w:tcPr>
            <w:tcW w:w="6708" w:type="dxa"/>
            <w:tcBorders>
              <w:top w:val="single" w:color="auto" w:sz="4" w:space="0"/>
              <w:left w:val="single" w:color="auto" w:sz="4" w:space="0"/>
              <w:bottom w:val="single" w:color="auto" w:sz="4" w:space="0"/>
              <w:right w:val="single" w:color="auto" w:sz="4" w:space="0"/>
            </w:tcBorders>
            <w:vAlign w:val="center"/>
          </w:tcPr>
          <w:p w14:paraId="552ABEC8">
            <w:pPr>
              <w:pStyle w:val="22"/>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right="0"/>
              <w:jc w:val="left"/>
              <w:rPr>
                <w:rFonts w:hint="eastAsia" w:ascii="宋体" w:hAnsi="宋体" w:eastAsia="宋体" w:cs="宋体"/>
                <w:sz w:val="24"/>
                <w:szCs w:val="24"/>
                <w:lang w:val="en-US" w:eastAsia="zh-CN"/>
              </w:rPr>
            </w:pPr>
            <w:r>
              <w:rPr>
                <w:rFonts w:hint="eastAsia" w:cs="宋体"/>
                <w:sz w:val="24"/>
                <w:szCs w:val="24"/>
                <w:lang w:val="en-US" w:eastAsia="zh-CN"/>
              </w:rPr>
              <w:t>预算金额：</w:t>
            </w:r>
            <w:r>
              <w:rPr>
                <w:rFonts w:hint="eastAsia" w:ascii="宋体" w:hAnsi="宋体" w:eastAsia="宋体" w:cs="宋体"/>
                <w:sz w:val="24"/>
                <w:szCs w:val="24"/>
              </w:rPr>
              <w:t>378,000.00</w:t>
            </w:r>
            <w:r>
              <w:rPr>
                <w:rFonts w:hint="eastAsia" w:cs="宋体"/>
                <w:sz w:val="24"/>
                <w:szCs w:val="24"/>
                <w:lang w:val="en-US" w:eastAsia="zh-CN"/>
              </w:rPr>
              <w:t>元</w:t>
            </w:r>
            <w:r>
              <w:rPr>
                <w:rFonts w:hint="eastAsia" w:cs="宋体"/>
                <w:sz w:val="24"/>
                <w:szCs w:val="24"/>
                <w:lang w:val="en-US" w:eastAsia="zh-CN"/>
              </w:rPr>
              <w:br w:type="textWrapping"/>
            </w:r>
            <w:r>
              <w:rPr>
                <w:rFonts w:hint="eastAsia" w:ascii="宋体" w:hAnsi="宋体" w:eastAsia="宋体" w:cs="宋体"/>
                <w:sz w:val="24"/>
                <w:szCs w:val="24"/>
              </w:rPr>
              <w:t>备注：磋商报价超过预算金额的，按照无效磋商处理。</w:t>
            </w:r>
          </w:p>
        </w:tc>
      </w:tr>
      <w:tr w14:paraId="06E7034A">
        <w:tblPrEx>
          <w:tblCellMar>
            <w:top w:w="0" w:type="dxa"/>
            <w:left w:w="108" w:type="dxa"/>
            <w:bottom w:w="0" w:type="dxa"/>
            <w:right w:w="108" w:type="dxa"/>
          </w:tblCellMar>
        </w:tblPrEx>
        <w:trPr>
          <w:jc w:val="center"/>
        </w:trPr>
        <w:tc>
          <w:tcPr>
            <w:tcW w:w="723" w:type="dxa"/>
            <w:tcBorders>
              <w:top w:val="single" w:color="auto" w:sz="4" w:space="0"/>
              <w:left w:val="single" w:color="auto" w:sz="4" w:space="0"/>
              <w:bottom w:val="single" w:color="auto" w:sz="4" w:space="0"/>
              <w:right w:val="single" w:color="auto" w:sz="4" w:space="0"/>
            </w:tcBorders>
            <w:vAlign w:val="center"/>
          </w:tcPr>
          <w:p w14:paraId="3ED92CC3">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lang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0614A75D">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资金落实情况</w:t>
            </w:r>
          </w:p>
        </w:tc>
        <w:tc>
          <w:tcPr>
            <w:tcW w:w="6708" w:type="dxa"/>
            <w:tcBorders>
              <w:top w:val="single" w:color="auto" w:sz="4" w:space="0"/>
              <w:left w:val="single" w:color="auto" w:sz="4" w:space="0"/>
              <w:bottom w:val="single" w:color="auto" w:sz="4" w:space="0"/>
              <w:right w:val="single" w:color="auto" w:sz="4" w:space="0"/>
            </w:tcBorders>
            <w:vAlign w:val="center"/>
          </w:tcPr>
          <w:p w14:paraId="021BFEAA">
            <w:pPr>
              <w:keepNext w:val="0"/>
              <w:keepLines w:val="0"/>
              <w:pageBreakBefore w:val="0"/>
              <w:kinsoku/>
              <w:wordWrap/>
              <w:overflowPunct/>
              <w:topLinePunct w:val="0"/>
              <w:autoSpaceDE/>
              <w:autoSpaceDN/>
              <w:bidi w:val="0"/>
              <w:adjustRightInd w:val="0"/>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已落实</w:t>
            </w:r>
          </w:p>
        </w:tc>
      </w:tr>
      <w:tr w14:paraId="34A046DF">
        <w:tblPrEx>
          <w:tblCellMar>
            <w:top w:w="0" w:type="dxa"/>
            <w:left w:w="108" w:type="dxa"/>
            <w:bottom w:w="0" w:type="dxa"/>
            <w:right w:w="108" w:type="dxa"/>
          </w:tblCellMar>
        </w:tblPrEx>
        <w:trPr>
          <w:jc w:val="center"/>
        </w:trPr>
        <w:tc>
          <w:tcPr>
            <w:tcW w:w="723" w:type="dxa"/>
            <w:tcBorders>
              <w:top w:val="single" w:color="auto" w:sz="4" w:space="0"/>
              <w:left w:val="single" w:color="auto" w:sz="4" w:space="0"/>
              <w:bottom w:val="single" w:color="auto" w:sz="4" w:space="0"/>
              <w:right w:val="single" w:color="auto" w:sz="4" w:space="0"/>
            </w:tcBorders>
            <w:vAlign w:val="center"/>
          </w:tcPr>
          <w:p w14:paraId="1C871180">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highlight w:val="none"/>
                <w:lang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5A9235C0">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磋商报价</w:t>
            </w:r>
          </w:p>
        </w:tc>
        <w:tc>
          <w:tcPr>
            <w:tcW w:w="6708" w:type="dxa"/>
            <w:tcBorders>
              <w:top w:val="single" w:color="auto" w:sz="4" w:space="0"/>
              <w:left w:val="single" w:color="auto" w:sz="4" w:space="0"/>
              <w:bottom w:val="single" w:color="auto" w:sz="4" w:space="0"/>
              <w:right w:val="single" w:color="auto" w:sz="4" w:space="0"/>
            </w:tcBorders>
            <w:vAlign w:val="center"/>
          </w:tcPr>
          <w:p w14:paraId="59F69A99">
            <w:pPr>
              <w:keepNext w:val="0"/>
              <w:keepLines w:val="0"/>
              <w:pageBreakBefore w:val="0"/>
              <w:kinsoku/>
              <w:wordWrap/>
              <w:overflowPunct/>
              <w:topLinePunct w:val="0"/>
              <w:autoSpaceDE/>
              <w:autoSpaceDN/>
              <w:bidi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报价包含完成本次投标项目所包含的一切相关费用。</w:t>
            </w:r>
          </w:p>
        </w:tc>
      </w:tr>
      <w:tr w14:paraId="38660696">
        <w:tblPrEx>
          <w:tblCellMar>
            <w:top w:w="0" w:type="dxa"/>
            <w:left w:w="108" w:type="dxa"/>
            <w:bottom w:w="0" w:type="dxa"/>
            <w:right w:w="108" w:type="dxa"/>
          </w:tblCellMar>
        </w:tblPrEx>
        <w:trPr>
          <w:jc w:val="center"/>
        </w:trPr>
        <w:tc>
          <w:tcPr>
            <w:tcW w:w="723" w:type="dxa"/>
            <w:tcBorders>
              <w:top w:val="single" w:color="auto" w:sz="4" w:space="0"/>
              <w:left w:val="single" w:color="auto" w:sz="4" w:space="0"/>
              <w:bottom w:val="single" w:color="auto" w:sz="4" w:space="0"/>
              <w:right w:val="single" w:color="auto" w:sz="4" w:space="0"/>
            </w:tcBorders>
            <w:vAlign w:val="center"/>
          </w:tcPr>
          <w:p w14:paraId="48E49BF4">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6D564BF4">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供应商资质</w:t>
            </w:r>
          </w:p>
          <w:p w14:paraId="32029EC2">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条件</w:t>
            </w:r>
          </w:p>
          <w:p w14:paraId="51567D35">
            <w:pPr>
              <w:pStyle w:val="15"/>
              <w:keepNext w:val="0"/>
              <w:keepLines w:val="0"/>
              <w:pageBreakBefore w:val="0"/>
              <w:kinsoku/>
              <w:wordWrap/>
              <w:overflowPunct/>
              <w:topLinePunct w:val="0"/>
              <w:autoSpaceDE/>
              <w:autoSpaceDN/>
              <w:bidi w:val="0"/>
              <w:adjustRightInd w:val="0"/>
              <w:snapToGrid w:val="0"/>
              <w:spacing w:line="360" w:lineRule="auto"/>
              <w:rPr>
                <w:rFonts w:hint="eastAsia" w:ascii="宋体" w:hAnsi="宋体" w:eastAsia="宋体" w:cs="宋体"/>
                <w:sz w:val="24"/>
                <w:szCs w:val="24"/>
              </w:rPr>
            </w:pPr>
          </w:p>
        </w:tc>
        <w:tc>
          <w:tcPr>
            <w:tcW w:w="6708" w:type="dxa"/>
            <w:tcBorders>
              <w:top w:val="single" w:color="auto" w:sz="4" w:space="0"/>
              <w:left w:val="single" w:color="auto" w:sz="4" w:space="0"/>
              <w:bottom w:val="single" w:color="auto" w:sz="4" w:space="0"/>
              <w:right w:val="single" w:color="auto" w:sz="4" w:space="0"/>
            </w:tcBorders>
            <w:vAlign w:val="center"/>
          </w:tcPr>
          <w:p w14:paraId="6FED41B9">
            <w:pPr>
              <w:keepNext w:val="0"/>
              <w:keepLines w:val="0"/>
              <w:pageBreakBefore w:val="0"/>
              <w:widowControl/>
              <w:kinsoku/>
              <w:wordWrap/>
              <w:overflowPunct/>
              <w:topLinePunct w:val="0"/>
              <w:autoSpaceDE/>
              <w:autoSpaceDN/>
              <w:bidi w:val="0"/>
              <w:adjustRightInd w:val="0"/>
              <w:snapToGrid w:val="0"/>
              <w:spacing w:line="360" w:lineRule="auto"/>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（一）基本资格条件：符合《中华人民共和国政府采购法》第二十二条的规定。</w:t>
            </w:r>
          </w:p>
          <w:p w14:paraId="61A3782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val="0"/>
              <w:spacing w:before="0" w:beforeAutospacing="0" w:after="0" w:afterAutospacing="0" w:line="360" w:lineRule="auto"/>
              <w:ind w:left="0" w:leftChars="0" w:right="0" w:firstLine="0" w:firstLineChars="0"/>
              <w:jc w:val="both"/>
              <w:textAlignment w:val="auto"/>
              <w:rPr>
                <w:rFonts w:hint="eastAsia" w:ascii="宋体" w:hAnsi="宋体" w:eastAsia="宋体" w:cs="宋体"/>
                <w:b/>
                <w:bCs/>
                <w:color w:val="auto"/>
                <w:sz w:val="24"/>
                <w:szCs w:val="24"/>
              </w:rPr>
            </w:pPr>
            <w:r>
              <w:rPr>
                <w:rFonts w:hint="eastAsia" w:ascii="宋体" w:hAnsi="宋体" w:eastAsia="宋体" w:cs="宋体"/>
                <w:b/>
                <w:bCs/>
                <w:sz w:val="24"/>
                <w:szCs w:val="24"/>
              </w:rPr>
              <w:t>（二）</w:t>
            </w:r>
            <w:r>
              <w:rPr>
                <w:rFonts w:hint="eastAsia" w:ascii="宋体" w:hAnsi="宋体" w:eastAsia="宋体" w:cs="宋体"/>
                <w:b/>
                <w:bCs/>
                <w:sz w:val="24"/>
                <w:szCs w:val="24"/>
                <w:lang w:eastAsia="zh-CN"/>
              </w:rPr>
              <w:t>特定</w:t>
            </w:r>
            <w:r>
              <w:rPr>
                <w:rFonts w:hint="eastAsia" w:ascii="宋体" w:hAnsi="宋体" w:eastAsia="宋体" w:cs="宋体"/>
                <w:b/>
                <w:bCs/>
                <w:sz w:val="24"/>
                <w:szCs w:val="24"/>
              </w:rPr>
              <w:t>资格条件</w:t>
            </w:r>
            <w:r>
              <w:rPr>
                <w:rFonts w:hint="eastAsia" w:ascii="宋体" w:hAnsi="宋体" w:eastAsia="宋体" w:cs="宋体"/>
                <w:b/>
                <w:bCs/>
                <w:i w:val="0"/>
                <w:iCs w:val="0"/>
                <w:caps w:val="0"/>
                <w:color w:val="auto"/>
                <w:spacing w:val="0"/>
                <w:sz w:val="24"/>
                <w:szCs w:val="24"/>
                <w:shd w:val="clear" w:fill="FFFFFF"/>
              </w:rPr>
              <w:t>如下:</w:t>
            </w:r>
          </w:p>
          <w:p w14:paraId="3FF4DA54">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bCs/>
                <w:kern w:val="2"/>
                <w:sz w:val="24"/>
                <w:szCs w:val="24"/>
              </w:rPr>
            </w:pPr>
            <w:r>
              <w:rPr>
                <w:rFonts w:hint="eastAsia" w:ascii="宋体" w:hAnsi="宋体" w:eastAsia="宋体" w:cs="宋体"/>
                <w:bCs/>
                <w:kern w:val="2"/>
                <w:sz w:val="24"/>
                <w:szCs w:val="24"/>
              </w:rPr>
              <w:t>（1）具有独立承担民事责任能力的法人、其他组织或自然人，并出具合法有效的营业执照或事业单位法人证书等国家规定的相关证明，自然人参与的提供其身份证明；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Cs/>
                <w:kern w:val="2"/>
                <w:sz w:val="24"/>
                <w:szCs w:val="24"/>
              </w:rPr>
              <w:br w:type="textWrapping"/>
            </w:r>
            <w:r>
              <w:rPr>
                <w:rFonts w:hint="eastAsia" w:ascii="宋体" w:hAnsi="宋体" w:eastAsia="宋体" w:cs="宋体"/>
                <w:bCs/>
                <w:kern w:val="2"/>
                <w:sz w:val="24"/>
                <w:szCs w:val="24"/>
              </w:rPr>
              <w:t>（2）供应商须具备市政公用工程监理乙级及以上资质；拟派项目总监理工程师具备市政公用工程注册监理工程师及以上执业资格，且未担任其他在建工程项目的总监理工程师（提供无在建工程声明）；</w:t>
            </w:r>
            <w:r>
              <w:rPr>
                <w:rFonts w:hint="eastAsia" w:ascii="宋体" w:hAnsi="宋体" w:eastAsia="宋体" w:cs="宋体"/>
                <w:bCs/>
                <w:kern w:val="2"/>
                <w:sz w:val="24"/>
                <w:szCs w:val="24"/>
              </w:rPr>
              <w:br w:type="textWrapping"/>
            </w:r>
            <w:r>
              <w:rPr>
                <w:rFonts w:hint="eastAsia" w:ascii="宋体" w:hAnsi="宋体" w:eastAsia="宋体" w:cs="宋体"/>
                <w:bCs/>
                <w:kern w:val="2"/>
                <w:sz w:val="24"/>
                <w:szCs w:val="24"/>
              </w:rPr>
              <w:t>（3）社保缴纳证明：提供响应文件递交截止时间前六个月内至少一个月的社会保障资金缴存单据或社保机构开具的社会保险参保缴费情况证明，依法不需要缴纳社会保障资金的单位应提供相关证明材料；</w:t>
            </w:r>
            <w:r>
              <w:rPr>
                <w:rFonts w:hint="eastAsia" w:ascii="宋体" w:hAnsi="宋体" w:eastAsia="宋体" w:cs="宋体"/>
                <w:bCs/>
                <w:kern w:val="2"/>
                <w:sz w:val="24"/>
                <w:szCs w:val="24"/>
              </w:rPr>
              <w:br w:type="textWrapping"/>
            </w:r>
            <w:r>
              <w:rPr>
                <w:rFonts w:hint="eastAsia" w:ascii="宋体" w:hAnsi="宋体" w:eastAsia="宋体" w:cs="宋体"/>
                <w:bCs/>
                <w:kern w:val="2"/>
                <w:sz w:val="24"/>
                <w:szCs w:val="24"/>
              </w:rPr>
              <w:t>（4）税收缴纳证明：提供响应文件递交截止时间前六个月内至少一个月的纳税证明或完税证明，纳税证明或完税证明上应有代收机构或税务机关的公章或业务专用章。依法免税的供应商应提供相关文件证明；</w:t>
            </w:r>
            <w:r>
              <w:rPr>
                <w:rFonts w:hint="eastAsia" w:ascii="宋体" w:hAnsi="宋体" w:eastAsia="宋体" w:cs="宋体"/>
                <w:bCs/>
                <w:kern w:val="2"/>
                <w:sz w:val="24"/>
                <w:szCs w:val="24"/>
              </w:rPr>
              <w:br w:type="textWrapping"/>
            </w:r>
            <w:r>
              <w:rPr>
                <w:rFonts w:hint="eastAsia" w:ascii="宋体" w:hAnsi="宋体" w:eastAsia="宋体" w:cs="宋体"/>
                <w:bCs/>
                <w:kern w:val="2"/>
                <w:sz w:val="24"/>
                <w:szCs w:val="24"/>
              </w:rPr>
              <w:t>（5）财务状况报告：提供企业赋码后2025年度经会计师事务所或审计机构审计的财务审计报告，不足一年的提供成立以来的资产负债表、利润表、现金流量表及基本账户银行出具的资信证明），提供的财务审计报告需在注册会计师行业统一监管平台（http://acc.mof.gov.cn/）可查询并提供网页查询截图；</w:t>
            </w:r>
            <w:r>
              <w:rPr>
                <w:rFonts w:hint="eastAsia" w:ascii="宋体" w:hAnsi="宋体" w:eastAsia="宋体" w:cs="宋体"/>
                <w:bCs/>
                <w:kern w:val="2"/>
                <w:sz w:val="24"/>
                <w:szCs w:val="24"/>
              </w:rPr>
              <w:br w:type="textWrapping"/>
            </w:r>
            <w:r>
              <w:rPr>
                <w:rFonts w:hint="eastAsia" w:ascii="宋体" w:hAnsi="宋体" w:eastAsia="宋体" w:cs="宋体"/>
                <w:bCs/>
                <w:kern w:val="2"/>
                <w:sz w:val="24"/>
                <w:szCs w:val="24"/>
              </w:rPr>
              <w:t>（6）提供在投标截止日前在信用中国网（www.creditchina.gov.cn）未被列入失信被执行人、重大税收违法案件当事人名单和在中国政府采购网（www.ccgp.gov.cn）未被列入政府采购严重违法失信行为记录名单（查询日期为从竞争性磋商文件发售之日起至投标截止日前）并加盖供应商公章；</w:t>
            </w:r>
            <w:r>
              <w:rPr>
                <w:rFonts w:hint="eastAsia" w:ascii="宋体" w:hAnsi="宋体" w:eastAsia="宋体" w:cs="宋体"/>
                <w:bCs/>
                <w:kern w:val="2"/>
                <w:sz w:val="24"/>
                <w:szCs w:val="24"/>
              </w:rPr>
              <w:br w:type="textWrapping"/>
            </w:r>
            <w:r>
              <w:rPr>
                <w:rFonts w:hint="eastAsia" w:ascii="宋体" w:hAnsi="宋体" w:eastAsia="宋体" w:cs="宋体"/>
                <w:bCs/>
                <w:kern w:val="2"/>
                <w:sz w:val="24"/>
                <w:szCs w:val="24"/>
              </w:rPr>
              <w:t>（7）提供榆林市政府采购服务类项目投标人信用承诺书、投标信用（保证金）承诺书等（格式详见竞争性磋商文件）；投标人应在“信用中国（陕西榆林）”网站进行注册、登录、自主上报信用承诺书（网址：https://credit.yl.gov.cn/）；</w:t>
            </w:r>
            <w:r>
              <w:rPr>
                <w:rFonts w:hint="eastAsia" w:ascii="宋体" w:hAnsi="宋体" w:eastAsia="宋体" w:cs="宋体"/>
                <w:bCs/>
                <w:kern w:val="2"/>
                <w:sz w:val="24"/>
                <w:szCs w:val="24"/>
              </w:rPr>
              <w:br w:type="textWrapping"/>
            </w:r>
            <w:r>
              <w:rPr>
                <w:rFonts w:hint="eastAsia" w:ascii="宋体" w:hAnsi="宋体" w:eastAsia="宋体" w:cs="宋体"/>
                <w:bCs/>
                <w:kern w:val="2"/>
                <w:sz w:val="24"/>
                <w:szCs w:val="24"/>
              </w:rPr>
              <w:t>（8）书面声明：参加本次政府采购活动前三年内在经营活动中没有重大违纪，以及未被列入失信被执行人、重大税收违法失信主体名单、政府采购严重违法失信行为记录名单的书面声明；</w:t>
            </w:r>
            <w:r>
              <w:rPr>
                <w:rFonts w:hint="eastAsia" w:ascii="宋体" w:hAnsi="宋体" w:eastAsia="宋体" w:cs="宋体"/>
                <w:bCs/>
                <w:kern w:val="2"/>
                <w:sz w:val="24"/>
                <w:szCs w:val="24"/>
              </w:rPr>
              <w:br w:type="textWrapping"/>
            </w:r>
            <w:r>
              <w:rPr>
                <w:rFonts w:hint="eastAsia" w:ascii="宋体" w:hAnsi="宋体" w:eastAsia="宋体" w:cs="宋体"/>
                <w:bCs/>
                <w:kern w:val="2"/>
                <w:sz w:val="24"/>
                <w:szCs w:val="24"/>
              </w:rPr>
              <w:t>（9）本合同包专门面向中小企业采购，提供中小企业声明函；</w:t>
            </w:r>
            <w:r>
              <w:rPr>
                <w:rFonts w:hint="eastAsia" w:ascii="宋体" w:hAnsi="宋体" w:eastAsia="宋体" w:cs="宋体"/>
                <w:bCs/>
                <w:kern w:val="2"/>
                <w:sz w:val="24"/>
                <w:szCs w:val="24"/>
              </w:rPr>
              <w:br w:type="textWrapping"/>
            </w:r>
            <w:r>
              <w:rPr>
                <w:rFonts w:hint="eastAsia" w:ascii="宋体" w:hAnsi="宋体" w:eastAsia="宋体" w:cs="宋体"/>
                <w:bCs/>
                <w:kern w:val="2"/>
                <w:sz w:val="24"/>
                <w:szCs w:val="24"/>
              </w:rPr>
              <w:t>（10）本项目不接受联合体投标；单位负责人为同一人或者存在直接控股、管理关系的不同供应商，不得参加同一合同项下的政府采购活动；（提供书面声明材料）。</w:t>
            </w:r>
          </w:p>
          <w:p w14:paraId="2B59ADF6">
            <w:pPr>
              <w:pStyle w:val="2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bCs/>
                <w:kern w:val="2"/>
                <w:sz w:val="24"/>
                <w:szCs w:val="24"/>
              </w:rPr>
            </w:pPr>
          </w:p>
        </w:tc>
      </w:tr>
      <w:tr w14:paraId="68A0FA4F">
        <w:tblPrEx>
          <w:tblCellMar>
            <w:top w:w="0" w:type="dxa"/>
            <w:left w:w="108" w:type="dxa"/>
            <w:bottom w:w="0" w:type="dxa"/>
            <w:right w:w="108" w:type="dxa"/>
          </w:tblCellMar>
        </w:tblPrEx>
        <w:trPr>
          <w:trHeight w:val="9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3A8985AD">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75788EBB">
            <w:pPr>
              <w:keepNext w:val="0"/>
              <w:keepLines w:val="0"/>
              <w:pageBreakBefore w:val="0"/>
              <w:widowControl/>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sz w:val="24"/>
                <w:szCs w:val="24"/>
              </w:rPr>
              <w:t>磋商有效期</w:t>
            </w:r>
          </w:p>
        </w:tc>
        <w:tc>
          <w:tcPr>
            <w:tcW w:w="6708" w:type="dxa"/>
            <w:tcBorders>
              <w:top w:val="single" w:color="auto" w:sz="4" w:space="0"/>
              <w:left w:val="single" w:color="auto" w:sz="4" w:space="0"/>
              <w:bottom w:val="single" w:color="auto" w:sz="4" w:space="0"/>
              <w:right w:val="single" w:color="auto" w:sz="4" w:space="0"/>
            </w:tcBorders>
            <w:vAlign w:val="center"/>
          </w:tcPr>
          <w:p w14:paraId="3879EEAB">
            <w:pPr>
              <w:keepNext w:val="0"/>
              <w:keepLines w:val="0"/>
              <w:pageBreakBefore w:val="0"/>
              <w:widowControl/>
              <w:tabs>
                <w:tab w:val="left" w:pos="1620"/>
              </w:tabs>
              <w:kinsoku/>
              <w:wordWrap/>
              <w:overflowPunct/>
              <w:topLinePunct w:val="0"/>
              <w:autoSpaceDE/>
              <w:autoSpaceDN/>
              <w:bidi w:val="0"/>
              <w:adjustRightInd w:val="0"/>
              <w:snapToGrid w:val="0"/>
              <w:spacing w:line="360" w:lineRule="auto"/>
              <w:jc w:val="left"/>
              <w:rPr>
                <w:rFonts w:hint="eastAsia" w:ascii="宋体" w:hAnsi="宋体" w:eastAsia="宋体" w:cs="宋体"/>
                <w:sz w:val="24"/>
                <w:szCs w:val="24"/>
                <w:u w:val="single"/>
              </w:rPr>
            </w:pPr>
            <w:r>
              <w:rPr>
                <w:rFonts w:hint="eastAsia" w:ascii="宋体" w:hAnsi="宋体" w:eastAsia="宋体" w:cs="宋体"/>
                <w:sz w:val="24"/>
                <w:szCs w:val="24"/>
              </w:rPr>
              <w:t>磋商响应文件从磋商截止日起，磋商有效期为90天，磋商有效期短于此规定期限的响应文件，视为无效响应文件。</w:t>
            </w:r>
            <w:r>
              <w:rPr>
                <w:rFonts w:hint="eastAsia" w:ascii="宋体" w:hAnsi="宋体" w:eastAsia="宋体" w:cs="宋体"/>
                <w:sz w:val="24"/>
                <w:szCs w:val="24"/>
                <w:lang w:eastAsia="zh-CN"/>
              </w:rPr>
              <w:t>成交供应商</w:t>
            </w:r>
            <w:r>
              <w:rPr>
                <w:rFonts w:hint="eastAsia" w:ascii="宋体" w:hAnsi="宋体" w:eastAsia="宋体" w:cs="宋体"/>
                <w:sz w:val="24"/>
                <w:szCs w:val="24"/>
              </w:rPr>
              <w:t>的响应文件有效期延长至合同执行完毕。</w:t>
            </w:r>
          </w:p>
        </w:tc>
      </w:tr>
      <w:tr w14:paraId="55F3015E">
        <w:tblPrEx>
          <w:tblCellMar>
            <w:top w:w="0" w:type="dxa"/>
            <w:left w:w="108" w:type="dxa"/>
            <w:bottom w:w="0" w:type="dxa"/>
            <w:right w:w="108" w:type="dxa"/>
          </w:tblCellMar>
        </w:tblPrEx>
        <w:trPr>
          <w:trHeight w:val="9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2D2BC2A0">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1255328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竞争性磋商响应文件递交截止时间</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磋商时间、</w:t>
            </w:r>
            <w:r>
              <w:rPr>
                <w:rFonts w:hint="eastAsia" w:ascii="宋体" w:hAnsi="宋体" w:eastAsia="宋体" w:cs="宋体"/>
                <w:sz w:val="24"/>
                <w:szCs w:val="24"/>
                <w:highlight w:val="none"/>
                <w:lang w:val="zh-CN"/>
              </w:rPr>
              <w:t>地点</w:t>
            </w:r>
          </w:p>
        </w:tc>
        <w:tc>
          <w:tcPr>
            <w:tcW w:w="6708" w:type="dxa"/>
            <w:tcBorders>
              <w:top w:val="single" w:color="auto" w:sz="4" w:space="0"/>
              <w:left w:val="single" w:color="auto" w:sz="4" w:space="0"/>
              <w:bottom w:val="single" w:color="auto" w:sz="4" w:space="0"/>
              <w:right w:val="single" w:color="auto" w:sz="4" w:space="0"/>
            </w:tcBorders>
            <w:vAlign w:val="center"/>
          </w:tcPr>
          <w:p w14:paraId="5907320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详见公告</w:t>
            </w:r>
          </w:p>
        </w:tc>
      </w:tr>
      <w:tr w14:paraId="68152D1A">
        <w:tblPrEx>
          <w:tblCellMar>
            <w:top w:w="0" w:type="dxa"/>
            <w:left w:w="108" w:type="dxa"/>
            <w:bottom w:w="0" w:type="dxa"/>
            <w:right w:w="108" w:type="dxa"/>
          </w:tblCellMar>
        </w:tblPrEx>
        <w:trPr>
          <w:trHeight w:val="456"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B6C4C40">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0321D744">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6708" w:type="dxa"/>
            <w:tcBorders>
              <w:top w:val="single" w:color="auto" w:sz="4" w:space="0"/>
              <w:left w:val="single" w:color="auto" w:sz="4" w:space="0"/>
              <w:bottom w:val="single" w:color="auto" w:sz="4" w:space="0"/>
              <w:right w:val="single" w:color="auto" w:sz="4" w:space="0"/>
            </w:tcBorders>
            <w:vAlign w:val="center"/>
          </w:tcPr>
          <w:p w14:paraId="5880B5FA">
            <w:pPr>
              <w:keepNext w:val="0"/>
              <w:keepLines w:val="0"/>
              <w:pageBreakBefore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本项目采用“投标信用承诺书”代替投标保证金；</w:t>
            </w:r>
          </w:p>
          <w:p w14:paraId="2213837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z w:val="24"/>
                <w:szCs w:val="24"/>
                <w:highlight w:val="none"/>
                <w:lang w:val="en-US" w:eastAsia="zh-CN"/>
              </w:rPr>
              <w:t>根据榆林市财政局下发的榆政财采发【2023】8号文件规定，各投标人采用“投标信用承诺书”代替保证金。投标人须将“投标信用承诺书”按要求签字盖章后上传至信用中国（陕西榆林）进行承诺公示，将公示后的截图附在投标文件中</w:t>
            </w:r>
          </w:p>
        </w:tc>
      </w:tr>
      <w:tr w14:paraId="239E3569">
        <w:tblPrEx>
          <w:tblCellMar>
            <w:top w:w="0" w:type="dxa"/>
            <w:left w:w="108" w:type="dxa"/>
            <w:bottom w:w="0" w:type="dxa"/>
            <w:right w:w="108" w:type="dxa"/>
          </w:tblCellMar>
        </w:tblPrEx>
        <w:trPr>
          <w:jc w:val="center"/>
        </w:trPr>
        <w:tc>
          <w:tcPr>
            <w:tcW w:w="723" w:type="dxa"/>
            <w:tcBorders>
              <w:top w:val="single" w:color="auto" w:sz="4" w:space="0"/>
              <w:left w:val="single" w:color="auto" w:sz="4" w:space="0"/>
              <w:right w:val="single" w:color="auto" w:sz="4" w:space="0"/>
            </w:tcBorders>
            <w:vAlign w:val="center"/>
          </w:tcPr>
          <w:p w14:paraId="3ABFBC05">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highlight w:val="none"/>
                <w:lang w:val="en-US" w:eastAsia="zh-CN"/>
              </w:rPr>
            </w:pPr>
          </w:p>
        </w:tc>
        <w:tc>
          <w:tcPr>
            <w:tcW w:w="1851" w:type="dxa"/>
            <w:tcBorders>
              <w:top w:val="single" w:color="auto" w:sz="4" w:space="0"/>
              <w:left w:val="single" w:color="auto" w:sz="4" w:space="0"/>
              <w:right w:val="single" w:color="auto" w:sz="4" w:space="0"/>
            </w:tcBorders>
            <w:shd w:val="clear" w:color="auto" w:fill="auto"/>
            <w:vAlign w:val="center"/>
          </w:tcPr>
          <w:p w14:paraId="2519391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服务期</w:t>
            </w:r>
          </w:p>
        </w:tc>
        <w:tc>
          <w:tcPr>
            <w:tcW w:w="6708" w:type="dxa"/>
            <w:tcBorders>
              <w:top w:val="single" w:color="auto" w:sz="4" w:space="0"/>
              <w:left w:val="single" w:color="auto" w:sz="4" w:space="0"/>
              <w:bottom w:val="single" w:color="auto" w:sz="4" w:space="0"/>
              <w:right w:val="single" w:color="auto" w:sz="4" w:space="0"/>
            </w:tcBorders>
            <w:shd w:val="clear" w:color="auto" w:fill="auto"/>
            <w:vAlign w:val="top"/>
          </w:tcPr>
          <w:p w14:paraId="1A54FC00">
            <w:pP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监理服务周期与所负责项目的工程施工周期同步，自本合同签订之日起至缺陷责任期结束止。</w:t>
            </w:r>
          </w:p>
        </w:tc>
      </w:tr>
      <w:tr w14:paraId="0703CCD5">
        <w:tblPrEx>
          <w:tblCellMar>
            <w:top w:w="0" w:type="dxa"/>
            <w:left w:w="108" w:type="dxa"/>
            <w:bottom w:w="0" w:type="dxa"/>
            <w:right w:w="108" w:type="dxa"/>
          </w:tblCellMar>
        </w:tblPrEx>
        <w:trPr>
          <w:jc w:val="center"/>
        </w:trPr>
        <w:tc>
          <w:tcPr>
            <w:tcW w:w="723" w:type="dxa"/>
            <w:tcBorders>
              <w:top w:val="single" w:color="auto" w:sz="4" w:space="0"/>
              <w:left w:val="single" w:color="auto" w:sz="4" w:space="0"/>
              <w:bottom w:val="single" w:color="auto" w:sz="4" w:space="0"/>
              <w:right w:val="single" w:color="auto" w:sz="4" w:space="0"/>
            </w:tcBorders>
            <w:vAlign w:val="center"/>
          </w:tcPr>
          <w:p w14:paraId="2815057D">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highlight w:val="none"/>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1948664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付款方式</w:t>
            </w:r>
          </w:p>
        </w:tc>
        <w:tc>
          <w:tcPr>
            <w:tcW w:w="6708" w:type="dxa"/>
            <w:tcBorders>
              <w:top w:val="single" w:color="auto" w:sz="4" w:space="0"/>
              <w:left w:val="single" w:color="auto" w:sz="4" w:space="0"/>
              <w:bottom w:val="single" w:color="auto" w:sz="4" w:space="0"/>
              <w:right w:val="single" w:color="auto" w:sz="4" w:space="0"/>
            </w:tcBorders>
            <w:vAlign w:val="top"/>
          </w:tcPr>
          <w:p w14:paraId="39C01FAA">
            <w:pPr>
              <w:keepNext w:val="0"/>
              <w:keepLines w:val="0"/>
              <w:pageBreakBefore w:val="0"/>
              <w:widowControl w:val="0"/>
              <w:wordWrap/>
              <w:overflowPunct/>
              <w:topLinePunct w:val="0"/>
              <w:autoSpaceDE/>
              <w:autoSpaceDN/>
              <w:bidi w:val="0"/>
              <w:adjustRightInd w:val="0"/>
              <w:snapToGrid w:val="0"/>
              <w:spacing w:line="360" w:lineRule="auto"/>
              <w:textAlignment w:val="auto"/>
              <w:outlineLvl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合同签订后，甲方向乙方支付合同价款的</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%作为预付款；工程</w:t>
            </w:r>
            <w:r>
              <w:rPr>
                <w:rFonts w:hint="eastAsia" w:ascii="宋体" w:hAnsi="宋体" w:eastAsia="宋体" w:cs="宋体"/>
                <w:color w:val="auto"/>
                <w:sz w:val="24"/>
                <w:szCs w:val="24"/>
                <w:highlight w:val="none"/>
                <w:lang w:val="en-US" w:eastAsia="zh-CN"/>
              </w:rPr>
              <w:t>主要建设内容完成后</w:t>
            </w:r>
            <w:r>
              <w:rPr>
                <w:rFonts w:hint="eastAsia" w:ascii="宋体" w:hAnsi="宋体" w:eastAsia="宋体" w:cs="宋体"/>
                <w:color w:val="auto"/>
                <w:sz w:val="24"/>
                <w:szCs w:val="24"/>
                <w:highlight w:val="none"/>
                <w:lang w:eastAsia="zh-CN"/>
              </w:rPr>
              <w:t>，支付至合同价款的</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lang w:eastAsia="zh-CN"/>
              </w:rPr>
              <w:t>%；工程竣工验收合格后，支付至合同价款的</w:t>
            </w:r>
            <w:r>
              <w:rPr>
                <w:rFonts w:hint="eastAsia" w:ascii="宋体" w:hAnsi="宋体" w:eastAsia="宋体" w:cs="宋体"/>
                <w:color w:val="auto"/>
                <w:sz w:val="24"/>
                <w:szCs w:val="24"/>
                <w:highlight w:val="none"/>
                <w:lang w:val="en-US" w:eastAsia="zh-CN"/>
              </w:rPr>
              <w:t>97</w:t>
            </w:r>
            <w:r>
              <w:rPr>
                <w:rFonts w:hint="eastAsia" w:ascii="宋体" w:hAnsi="宋体" w:eastAsia="宋体" w:cs="宋体"/>
                <w:color w:val="auto"/>
                <w:sz w:val="24"/>
                <w:szCs w:val="24"/>
                <w:highlight w:val="none"/>
                <w:lang w:eastAsia="zh-CN"/>
              </w:rPr>
              <w:t>%；缺陷责任期届满且无质量问题后，付清剩余款项。</w:t>
            </w:r>
          </w:p>
        </w:tc>
      </w:tr>
      <w:tr w14:paraId="4E391D17">
        <w:tblPrEx>
          <w:tblCellMar>
            <w:top w:w="0" w:type="dxa"/>
            <w:left w:w="108" w:type="dxa"/>
            <w:bottom w:w="0" w:type="dxa"/>
            <w:right w:w="108" w:type="dxa"/>
          </w:tblCellMar>
        </w:tblPrEx>
        <w:trPr>
          <w:jc w:val="center"/>
        </w:trPr>
        <w:tc>
          <w:tcPr>
            <w:tcW w:w="723" w:type="dxa"/>
            <w:tcBorders>
              <w:top w:val="single" w:color="auto" w:sz="4" w:space="0"/>
              <w:left w:val="single" w:color="auto" w:sz="4" w:space="0"/>
              <w:bottom w:val="single" w:color="auto" w:sz="4" w:space="0"/>
              <w:right w:val="single" w:color="auto" w:sz="4" w:space="0"/>
            </w:tcBorders>
            <w:vAlign w:val="center"/>
          </w:tcPr>
          <w:p w14:paraId="1B593B38">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7490608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服务地点</w:t>
            </w:r>
          </w:p>
        </w:tc>
        <w:tc>
          <w:tcPr>
            <w:tcW w:w="6708" w:type="dxa"/>
            <w:tcBorders>
              <w:top w:val="single" w:color="auto" w:sz="4" w:space="0"/>
              <w:left w:val="single" w:color="auto" w:sz="4" w:space="0"/>
              <w:bottom w:val="single" w:color="auto" w:sz="4" w:space="0"/>
              <w:right w:val="single" w:color="auto" w:sz="4" w:space="0"/>
            </w:tcBorders>
            <w:vAlign w:val="center"/>
          </w:tcPr>
          <w:p w14:paraId="5402EFD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rPr>
            </w:pPr>
            <w:r>
              <w:rPr>
                <w:rFonts w:hint="eastAsia" w:ascii="宋体" w:hAnsi="宋体" w:eastAsia="宋体" w:cs="宋体"/>
                <w:bCs/>
                <w:sz w:val="24"/>
                <w:szCs w:val="24"/>
                <w:lang w:eastAsia="zh-CN"/>
              </w:rPr>
              <w:t>采购人</w:t>
            </w:r>
            <w:r>
              <w:rPr>
                <w:rFonts w:hint="eastAsia" w:ascii="宋体" w:hAnsi="宋体" w:eastAsia="宋体" w:cs="宋体"/>
                <w:sz w:val="24"/>
                <w:szCs w:val="24"/>
              </w:rPr>
              <w:t>指定地点</w:t>
            </w:r>
          </w:p>
        </w:tc>
      </w:tr>
      <w:tr w14:paraId="1CCA6B2F">
        <w:tblPrEx>
          <w:tblCellMar>
            <w:top w:w="0" w:type="dxa"/>
            <w:left w:w="108" w:type="dxa"/>
            <w:bottom w:w="0" w:type="dxa"/>
            <w:right w:w="108" w:type="dxa"/>
          </w:tblCellMar>
        </w:tblPrEx>
        <w:trPr>
          <w:trHeight w:val="456"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66EF2DE">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4E412D4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评审方法</w:t>
            </w:r>
          </w:p>
        </w:tc>
        <w:tc>
          <w:tcPr>
            <w:tcW w:w="6708" w:type="dxa"/>
            <w:tcBorders>
              <w:top w:val="single" w:color="auto" w:sz="4" w:space="0"/>
              <w:left w:val="single" w:color="auto" w:sz="4" w:space="0"/>
              <w:bottom w:val="single" w:color="auto" w:sz="4" w:space="0"/>
              <w:right w:val="single" w:color="auto" w:sz="4" w:space="0"/>
            </w:tcBorders>
            <w:vAlign w:val="center"/>
          </w:tcPr>
          <w:p w14:paraId="61EB7B5A">
            <w:pPr>
              <w:pStyle w:val="8"/>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rPr>
              <w:t>综合评分法</w:t>
            </w:r>
          </w:p>
        </w:tc>
      </w:tr>
      <w:tr w14:paraId="3B1CE418">
        <w:tblPrEx>
          <w:tblCellMar>
            <w:top w:w="0" w:type="dxa"/>
            <w:left w:w="108" w:type="dxa"/>
            <w:bottom w:w="0" w:type="dxa"/>
            <w:right w:w="108" w:type="dxa"/>
          </w:tblCellMar>
        </w:tblPrEx>
        <w:trPr>
          <w:trHeight w:val="4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84BC159">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5EBDFD54">
            <w:pPr>
              <w:keepNext w:val="0"/>
              <w:keepLines w:val="0"/>
              <w:pageBreakBefore w:val="0"/>
              <w:widowControl/>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000000"/>
                <w:sz w:val="24"/>
                <w:szCs w:val="24"/>
                <w:highlight w:val="none"/>
                <w:lang w:eastAsia="zh-CN"/>
              </w:rPr>
              <w:t>是否接受分包</w:t>
            </w:r>
          </w:p>
        </w:tc>
        <w:tc>
          <w:tcPr>
            <w:tcW w:w="6708" w:type="dxa"/>
            <w:tcBorders>
              <w:top w:val="single" w:color="auto" w:sz="4" w:space="0"/>
              <w:left w:val="single" w:color="auto" w:sz="4" w:space="0"/>
              <w:bottom w:val="single" w:color="auto" w:sz="4" w:space="0"/>
              <w:right w:val="single" w:color="auto" w:sz="4" w:space="0"/>
            </w:tcBorders>
            <w:vAlign w:val="center"/>
          </w:tcPr>
          <w:p w14:paraId="5816D1C2">
            <w:pPr>
              <w:keepNext w:val="0"/>
              <w:keepLines w:val="0"/>
              <w:pageBreakBefore w:val="0"/>
              <w:widowControl/>
              <w:kinsoku/>
              <w:wordWrap/>
              <w:overflowPunct/>
              <w:topLinePunct w:val="0"/>
              <w:autoSpaceDE/>
              <w:autoSpaceDN/>
              <w:bidi w:val="0"/>
              <w:adjustRightInd w:val="0"/>
              <w:snapToGrid w:val="0"/>
              <w:spacing w:line="360" w:lineRule="auto"/>
              <w:textAlignment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000000"/>
                <w:sz w:val="24"/>
                <w:szCs w:val="24"/>
                <w:highlight w:val="none"/>
                <w:lang w:eastAsia="zh-CN"/>
              </w:rPr>
              <w:t>否</w:t>
            </w:r>
          </w:p>
        </w:tc>
      </w:tr>
      <w:tr w14:paraId="74D37A47">
        <w:tblPrEx>
          <w:tblCellMar>
            <w:top w:w="0" w:type="dxa"/>
            <w:left w:w="108" w:type="dxa"/>
            <w:bottom w:w="0" w:type="dxa"/>
            <w:right w:w="108" w:type="dxa"/>
          </w:tblCellMar>
        </w:tblPrEx>
        <w:trPr>
          <w:trHeight w:val="4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37CE4D0">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4F20F12E">
            <w:pPr>
              <w:keepNext w:val="0"/>
              <w:keepLines w:val="0"/>
              <w:pageBreakBefore w:val="0"/>
              <w:widowControl/>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是否接受</w:t>
            </w:r>
          </w:p>
          <w:p w14:paraId="72E26FA3">
            <w:pPr>
              <w:keepNext w:val="0"/>
              <w:keepLines w:val="0"/>
              <w:pageBreakBefore w:val="0"/>
              <w:widowControl/>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000000"/>
                <w:sz w:val="24"/>
                <w:szCs w:val="24"/>
                <w:highlight w:val="none"/>
              </w:rPr>
              <w:t>联合体投标</w:t>
            </w:r>
          </w:p>
        </w:tc>
        <w:tc>
          <w:tcPr>
            <w:tcW w:w="6708" w:type="dxa"/>
            <w:tcBorders>
              <w:top w:val="single" w:color="auto" w:sz="4" w:space="0"/>
              <w:left w:val="single" w:color="auto" w:sz="4" w:space="0"/>
              <w:bottom w:val="single" w:color="auto" w:sz="4" w:space="0"/>
              <w:right w:val="single" w:color="auto" w:sz="4" w:space="0"/>
            </w:tcBorders>
            <w:vAlign w:val="center"/>
          </w:tcPr>
          <w:p w14:paraId="4499C6A0">
            <w:pPr>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否</w:t>
            </w:r>
          </w:p>
        </w:tc>
      </w:tr>
      <w:tr w14:paraId="419B3CC5">
        <w:tblPrEx>
          <w:tblCellMar>
            <w:top w:w="0" w:type="dxa"/>
            <w:left w:w="108" w:type="dxa"/>
            <w:bottom w:w="0" w:type="dxa"/>
            <w:right w:w="108" w:type="dxa"/>
          </w:tblCellMar>
        </w:tblPrEx>
        <w:trPr>
          <w:trHeight w:val="4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6C51F29D">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sz w:val="24"/>
                <w:szCs w:val="24"/>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7043CDDC">
            <w:pPr>
              <w:keepNext w:val="0"/>
              <w:keepLines w:val="0"/>
              <w:pageBreakBefore w:val="0"/>
              <w:widowControl/>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是否电子标</w:t>
            </w:r>
          </w:p>
        </w:tc>
        <w:tc>
          <w:tcPr>
            <w:tcW w:w="6708" w:type="dxa"/>
            <w:tcBorders>
              <w:top w:val="single" w:color="auto" w:sz="4" w:space="0"/>
              <w:left w:val="single" w:color="auto" w:sz="4" w:space="0"/>
              <w:bottom w:val="single" w:color="auto" w:sz="4" w:space="0"/>
              <w:right w:val="single" w:color="auto" w:sz="4" w:space="0"/>
            </w:tcBorders>
            <w:vAlign w:val="center"/>
          </w:tcPr>
          <w:p w14:paraId="3664D184">
            <w:pPr>
              <w:keepNext w:val="0"/>
              <w:keepLines w:val="0"/>
              <w:pageBreakBefore w:val="0"/>
              <w:widowControl/>
              <w:kinsoku/>
              <w:wordWrap/>
              <w:overflowPunct/>
              <w:topLinePunct w:val="0"/>
              <w:autoSpaceDE/>
              <w:autoSpaceDN/>
              <w:bidi w:val="0"/>
              <w:adjustRightInd w:val="0"/>
              <w:snapToGrid w:val="0"/>
              <w:spacing w:line="360" w:lineRule="auto"/>
              <w:textAlignment w:val="center"/>
              <w:rPr>
                <w:rFonts w:hint="eastAsia" w:ascii="宋体" w:hAnsi="宋体" w:eastAsia="宋体" w:cs="宋体"/>
                <w:b/>
                <w:bCs/>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否</w:t>
            </w:r>
          </w:p>
        </w:tc>
      </w:tr>
      <w:tr w14:paraId="44217292">
        <w:tblPrEx>
          <w:tblCellMar>
            <w:top w:w="0" w:type="dxa"/>
            <w:left w:w="108" w:type="dxa"/>
            <w:bottom w:w="0" w:type="dxa"/>
            <w:right w:w="108" w:type="dxa"/>
          </w:tblCellMar>
        </w:tblPrEx>
        <w:trPr>
          <w:trHeight w:val="69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3D50735">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kern w:val="2"/>
                <w:sz w:val="24"/>
                <w:szCs w:val="24"/>
                <w:lang w:val="en-US" w:eastAsia="zh-CN" w:bidi="ar-SA"/>
              </w:rPr>
            </w:pPr>
          </w:p>
        </w:tc>
        <w:tc>
          <w:tcPr>
            <w:tcW w:w="1851" w:type="dxa"/>
            <w:tcBorders>
              <w:top w:val="single" w:color="auto" w:sz="4" w:space="0"/>
              <w:left w:val="single" w:color="auto" w:sz="4" w:space="0"/>
              <w:bottom w:val="single" w:color="auto" w:sz="4" w:space="0"/>
              <w:right w:val="single" w:color="auto" w:sz="4" w:space="0"/>
            </w:tcBorders>
            <w:vAlign w:val="center"/>
          </w:tcPr>
          <w:p w14:paraId="4722778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合同签订</w:t>
            </w:r>
          </w:p>
        </w:tc>
        <w:tc>
          <w:tcPr>
            <w:tcW w:w="6708" w:type="dxa"/>
            <w:tcBorders>
              <w:top w:val="single" w:color="auto" w:sz="4" w:space="0"/>
              <w:left w:val="single" w:color="auto" w:sz="4" w:space="0"/>
              <w:bottom w:val="single" w:color="auto" w:sz="4" w:space="0"/>
              <w:right w:val="single" w:color="auto" w:sz="4" w:space="0"/>
            </w:tcBorders>
            <w:vAlign w:val="center"/>
          </w:tcPr>
          <w:p w14:paraId="04E4883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t>成交供应商</w:t>
            </w:r>
            <w:r>
              <w:rPr>
                <w:rFonts w:hint="eastAsia" w:ascii="宋体" w:hAnsi="宋体" w:eastAsia="宋体" w:cs="宋体"/>
                <w:sz w:val="24"/>
                <w:szCs w:val="24"/>
              </w:rPr>
              <w:t>与</w:t>
            </w:r>
            <w:r>
              <w:rPr>
                <w:rFonts w:hint="eastAsia" w:ascii="宋体" w:hAnsi="宋体" w:eastAsia="宋体" w:cs="宋体"/>
                <w:sz w:val="24"/>
                <w:szCs w:val="24"/>
                <w:lang w:eastAsia="zh-CN"/>
              </w:rPr>
              <w:t>采购人</w:t>
            </w:r>
            <w:r>
              <w:rPr>
                <w:rFonts w:hint="eastAsia" w:ascii="宋体" w:hAnsi="宋体" w:eastAsia="宋体" w:cs="宋体"/>
                <w:sz w:val="24"/>
                <w:szCs w:val="24"/>
              </w:rPr>
              <w:t>签订合同。成交供应商应当按照合同约定履行义务，完成成交项目，不得将成交项目转让（转包）给他人。</w:t>
            </w:r>
          </w:p>
        </w:tc>
      </w:tr>
      <w:tr w14:paraId="002B7525">
        <w:tblPrEx>
          <w:tblCellMar>
            <w:top w:w="0" w:type="dxa"/>
            <w:left w:w="108" w:type="dxa"/>
            <w:bottom w:w="0" w:type="dxa"/>
            <w:right w:w="108" w:type="dxa"/>
          </w:tblCellMar>
        </w:tblPrEx>
        <w:trPr>
          <w:trHeight w:val="512"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35B34522">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kern w:val="2"/>
                <w:sz w:val="24"/>
                <w:szCs w:val="24"/>
                <w:lang w:val="en-US" w:eastAsia="zh-CN" w:bidi="ar-SA"/>
              </w:rPr>
            </w:pPr>
          </w:p>
        </w:tc>
        <w:tc>
          <w:tcPr>
            <w:tcW w:w="1851" w:type="dxa"/>
            <w:tcBorders>
              <w:top w:val="single" w:color="auto" w:sz="4" w:space="0"/>
              <w:left w:val="single" w:color="auto" w:sz="4" w:space="0"/>
              <w:bottom w:val="single" w:color="auto" w:sz="4" w:space="0"/>
              <w:right w:val="single" w:color="auto" w:sz="4" w:space="0"/>
            </w:tcBorders>
            <w:vAlign w:val="center"/>
          </w:tcPr>
          <w:p w14:paraId="1E3BCBA9">
            <w:pPr>
              <w:keepNext w:val="0"/>
              <w:keepLines w:val="0"/>
              <w:pageBreakBefore w:val="0"/>
              <w:widowControl/>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4"/>
                <w:szCs w:val="24"/>
                <w:highlight w:val="none"/>
                <w:lang w:eastAsia="zh-CN"/>
              </w:rPr>
              <w:t>公告期限</w:t>
            </w:r>
          </w:p>
        </w:tc>
        <w:tc>
          <w:tcPr>
            <w:tcW w:w="6708" w:type="dxa"/>
            <w:tcBorders>
              <w:top w:val="single" w:color="auto" w:sz="4" w:space="0"/>
              <w:left w:val="single" w:color="auto" w:sz="4" w:space="0"/>
              <w:bottom w:val="single" w:color="auto" w:sz="4" w:space="0"/>
              <w:right w:val="single" w:color="auto" w:sz="4" w:space="0"/>
            </w:tcBorders>
            <w:vAlign w:val="center"/>
          </w:tcPr>
          <w:p w14:paraId="18A620C4">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highlight w:val="none"/>
                <w:lang w:eastAsia="zh-CN"/>
              </w:rPr>
              <w:t>本竞争性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lang w:eastAsia="zh-CN"/>
              </w:rPr>
              <w:t>公告期限为自发布之日起</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个工作日。</w:t>
            </w:r>
          </w:p>
        </w:tc>
      </w:tr>
      <w:tr w14:paraId="073ECDE1">
        <w:tblPrEx>
          <w:tblCellMar>
            <w:top w:w="0" w:type="dxa"/>
            <w:left w:w="108" w:type="dxa"/>
            <w:bottom w:w="0" w:type="dxa"/>
            <w:right w:w="108" w:type="dxa"/>
          </w:tblCellMar>
        </w:tblPrEx>
        <w:trPr>
          <w:trHeight w:val="105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9C553E3">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kern w:val="2"/>
                <w:sz w:val="24"/>
                <w:szCs w:val="24"/>
                <w:lang w:val="en-US" w:eastAsia="zh-CN" w:bidi="ar-SA"/>
              </w:rPr>
            </w:pPr>
          </w:p>
        </w:tc>
        <w:tc>
          <w:tcPr>
            <w:tcW w:w="1851" w:type="dxa"/>
            <w:tcBorders>
              <w:top w:val="single" w:color="auto" w:sz="4" w:space="0"/>
              <w:left w:val="single" w:color="auto" w:sz="4" w:space="0"/>
              <w:bottom w:val="single" w:color="auto" w:sz="4" w:space="0"/>
              <w:right w:val="single" w:color="auto" w:sz="4" w:space="0"/>
            </w:tcBorders>
            <w:vAlign w:val="center"/>
          </w:tcPr>
          <w:p w14:paraId="644D184F">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招标</w:t>
            </w:r>
          </w:p>
          <w:p w14:paraId="73AD3012">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代理服务费</w:t>
            </w:r>
          </w:p>
        </w:tc>
        <w:tc>
          <w:tcPr>
            <w:tcW w:w="6708" w:type="dxa"/>
            <w:tcBorders>
              <w:top w:val="single" w:color="auto" w:sz="4" w:space="0"/>
              <w:left w:val="single" w:color="auto" w:sz="4" w:space="0"/>
              <w:bottom w:val="single" w:color="auto" w:sz="4" w:space="0"/>
              <w:right w:val="single" w:color="auto" w:sz="4" w:space="0"/>
            </w:tcBorders>
            <w:vAlign w:val="center"/>
          </w:tcPr>
          <w:p w14:paraId="586ED461">
            <w:pPr>
              <w:keepNext w:val="0"/>
              <w:keepLines w:val="0"/>
              <w:pageBreakBefore w:val="0"/>
              <w:numPr>
                <w:ilvl w:val="0"/>
                <w:numId w:val="4"/>
              </w:numPr>
              <w:kinsoku/>
              <w:wordWrap/>
              <w:overflowPunct/>
              <w:topLinePunct w:val="0"/>
              <w:autoSpaceDE/>
              <w:autoSpaceDN/>
              <w:bidi w:val="0"/>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招标代理服务费的收取参照国家计委关于印发《招标代理服务收费管理暂行办法》的通知（发改价格〔2015〕299号）</w:t>
            </w:r>
            <w:r>
              <w:rPr>
                <w:rFonts w:hint="eastAsia" w:ascii="宋体" w:hAnsi="宋体" w:cs="宋体"/>
                <w:kern w:val="2"/>
                <w:sz w:val="24"/>
                <w:szCs w:val="24"/>
                <w:highlight w:val="none"/>
                <w:lang w:val="en-US" w:eastAsia="zh-CN" w:bidi="ar-SA"/>
              </w:rPr>
              <w:t>、同时遵循《吴堡县政府投资建设项目管理办法》(吴政办发[2025]18号)文件由采购人进行支付。</w:t>
            </w:r>
          </w:p>
          <w:tbl>
            <w:tblPr>
              <w:tblStyle w:val="25"/>
              <w:tblW w:w="5598"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038"/>
              <w:gridCol w:w="1155"/>
              <w:gridCol w:w="1138"/>
              <w:gridCol w:w="1267"/>
            </w:tblGrid>
            <w:tr w14:paraId="3F26C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2" w:hRule="atLeast"/>
                <w:tblCellSpacing w:w="0" w:type="dxa"/>
                <w:jc w:val="center"/>
              </w:trPr>
              <w:tc>
                <w:tcPr>
                  <w:tcW w:w="2038" w:type="dxa"/>
                  <w:tcBorders>
                    <w:top w:val="single" w:color="auto" w:sz="4" w:space="0"/>
                    <w:left w:val="single" w:color="auto" w:sz="0" w:space="0"/>
                    <w:bottom w:val="single" w:color="auto" w:sz="4" w:space="0"/>
                    <w:right w:val="single" w:color="auto" w:sz="4" w:space="0"/>
                  </w:tcBorders>
                  <w:noWrap w:val="0"/>
                  <w:vAlign w:val="center"/>
                </w:tcPr>
                <w:p w14:paraId="0B77CD44">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中标金额（万元）</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732A388A">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货物招标</w:t>
                  </w:r>
                </w:p>
              </w:tc>
              <w:tc>
                <w:tcPr>
                  <w:tcW w:w="1138" w:type="dxa"/>
                  <w:tcBorders>
                    <w:top w:val="single" w:color="auto" w:sz="4" w:space="0"/>
                    <w:left w:val="single" w:color="auto" w:sz="4" w:space="0"/>
                    <w:bottom w:val="single" w:color="auto" w:sz="4" w:space="0"/>
                    <w:right w:val="single" w:color="auto" w:sz="4" w:space="0"/>
                  </w:tcBorders>
                  <w:noWrap w:val="0"/>
                  <w:vAlign w:val="center"/>
                </w:tcPr>
                <w:p w14:paraId="647D694A">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服务招标</w:t>
                  </w:r>
                </w:p>
              </w:tc>
              <w:tc>
                <w:tcPr>
                  <w:tcW w:w="1267" w:type="dxa"/>
                  <w:tcBorders>
                    <w:top w:val="single" w:color="auto" w:sz="4" w:space="0"/>
                    <w:left w:val="single" w:color="auto" w:sz="4" w:space="0"/>
                    <w:bottom w:val="single" w:color="auto" w:sz="4" w:space="0"/>
                    <w:right w:val="single" w:color="auto" w:sz="4" w:space="0"/>
                  </w:tcBorders>
                  <w:noWrap w:val="0"/>
                  <w:vAlign w:val="center"/>
                </w:tcPr>
                <w:p w14:paraId="3893E12D">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工程招标</w:t>
                  </w:r>
                </w:p>
              </w:tc>
            </w:tr>
            <w:tr w14:paraId="0759F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5" w:hRule="atLeast"/>
                <w:tblCellSpacing w:w="0" w:type="dxa"/>
                <w:jc w:val="center"/>
              </w:trPr>
              <w:tc>
                <w:tcPr>
                  <w:tcW w:w="2038" w:type="dxa"/>
                  <w:tcBorders>
                    <w:top w:val="single" w:color="auto" w:sz="4" w:space="0"/>
                    <w:left w:val="single" w:color="auto" w:sz="4" w:space="0"/>
                    <w:bottom w:val="single" w:color="auto" w:sz="4" w:space="0"/>
                    <w:right w:val="single" w:color="auto" w:sz="4" w:space="0"/>
                  </w:tcBorders>
                  <w:noWrap w:val="0"/>
                  <w:vAlign w:val="center"/>
                </w:tcPr>
                <w:p w14:paraId="0E7CAABB">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100以下</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2F2F38C2">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1.5％</w:t>
                  </w:r>
                </w:p>
              </w:tc>
              <w:tc>
                <w:tcPr>
                  <w:tcW w:w="1138" w:type="dxa"/>
                  <w:tcBorders>
                    <w:top w:val="single" w:color="auto" w:sz="4" w:space="0"/>
                    <w:left w:val="single" w:color="auto" w:sz="4" w:space="0"/>
                    <w:bottom w:val="single" w:color="auto" w:sz="4" w:space="0"/>
                    <w:right w:val="single" w:color="auto" w:sz="4" w:space="0"/>
                  </w:tcBorders>
                  <w:noWrap w:val="0"/>
                  <w:vAlign w:val="center"/>
                </w:tcPr>
                <w:p w14:paraId="36E3B0E5">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1.5％</w:t>
                  </w:r>
                </w:p>
              </w:tc>
              <w:tc>
                <w:tcPr>
                  <w:tcW w:w="1267" w:type="dxa"/>
                  <w:tcBorders>
                    <w:top w:val="single" w:color="auto" w:sz="4" w:space="0"/>
                    <w:left w:val="single" w:color="auto" w:sz="4" w:space="0"/>
                    <w:bottom w:val="single" w:color="auto" w:sz="4" w:space="0"/>
                    <w:right w:val="single" w:color="auto" w:sz="4" w:space="0"/>
                  </w:tcBorders>
                  <w:noWrap w:val="0"/>
                  <w:vAlign w:val="center"/>
                </w:tcPr>
                <w:p w14:paraId="7F27A26F">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r>
            <w:tr w14:paraId="4790A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5" w:hRule="atLeast"/>
                <w:tblCellSpacing w:w="0" w:type="dxa"/>
                <w:jc w:val="center"/>
              </w:trPr>
              <w:tc>
                <w:tcPr>
                  <w:tcW w:w="2038" w:type="dxa"/>
                  <w:tcBorders>
                    <w:top w:val="single" w:color="auto" w:sz="4" w:space="0"/>
                    <w:left w:val="single" w:color="auto" w:sz="4" w:space="0"/>
                    <w:bottom w:val="single" w:color="auto" w:sz="4" w:space="0"/>
                    <w:right w:val="single" w:color="auto" w:sz="4" w:space="0"/>
                  </w:tcBorders>
                  <w:noWrap w:val="0"/>
                  <w:vAlign w:val="center"/>
                </w:tcPr>
                <w:p w14:paraId="63FC2747">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100—500</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589A593D">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1.1％</w:t>
                  </w:r>
                </w:p>
              </w:tc>
              <w:tc>
                <w:tcPr>
                  <w:tcW w:w="1138" w:type="dxa"/>
                  <w:tcBorders>
                    <w:top w:val="single" w:color="auto" w:sz="4" w:space="0"/>
                    <w:left w:val="single" w:color="auto" w:sz="4" w:space="0"/>
                    <w:bottom w:val="single" w:color="auto" w:sz="4" w:space="0"/>
                    <w:right w:val="single" w:color="auto" w:sz="4" w:space="0"/>
                  </w:tcBorders>
                  <w:noWrap w:val="0"/>
                  <w:vAlign w:val="center"/>
                </w:tcPr>
                <w:p w14:paraId="44981187">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0.8％</w:t>
                  </w:r>
                </w:p>
              </w:tc>
              <w:tc>
                <w:tcPr>
                  <w:tcW w:w="1267" w:type="dxa"/>
                  <w:tcBorders>
                    <w:top w:val="single" w:color="auto" w:sz="4" w:space="0"/>
                    <w:left w:val="single" w:color="auto" w:sz="4" w:space="0"/>
                    <w:bottom w:val="single" w:color="auto" w:sz="4" w:space="0"/>
                    <w:right w:val="single" w:color="auto" w:sz="4" w:space="0"/>
                  </w:tcBorders>
                  <w:noWrap w:val="0"/>
                  <w:vAlign w:val="center"/>
                </w:tcPr>
                <w:p w14:paraId="7772B0FB">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0.7%</w:t>
                  </w:r>
                </w:p>
              </w:tc>
            </w:tr>
            <w:tr w14:paraId="7ECEF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2" w:hRule="atLeast"/>
                <w:tblCellSpacing w:w="0" w:type="dxa"/>
                <w:jc w:val="center"/>
              </w:trPr>
              <w:tc>
                <w:tcPr>
                  <w:tcW w:w="2038" w:type="dxa"/>
                  <w:tcBorders>
                    <w:top w:val="single" w:color="auto" w:sz="4" w:space="0"/>
                    <w:left w:val="single" w:color="auto" w:sz="4" w:space="0"/>
                    <w:bottom w:val="single" w:color="auto" w:sz="4" w:space="0"/>
                    <w:right w:val="single" w:color="auto" w:sz="4" w:space="0"/>
                  </w:tcBorders>
                  <w:noWrap w:val="0"/>
                  <w:vAlign w:val="center"/>
                </w:tcPr>
                <w:p w14:paraId="6D46D609">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500—1000</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0D8C889F">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0.8％</w:t>
                  </w:r>
                </w:p>
              </w:tc>
              <w:tc>
                <w:tcPr>
                  <w:tcW w:w="1138" w:type="dxa"/>
                  <w:tcBorders>
                    <w:top w:val="single" w:color="auto" w:sz="4" w:space="0"/>
                    <w:left w:val="single" w:color="auto" w:sz="4" w:space="0"/>
                    <w:bottom w:val="single" w:color="auto" w:sz="4" w:space="0"/>
                    <w:right w:val="single" w:color="auto" w:sz="4" w:space="0"/>
                  </w:tcBorders>
                  <w:noWrap w:val="0"/>
                  <w:vAlign w:val="center"/>
                </w:tcPr>
                <w:p w14:paraId="5BE17EC0">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0.45％</w:t>
                  </w:r>
                </w:p>
              </w:tc>
              <w:tc>
                <w:tcPr>
                  <w:tcW w:w="1267" w:type="dxa"/>
                  <w:tcBorders>
                    <w:top w:val="single" w:color="auto" w:sz="4" w:space="0"/>
                    <w:left w:val="single" w:color="auto" w:sz="4" w:space="0"/>
                    <w:bottom w:val="single" w:color="auto" w:sz="4" w:space="0"/>
                    <w:right w:val="single" w:color="auto" w:sz="4" w:space="0"/>
                  </w:tcBorders>
                  <w:noWrap w:val="0"/>
                  <w:vAlign w:val="center"/>
                </w:tcPr>
                <w:p w14:paraId="230C26ED">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0.55%</w:t>
                  </w:r>
                </w:p>
              </w:tc>
            </w:tr>
            <w:tr w14:paraId="3F0BF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2" w:hRule="atLeast"/>
                <w:tblCellSpacing w:w="0" w:type="dxa"/>
                <w:jc w:val="center"/>
              </w:trPr>
              <w:tc>
                <w:tcPr>
                  <w:tcW w:w="2038" w:type="dxa"/>
                  <w:tcBorders>
                    <w:top w:val="single" w:color="auto" w:sz="4" w:space="0"/>
                    <w:left w:val="single" w:color="auto" w:sz="4" w:space="0"/>
                    <w:bottom w:val="single" w:color="auto" w:sz="4" w:space="0"/>
                    <w:right w:val="single" w:color="auto" w:sz="4" w:space="0"/>
                  </w:tcBorders>
                  <w:noWrap w:val="0"/>
                  <w:vAlign w:val="center"/>
                </w:tcPr>
                <w:p w14:paraId="15C00B12">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1000—5000</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2575FD0E">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0.5％</w:t>
                  </w:r>
                </w:p>
              </w:tc>
              <w:tc>
                <w:tcPr>
                  <w:tcW w:w="1138" w:type="dxa"/>
                  <w:tcBorders>
                    <w:top w:val="single" w:color="auto" w:sz="4" w:space="0"/>
                    <w:left w:val="single" w:color="auto" w:sz="4" w:space="0"/>
                    <w:bottom w:val="single" w:color="auto" w:sz="4" w:space="0"/>
                    <w:right w:val="single" w:color="auto" w:sz="4" w:space="0"/>
                  </w:tcBorders>
                  <w:noWrap w:val="0"/>
                  <w:vAlign w:val="center"/>
                </w:tcPr>
                <w:p w14:paraId="18E64656">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0.25％</w:t>
                  </w:r>
                </w:p>
              </w:tc>
              <w:tc>
                <w:tcPr>
                  <w:tcW w:w="1267" w:type="dxa"/>
                  <w:tcBorders>
                    <w:top w:val="single" w:color="auto" w:sz="4" w:space="0"/>
                    <w:left w:val="single" w:color="auto" w:sz="4" w:space="0"/>
                    <w:bottom w:val="single" w:color="auto" w:sz="4" w:space="0"/>
                    <w:right w:val="single" w:color="auto" w:sz="4" w:space="0"/>
                  </w:tcBorders>
                  <w:noWrap w:val="0"/>
                  <w:vAlign w:val="center"/>
                </w:tcPr>
                <w:p w14:paraId="40CDD51D">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0.35%</w:t>
                  </w:r>
                </w:p>
              </w:tc>
            </w:tr>
          </w:tbl>
          <w:p w14:paraId="592B3133">
            <w:pPr>
              <w:pStyle w:val="15"/>
              <w:keepNext w:val="0"/>
              <w:keepLines w:val="0"/>
              <w:pageBreakBefore w:val="0"/>
              <w:kinsoku/>
              <w:wordWrap/>
              <w:overflowPunct/>
              <w:topLinePunct w:val="0"/>
              <w:autoSpaceDE/>
              <w:autoSpaceDN/>
              <w:bidi w:val="0"/>
              <w:adjustRightInd w:val="0"/>
              <w:snapToGrid w:val="0"/>
              <w:spacing w:line="360" w:lineRule="auto"/>
              <w:rPr>
                <w:rFonts w:hint="eastAsia" w:ascii="宋体" w:hAnsi="宋体" w:eastAsia="宋体" w:cs="宋体"/>
                <w:sz w:val="24"/>
                <w:szCs w:val="24"/>
                <w:highlight w:val="none"/>
              </w:rPr>
            </w:pPr>
          </w:p>
        </w:tc>
      </w:tr>
      <w:tr w14:paraId="56DB9588">
        <w:tblPrEx>
          <w:tblCellMar>
            <w:top w:w="0" w:type="dxa"/>
            <w:left w:w="108" w:type="dxa"/>
            <w:bottom w:w="0" w:type="dxa"/>
            <w:right w:w="108" w:type="dxa"/>
          </w:tblCellMar>
        </w:tblPrEx>
        <w:trPr>
          <w:trHeight w:val="698"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6B8BBD7F">
            <w:pPr>
              <w:keepNext w:val="0"/>
              <w:keepLines w:val="0"/>
              <w:pageBreakBefore w:val="0"/>
              <w:numPr>
                <w:ilvl w:val="0"/>
                <w:numId w:val="3"/>
              </w:numPr>
              <w:kinsoku/>
              <w:wordWrap/>
              <w:overflowPunct/>
              <w:topLinePunct w:val="0"/>
              <w:autoSpaceDE/>
              <w:autoSpaceDN/>
              <w:bidi w:val="0"/>
              <w:adjustRightInd w:val="0"/>
              <w:snapToGrid w:val="0"/>
              <w:spacing w:line="360" w:lineRule="auto"/>
              <w:ind w:left="635" w:leftChars="0" w:hanging="425" w:firstLineChars="0"/>
              <w:jc w:val="center"/>
              <w:rPr>
                <w:rFonts w:hint="eastAsia" w:ascii="宋体" w:hAnsi="宋体" w:eastAsia="宋体" w:cs="宋体"/>
                <w:kern w:val="2"/>
                <w:sz w:val="24"/>
                <w:szCs w:val="24"/>
                <w:lang w:val="en-US" w:eastAsia="zh-CN" w:bidi="ar-SA"/>
              </w:rPr>
            </w:pPr>
          </w:p>
        </w:tc>
        <w:tc>
          <w:tcPr>
            <w:tcW w:w="1851" w:type="dxa"/>
            <w:tcBorders>
              <w:top w:val="single" w:color="auto" w:sz="4" w:space="0"/>
              <w:left w:val="single" w:color="auto" w:sz="4" w:space="0"/>
              <w:bottom w:val="single" w:color="auto" w:sz="4" w:space="0"/>
              <w:right w:val="single" w:color="auto" w:sz="4" w:space="0"/>
            </w:tcBorders>
            <w:vAlign w:val="center"/>
          </w:tcPr>
          <w:p w14:paraId="0C7F13D2">
            <w:pPr>
              <w:keepNext w:val="0"/>
              <w:keepLines w:val="0"/>
              <w:pageBreakBefore w:val="0"/>
              <w:kinsoku/>
              <w:wordWrap/>
              <w:overflowPunct/>
              <w:topLinePunct w:val="0"/>
              <w:autoSpaceDE/>
              <w:autoSpaceDN/>
              <w:bidi w:val="0"/>
              <w:adjustRightInd w:val="0"/>
              <w:snapToGrid w:val="0"/>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rPr>
              <w:t>其他</w:t>
            </w:r>
          </w:p>
        </w:tc>
        <w:tc>
          <w:tcPr>
            <w:tcW w:w="6708" w:type="dxa"/>
            <w:tcBorders>
              <w:top w:val="single" w:color="auto" w:sz="4" w:space="0"/>
              <w:left w:val="single" w:color="auto" w:sz="4" w:space="0"/>
              <w:bottom w:val="single" w:color="auto" w:sz="4" w:space="0"/>
              <w:right w:val="single" w:color="auto" w:sz="4" w:space="0"/>
            </w:tcBorders>
            <w:vAlign w:val="center"/>
          </w:tcPr>
          <w:p w14:paraId="2C6E067B">
            <w:pPr>
              <w:keepNext w:val="0"/>
              <w:keepLines w:val="0"/>
              <w:pageBreakBefore w:val="0"/>
              <w:kinsoku/>
              <w:wordWrap/>
              <w:overflowPunct/>
              <w:topLinePunct w:val="0"/>
              <w:autoSpaceDE/>
              <w:autoSpaceDN/>
              <w:bidi w:val="0"/>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供应商对磋商文件有异议的，应当在磋商截止时间2日前以书面形式提出。磋商后将不再接受对磋商文件的质疑。</w:t>
            </w:r>
          </w:p>
        </w:tc>
      </w:tr>
      <w:tr w14:paraId="591EA29B">
        <w:tblPrEx>
          <w:tblCellMar>
            <w:top w:w="0" w:type="dxa"/>
            <w:left w:w="108" w:type="dxa"/>
            <w:bottom w:w="0" w:type="dxa"/>
            <w:right w:w="108" w:type="dxa"/>
          </w:tblCellMar>
        </w:tblPrEx>
        <w:trPr>
          <w:trHeight w:val="368"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4A84CDBC">
            <w:pPr>
              <w:keepNext w:val="0"/>
              <w:keepLines w:val="0"/>
              <w:pageBreakBefore w:val="0"/>
              <w:widowControl/>
              <w:numPr>
                <w:ilvl w:val="0"/>
                <w:numId w:val="3"/>
              </w:numPr>
              <w:kinsoku/>
              <w:wordWrap/>
              <w:overflowPunct/>
              <w:topLinePunct w:val="0"/>
              <w:autoSpaceDE/>
              <w:autoSpaceDN/>
              <w:bidi w:val="0"/>
              <w:adjustRightInd w:val="0"/>
              <w:snapToGrid w:val="0"/>
              <w:spacing w:line="360" w:lineRule="auto"/>
              <w:ind w:left="635" w:leftChars="0" w:hanging="425" w:firstLineChars="0"/>
              <w:jc w:val="center"/>
              <w:textAlignment w:val="center"/>
              <w:rPr>
                <w:rFonts w:hint="eastAsia" w:ascii="宋体" w:hAnsi="宋体" w:eastAsia="宋体" w:cs="宋体"/>
                <w:color w:val="000000"/>
                <w:kern w:val="2"/>
                <w:sz w:val="24"/>
                <w:szCs w:val="24"/>
                <w:highlight w:val="none"/>
                <w:lang w:val="en-US" w:eastAsia="zh-CN" w:bidi="ar-SA"/>
              </w:rPr>
            </w:pPr>
            <w:bookmarkStart w:id="10" w:name="_Toc513557026"/>
          </w:p>
        </w:tc>
        <w:tc>
          <w:tcPr>
            <w:tcW w:w="1851" w:type="dxa"/>
            <w:tcBorders>
              <w:top w:val="single" w:color="auto" w:sz="4" w:space="0"/>
              <w:left w:val="single" w:color="auto" w:sz="4" w:space="0"/>
              <w:bottom w:val="single" w:color="auto" w:sz="4" w:space="0"/>
              <w:right w:val="single" w:color="auto" w:sz="4" w:space="0"/>
            </w:tcBorders>
            <w:vAlign w:val="center"/>
          </w:tcPr>
          <w:p w14:paraId="04470A9A">
            <w:pPr>
              <w:keepNext w:val="0"/>
              <w:keepLines w:val="0"/>
              <w:pageBreakBefore w:val="0"/>
              <w:widowControl/>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是否</w:t>
            </w:r>
            <w:r>
              <w:rPr>
                <w:rFonts w:hint="eastAsia" w:ascii="宋体" w:hAnsi="宋体" w:eastAsia="宋体" w:cs="宋体"/>
                <w:sz w:val="24"/>
                <w:szCs w:val="24"/>
              </w:rPr>
              <w:t>支持中小企业发展</w:t>
            </w:r>
          </w:p>
        </w:tc>
        <w:tc>
          <w:tcPr>
            <w:tcW w:w="6708" w:type="dxa"/>
            <w:tcBorders>
              <w:top w:val="single" w:color="auto" w:sz="4" w:space="0"/>
              <w:left w:val="single" w:color="auto" w:sz="4" w:space="0"/>
              <w:bottom w:val="single" w:color="auto" w:sz="4" w:space="0"/>
              <w:right w:val="single" w:color="auto" w:sz="4" w:space="0"/>
            </w:tcBorders>
            <w:vAlign w:val="center"/>
          </w:tcPr>
          <w:p w14:paraId="1254CA9E">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rPr>
                <w:rFonts w:hint="default" w:ascii="宋体" w:hAnsi="宋体" w:eastAsia="宋体" w:cs="宋体"/>
                <w:b w:val="0"/>
                <w:color w:val="auto"/>
                <w:kern w:val="2"/>
                <w:sz w:val="24"/>
                <w:szCs w:val="24"/>
                <w:lang w:val="en-US" w:eastAsia="zh-CN" w:bidi="ar-SA"/>
              </w:rPr>
            </w:pPr>
            <w:r>
              <w:rPr>
                <w:rFonts w:hint="eastAsia" w:ascii="宋体" w:hAnsi="宋体" w:cs="宋体"/>
                <w:b w:val="0"/>
                <w:color w:val="auto"/>
                <w:kern w:val="2"/>
                <w:sz w:val="24"/>
                <w:szCs w:val="24"/>
                <w:lang w:val="en-US" w:eastAsia="zh-CN" w:bidi="ar-SA"/>
              </w:rPr>
              <w:t>本项目合同包1专门面向中小企业采购；合同包2为非专门面向中小企业采购。</w:t>
            </w:r>
          </w:p>
          <w:p w14:paraId="4D28FD39">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rPr>
                <w:rFonts w:hint="eastAsia" w:ascii="宋体" w:hAnsi="宋体" w:eastAsia="宋体" w:cs="宋体"/>
                <w:b w:val="0"/>
                <w:color w:val="auto"/>
                <w:kern w:val="2"/>
                <w:sz w:val="24"/>
                <w:szCs w:val="24"/>
                <w:lang w:val="en-US" w:eastAsia="zh-CN" w:bidi="ar-SA"/>
              </w:rPr>
            </w:pPr>
            <w:r>
              <w:rPr>
                <w:rFonts w:hint="eastAsia" w:ascii="宋体" w:hAnsi="宋体" w:eastAsia="宋体" w:cs="宋体"/>
                <w:b w:val="0"/>
                <w:color w:val="auto"/>
                <w:kern w:val="2"/>
                <w:sz w:val="24"/>
                <w:szCs w:val="24"/>
                <w:lang w:val="en-US" w:eastAsia="zh-CN" w:bidi="ar-SA"/>
              </w:rPr>
              <w:fldChar w:fldCharType="begin"/>
            </w:r>
            <w:r>
              <w:rPr>
                <w:rFonts w:hint="eastAsia" w:ascii="宋体" w:hAnsi="宋体" w:eastAsia="宋体" w:cs="宋体"/>
                <w:b w:val="0"/>
                <w:color w:val="auto"/>
                <w:kern w:val="2"/>
                <w:sz w:val="24"/>
                <w:szCs w:val="24"/>
                <w:lang w:val="en-US" w:eastAsia="zh-CN" w:bidi="ar-SA"/>
              </w:rPr>
              <w:instrText xml:space="preserve"> eq \o\ac(</w:instrText>
            </w:r>
            <w:r>
              <w:rPr>
                <w:rFonts w:hint="eastAsia" w:ascii="宋体" w:hAnsi="宋体" w:eastAsia="宋体" w:cs="宋体"/>
                <w:b w:val="0"/>
                <w:color w:val="auto"/>
                <w:kern w:val="2"/>
                <w:position w:val="-4"/>
                <w:sz w:val="36"/>
                <w:szCs w:val="24"/>
                <w:lang w:val="en-US" w:eastAsia="zh-CN" w:bidi="ar-SA"/>
              </w:rPr>
              <w:instrText xml:space="preserve">□</w:instrText>
            </w:r>
            <w:r>
              <w:rPr>
                <w:rFonts w:hint="eastAsia" w:ascii="宋体" w:hAnsi="宋体" w:cs="宋体"/>
                <w:b w:val="0"/>
                <w:color w:val="auto"/>
                <w:kern w:val="2"/>
                <w:position w:val="-4"/>
                <w:sz w:val="36"/>
                <w:szCs w:val="24"/>
                <w:lang w:val="en-US" w:eastAsia="zh-CN" w:bidi="ar-SA"/>
              </w:rPr>
              <w:instrText xml:space="preserve">,</w:instrText>
            </w:r>
            <w:r>
              <w:rPr>
                <w:rFonts w:hint="eastAsia" w:ascii="宋体" w:hAnsi="宋体" w:cs="宋体"/>
                <w:b w:val="0"/>
                <w:color w:val="auto"/>
                <w:kern w:val="2"/>
                <w:position w:val="0"/>
                <w:sz w:val="25"/>
                <w:szCs w:val="24"/>
                <w:lang w:val="en-US" w:eastAsia="zh-CN" w:bidi="ar-SA"/>
              </w:rPr>
              <w:instrText xml:space="preserve">√</w:instrText>
            </w:r>
            <w:r>
              <w:rPr>
                <w:rFonts w:hint="eastAsia" w:ascii="宋体" w:hAnsi="宋体" w:eastAsia="宋体" w:cs="宋体"/>
                <w:b w:val="0"/>
                <w:color w:val="auto"/>
                <w:kern w:val="2"/>
                <w:position w:val="0"/>
                <w:sz w:val="24"/>
                <w:szCs w:val="24"/>
                <w:lang w:val="en-US" w:eastAsia="zh-CN" w:bidi="ar-SA"/>
              </w:rPr>
              <w:instrText xml:space="preserve">)</w:instrText>
            </w:r>
            <w:r>
              <w:rPr>
                <w:rFonts w:hint="eastAsia" w:ascii="宋体" w:hAnsi="宋体" w:eastAsia="宋体" w:cs="宋体"/>
                <w:b w:val="0"/>
                <w:color w:val="auto"/>
                <w:kern w:val="2"/>
                <w:sz w:val="24"/>
                <w:szCs w:val="24"/>
                <w:lang w:val="en-US" w:eastAsia="zh-CN" w:bidi="ar-SA"/>
              </w:rPr>
              <w:fldChar w:fldCharType="end"/>
            </w:r>
            <w:r>
              <w:rPr>
                <w:rFonts w:hint="eastAsia" w:ascii="宋体" w:hAnsi="宋体" w:eastAsia="宋体" w:cs="宋体"/>
                <w:b w:val="0"/>
                <w:color w:val="auto"/>
                <w:kern w:val="2"/>
                <w:sz w:val="24"/>
                <w:szCs w:val="24"/>
                <w:lang w:val="en-US" w:eastAsia="zh-CN" w:bidi="ar-SA"/>
              </w:rPr>
              <w:t>专门面向中小企业采购项目：</w:t>
            </w:r>
            <w:r>
              <w:rPr>
                <w:rFonts w:hint="eastAsia" w:ascii="宋体" w:hAnsi="宋体" w:eastAsia="宋体" w:cs="宋体"/>
                <w:color w:val="auto"/>
                <w:kern w:val="0"/>
                <w:sz w:val="24"/>
                <w:szCs w:val="24"/>
                <w:lang w:val="en-US" w:eastAsia="zh-CN" w:bidi="ar"/>
              </w:rPr>
              <w:t>投标人须填写《中小企业声明函》</w:t>
            </w:r>
          </w:p>
          <w:p w14:paraId="3088E6BA">
            <w:pPr>
              <w:keepNext w:val="0"/>
              <w:keepLines w:val="0"/>
              <w:pageBreakBefore w:val="0"/>
              <w:kinsoku/>
              <w:wordWrap/>
              <w:overflowPunct/>
              <w:topLinePunct w:val="0"/>
              <w:autoSpaceDE/>
              <w:autoSpaceDN/>
              <w:bidi w:val="0"/>
              <w:adjustRightInd w:val="0"/>
              <w:snapToGrid w:val="0"/>
              <w:spacing w:line="360" w:lineRule="auto"/>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t>本项目专门面向中小企业采购，故不参与价格扣除。</w:t>
            </w:r>
          </w:p>
          <w:p w14:paraId="6CBEE4F8">
            <w:pPr>
              <w:keepNext w:val="0"/>
              <w:keepLines w:val="0"/>
              <w:pageBreakBefore w:val="0"/>
              <w:kinsoku/>
              <w:wordWrap/>
              <w:overflowPunct/>
              <w:topLinePunct w:val="0"/>
              <w:autoSpaceDE/>
              <w:autoSpaceDN/>
              <w:bidi w:val="0"/>
              <w:adjustRightInd w:val="0"/>
              <w:snapToGrid w:val="0"/>
              <w:spacing w:line="360" w:lineRule="auto"/>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fldChar w:fldCharType="begin"/>
            </w:r>
            <w:r>
              <w:rPr>
                <w:rFonts w:hint="eastAsia" w:ascii="宋体" w:hAnsi="宋体" w:eastAsia="宋体" w:cs="宋体"/>
                <w:b w:val="0"/>
                <w:kern w:val="2"/>
                <w:sz w:val="24"/>
                <w:szCs w:val="24"/>
                <w:lang w:val="en-US" w:eastAsia="zh-CN" w:bidi="ar-SA"/>
              </w:rPr>
              <w:instrText xml:space="preserve"> eq \o\ac(</w:instrText>
            </w:r>
            <w:r>
              <w:rPr>
                <w:rFonts w:hint="eastAsia" w:ascii="宋体" w:hAnsi="宋体" w:eastAsia="宋体" w:cs="宋体"/>
                <w:b w:val="0"/>
                <w:kern w:val="2"/>
                <w:position w:val="-4"/>
                <w:sz w:val="36"/>
                <w:szCs w:val="24"/>
                <w:lang w:val="en-US" w:eastAsia="zh-CN" w:bidi="ar-SA"/>
              </w:rPr>
              <w:instrText xml:space="preserve">□</w:instrText>
            </w:r>
            <w:r>
              <w:rPr>
                <w:rFonts w:hint="eastAsia" w:ascii="宋体" w:hAnsi="宋体" w:eastAsia="宋体" w:cs="宋体"/>
                <w:b w:val="0"/>
                <w:kern w:val="2"/>
                <w:position w:val="0"/>
                <w:sz w:val="24"/>
                <w:szCs w:val="24"/>
                <w:lang w:val="en-US" w:eastAsia="zh-CN" w:bidi="ar-SA"/>
              </w:rPr>
              <w:instrText xml:space="preserve">)</w:instrText>
            </w:r>
            <w:r>
              <w:rPr>
                <w:rFonts w:hint="eastAsia" w:ascii="宋体" w:hAnsi="宋体" w:eastAsia="宋体" w:cs="宋体"/>
                <w:b w:val="0"/>
                <w:kern w:val="2"/>
                <w:sz w:val="24"/>
                <w:szCs w:val="24"/>
                <w:lang w:val="en-US" w:eastAsia="zh-CN" w:bidi="ar-SA"/>
              </w:rPr>
              <w:fldChar w:fldCharType="end"/>
            </w:r>
            <w:r>
              <w:rPr>
                <w:rFonts w:hint="eastAsia" w:ascii="宋体" w:hAnsi="宋体" w:eastAsia="宋体" w:cs="宋体"/>
                <w:b w:val="0"/>
                <w:kern w:val="2"/>
                <w:sz w:val="24"/>
                <w:szCs w:val="24"/>
                <w:lang w:val="en-US" w:eastAsia="zh-CN" w:bidi="ar-SA"/>
              </w:rPr>
              <w:t>非专门面向中小企业采购项目，货物、服务类（价格扣除）：</w:t>
            </w:r>
            <w:r>
              <w:rPr>
                <w:rFonts w:hint="eastAsia" w:ascii="宋体" w:hAnsi="宋体" w:eastAsia="宋体" w:cs="宋体"/>
                <w:b w:val="0"/>
                <w:kern w:val="2"/>
                <w:sz w:val="24"/>
                <w:szCs w:val="24"/>
                <w:lang w:val="en-US" w:eastAsia="zh-CN" w:bidi="ar-SA"/>
              </w:rPr>
              <w:sym w:font="Wingdings" w:char="F081"/>
            </w:r>
            <w:r>
              <w:rPr>
                <w:rFonts w:hint="eastAsia" w:ascii="宋体" w:hAnsi="宋体" w:eastAsia="宋体" w:cs="宋体"/>
                <w:b w:val="0"/>
                <w:kern w:val="2"/>
                <w:sz w:val="24"/>
                <w:szCs w:val="24"/>
                <w:lang w:val="en-US" w:eastAsia="zh-CN" w:bidi="ar-SA"/>
              </w:rPr>
              <w:t>对小型和微型企业产品的价格给与10%~20%的扣除，用扣除后的价格参与评审。项目的扣除比例为：小型企业扣除20%，微型企业扣除20%。</w:t>
            </w:r>
          </w:p>
          <w:p w14:paraId="36C7A918">
            <w:pPr>
              <w:keepNext w:val="0"/>
              <w:keepLines w:val="0"/>
              <w:pageBreakBefore w:val="0"/>
              <w:kinsoku/>
              <w:wordWrap/>
              <w:overflowPunct/>
              <w:topLinePunct w:val="0"/>
              <w:autoSpaceDE/>
              <w:autoSpaceDN/>
              <w:bidi w:val="0"/>
              <w:adjustRightInd w:val="0"/>
              <w:snapToGrid w:val="0"/>
              <w:spacing w:line="360" w:lineRule="auto"/>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sym w:font="Wingdings" w:char="F082"/>
            </w:r>
            <w:r>
              <w:rPr>
                <w:rFonts w:hint="eastAsia" w:ascii="宋体" w:hAnsi="宋体" w:eastAsia="宋体" w:cs="宋体"/>
                <w:b w:val="0"/>
                <w:kern w:val="2"/>
                <w:sz w:val="24"/>
                <w:szCs w:val="24"/>
                <w:lang w:val="en-US" w:eastAsia="zh-CN" w:bidi="ar-SA"/>
              </w:rPr>
              <w:t>项目</w:t>
            </w:r>
            <w:r>
              <w:rPr>
                <w:rFonts w:hint="eastAsia" w:ascii="宋体" w:hAnsi="宋体" w:cs="宋体"/>
                <w:b w:val="0"/>
                <w:kern w:val="2"/>
                <w:sz w:val="24"/>
                <w:szCs w:val="24"/>
                <w:lang w:val="en-US" w:eastAsia="zh-CN" w:bidi="ar-SA"/>
              </w:rPr>
              <w:t>接受</w:t>
            </w:r>
            <w:r>
              <w:rPr>
                <w:rFonts w:hint="eastAsia" w:ascii="宋体" w:hAnsi="宋体" w:eastAsia="宋体" w:cs="宋体"/>
                <w:b w:val="0"/>
                <w:kern w:val="2"/>
                <w:sz w:val="24"/>
                <w:szCs w:val="24"/>
                <w:lang w:val="en-US" w:eastAsia="zh-CN" w:bidi="ar-SA"/>
              </w:rPr>
              <w:t>联合体投标的，若小型和微型企业的协议合同金额占到联合体协议合同金额30%以上的，可给予联合体 4% ~6%的扣除，用扣除后的价格参与评审。项目的扣除比例为：6%。</w:t>
            </w:r>
          </w:p>
          <w:p w14:paraId="6F55D22F">
            <w:pPr>
              <w:keepNext w:val="0"/>
              <w:keepLines w:val="0"/>
              <w:pageBreakBefore w:val="0"/>
              <w:kinsoku/>
              <w:wordWrap/>
              <w:overflowPunct/>
              <w:topLinePunct w:val="0"/>
              <w:autoSpaceDE/>
              <w:autoSpaceDN/>
              <w:bidi w:val="0"/>
              <w:adjustRightInd w:val="0"/>
              <w:snapToGrid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b w:val="0"/>
                <w:kern w:val="2"/>
                <w:sz w:val="24"/>
                <w:szCs w:val="24"/>
                <w:lang w:val="en-US" w:eastAsia="zh-CN" w:bidi="ar-SA"/>
              </w:rPr>
              <w:fldChar w:fldCharType="begin"/>
            </w:r>
            <w:r>
              <w:rPr>
                <w:rFonts w:hint="eastAsia" w:ascii="宋体" w:hAnsi="宋体" w:eastAsia="宋体" w:cs="宋体"/>
                <w:b w:val="0"/>
                <w:kern w:val="2"/>
                <w:sz w:val="24"/>
                <w:szCs w:val="24"/>
                <w:lang w:val="en-US" w:eastAsia="zh-CN" w:bidi="ar-SA"/>
              </w:rPr>
              <w:instrText xml:space="preserve"> eq \o\ac(</w:instrText>
            </w:r>
            <w:r>
              <w:rPr>
                <w:rFonts w:hint="eastAsia" w:ascii="宋体" w:hAnsi="宋体" w:eastAsia="宋体" w:cs="宋体"/>
                <w:b w:val="0"/>
                <w:kern w:val="2"/>
                <w:position w:val="-4"/>
                <w:sz w:val="36"/>
                <w:szCs w:val="24"/>
                <w:lang w:val="en-US" w:eastAsia="zh-CN" w:bidi="ar-SA"/>
              </w:rPr>
              <w:instrText xml:space="preserve">□</w:instrText>
            </w:r>
            <w:r>
              <w:rPr>
                <w:rFonts w:hint="eastAsia" w:ascii="宋体" w:hAnsi="宋体" w:eastAsia="宋体" w:cs="宋体"/>
                <w:b w:val="0"/>
                <w:kern w:val="2"/>
                <w:position w:val="0"/>
                <w:sz w:val="24"/>
                <w:szCs w:val="24"/>
                <w:lang w:val="en-US" w:eastAsia="zh-CN" w:bidi="ar-SA"/>
              </w:rPr>
              <w:instrText xml:space="preserve">)</w:instrText>
            </w:r>
            <w:r>
              <w:rPr>
                <w:rFonts w:hint="eastAsia" w:ascii="宋体" w:hAnsi="宋体" w:eastAsia="宋体" w:cs="宋体"/>
                <w:b w:val="0"/>
                <w:kern w:val="2"/>
                <w:sz w:val="24"/>
                <w:szCs w:val="24"/>
                <w:lang w:val="en-US" w:eastAsia="zh-CN" w:bidi="ar-SA"/>
              </w:rPr>
              <w:fldChar w:fldCharType="end"/>
            </w:r>
            <w:r>
              <w:rPr>
                <w:rFonts w:hint="eastAsia" w:ascii="宋体" w:hAnsi="宋体" w:eastAsia="宋体" w:cs="宋体"/>
                <w:b w:val="0"/>
                <w:kern w:val="2"/>
                <w:sz w:val="24"/>
                <w:szCs w:val="24"/>
                <w:lang w:val="en-US" w:eastAsia="zh-CN" w:bidi="ar-SA"/>
              </w:rPr>
              <w:t>非专门面向中小企业采购项目，工程类（价格扣除）：</w:t>
            </w:r>
            <w:r>
              <w:rPr>
                <w:rFonts w:hint="eastAsia" w:ascii="宋体" w:hAnsi="宋体" w:eastAsia="宋体" w:cs="宋体"/>
                <w:b w:val="0"/>
                <w:kern w:val="2"/>
                <w:sz w:val="24"/>
                <w:szCs w:val="24"/>
                <w:lang w:val="en-US" w:eastAsia="zh-CN" w:bidi="ar-SA"/>
              </w:rPr>
              <w:sym w:font="Wingdings" w:char="F081"/>
            </w:r>
            <w:r>
              <w:rPr>
                <w:rFonts w:hint="eastAsia" w:ascii="宋体" w:hAnsi="宋体" w:eastAsia="宋体" w:cs="宋体"/>
                <w:b w:val="0"/>
                <w:kern w:val="2"/>
                <w:sz w:val="24"/>
                <w:szCs w:val="24"/>
                <w:lang w:val="en-US" w:eastAsia="zh-CN" w:bidi="ar-SA"/>
              </w:rPr>
              <w:t>对小型和微型企业投标的价格给与3%~5%的扣除，用扣除后的价格参与评审。项目的扣除比例为：小型企业扣除5%，微型企业扣除5%。</w:t>
            </w:r>
            <w:r>
              <w:rPr>
                <w:rFonts w:hint="eastAsia" w:ascii="宋体" w:hAnsi="宋体" w:eastAsia="宋体" w:cs="宋体"/>
                <w:b w:val="0"/>
                <w:kern w:val="2"/>
                <w:sz w:val="24"/>
                <w:szCs w:val="24"/>
                <w:lang w:val="en-US" w:eastAsia="zh-CN" w:bidi="ar-SA"/>
              </w:rPr>
              <w:sym w:font="Wingdings" w:char="F082"/>
            </w:r>
            <w:r>
              <w:rPr>
                <w:rFonts w:hint="eastAsia" w:ascii="宋体" w:hAnsi="宋体" w:eastAsia="宋体" w:cs="宋体"/>
                <w:b w:val="0"/>
                <w:kern w:val="2"/>
                <w:sz w:val="24"/>
                <w:szCs w:val="24"/>
                <w:lang w:val="en-US" w:eastAsia="zh-CN" w:bidi="ar-SA"/>
              </w:rPr>
              <w:t>项目接收联合体投标的，若小型和微型企业的协议合同金额占到联合体协议合同金额30%以上的，可给予联合体 1% ~2%的扣除，用扣除后的价格参与评审。项目的扣除比例为：2%。</w:t>
            </w:r>
          </w:p>
        </w:tc>
      </w:tr>
      <w:tr w14:paraId="4D65BB71">
        <w:tblPrEx>
          <w:tblCellMar>
            <w:top w:w="0" w:type="dxa"/>
            <w:left w:w="108" w:type="dxa"/>
            <w:bottom w:w="0" w:type="dxa"/>
            <w:right w:w="108" w:type="dxa"/>
          </w:tblCellMar>
        </w:tblPrEx>
        <w:trPr>
          <w:trHeight w:val="698"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5402871">
            <w:pPr>
              <w:keepNext w:val="0"/>
              <w:keepLines w:val="0"/>
              <w:pageBreakBefore w:val="0"/>
              <w:widowControl/>
              <w:numPr>
                <w:ilvl w:val="0"/>
                <w:numId w:val="3"/>
              </w:numPr>
              <w:kinsoku/>
              <w:wordWrap/>
              <w:overflowPunct/>
              <w:topLinePunct w:val="0"/>
              <w:autoSpaceDE/>
              <w:autoSpaceDN/>
              <w:bidi w:val="0"/>
              <w:adjustRightInd w:val="0"/>
              <w:snapToGrid w:val="0"/>
              <w:spacing w:line="360" w:lineRule="auto"/>
              <w:ind w:left="635" w:leftChars="0" w:hanging="425" w:firstLineChars="0"/>
              <w:jc w:val="center"/>
              <w:textAlignment w:val="center"/>
              <w:rPr>
                <w:rFonts w:hint="eastAsia" w:ascii="宋体" w:hAnsi="宋体" w:eastAsia="宋体" w:cs="宋体"/>
                <w:color w:val="000000"/>
                <w:sz w:val="24"/>
                <w:szCs w:val="24"/>
                <w:highlight w:val="none"/>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39546668">
            <w:pPr>
              <w:keepNext w:val="0"/>
              <w:keepLines w:val="0"/>
              <w:pageBreakBefore w:val="0"/>
              <w:widowControl/>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b w:val="0"/>
                <w:bCs w:val="0"/>
                <w:sz w:val="24"/>
                <w:szCs w:val="24"/>
                <w:highlight w:val="none"/>
                <w:lang w:val="en-US" w:eastAsia="zh-CN"/>
              </w:rPr>
            </w:pPr>
            <w:r>
              <w:rPr>
                <w:rFonts w:hint="eastAsia" w:ascii="宋体" w:hAnsi="宋体" w:eastAsia="宋体" w:cs="宋体"/>
                <w:color w:val="auto"/>
                <w:sz w:val="24"/>
                <w:szCs w:val="24"/>
                <w:highlight w:val="none"/>
                <w:u w:val="none"/>
                <w:lang w:val="en-US" w:eastAsia="zh-CN"/>
              </w:rPr>
              <w:t>本项目</w:t>
            </w:r>
            <w:r>
              <w:rPr>
                <w:rFonts w:hint="eastAsia" w:ascii="宋体" w:hAnsi="宋体" w:eastAsia="宋体" w:cs="宋体"/>
                <w:color w:val="auto"/>
                <w:sz w:val="24"/>
                <w:szCs w:val="24"/>
                <w:highlight w:val="none"/>
                <w:u w:val="none"/>
              </w:rPr>
              <w:t>所属行业</w:t>
            </w:r>
          </w:p>
        </w:tc>
        <w:tc>
          <w:tcPr>
            <w:tcW w:w="6708" w:type="dxa"/>
            <w:tcBorders>
              <w:top w:val="single" w:color="auto" w:sz="4" w:space="0"/>
              <w:left w:val="single" w:color="auto" w:sz="4" w:space="0"/>
              <w:bottom w:val="single" w:color="auto" w:sz="4" w:space="0"/>
              <w:right w:val="single" w:color="auto" w:sz="4" w:space="0"/>
            </w:tcBorders>
            <w:vAlign w:val="center"/>
          </w:tcPr>
          <w:p w14:paraId="462F42CF">
            <w:pPr>
              <w:keepNext w:val="0"/>
              <w:keepLines w:val="0"/>
              <w:pageBreakBefore w:val="0"/>
              <w:kinsoku/>
              <w:wordWrap/>
              <w:overflowPunct/>
              <w:topLinePunct w:val="0"/>
              <w:autoSpaceDE/>
              <w:autoSpaceDN/>
              <w:bidi w:val="0"/>
              <w:adjustRightInd w:val="0"/>
              <w:snapToGrid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其他未列明行业</w:t>
            </w:r>
          </w:p>
        </w:tc>
      </w:tr>
      <w:tr w14:paraId="03903134">
        <w:tblPrEx>
          <w:tblCellMar>
            <w:top w:w="0" w:type="dxa"/>
            <w:left w:w="108" w:type="dxa"/>
            <w:bottom w:w="0" w:type="dxa"/>
            <w:right w:w="108" w:type="dxa"/>
          </w:tblCellMar>
        </w:tblPrEx>
        <w:trPr>
          <w:trHeight w:val="698"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281C89D">
            <w:pPr>
              <w:keepNext w:val="0"/>
              <w:keepLines w:val="0"/>
              <w:pageBreakBefore w:val="0"/>
              <w:widowControl/>
              <w:numPr>
                <w:ilvl w:val="0"/>
                <w:numId w:val="3"/>
              </w:numPr>
              <w:kinsoku/>
              <w:wordWrap/>
              <w:overflowPunct/>
              <w:topLinePunct w:val="0"/>
              <w:autoSpaceDE/>
              <w:autoSpaceDN/>
              <w:bidi w:val="0"/>
              <w:adjustRightInd w:val="0"/>
              <w:snapToGrid w:val="0"/>
              <w:spacing w:line="360" w:lineRule="auto"/>
              <w:ind w:left="635" w:leftChars="0" w:hanging="425" w:firstLineChars="0"/>
              <w:jc w:val="center"/>
              <w:textAlignment w:val="center"/>
              <w:rPr>
                <w:rFonts w:hint="eastAsia" w:ascii="宋体" w:hAnsi="宋体" w:eastAsia="宋体" w:cs="宋体"/>
                <w:color w:val="000000"/>
                <w:sz w:val="24"/>
                <w:szCs w:val="24"/>
                <w:highlight w:val="none"/>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6CF97BCA">
            <w:pPr>
              <w:keepNext w:val="0"/>
              <w:keepLines w:val="0"/>
              <w:pageBreakBefore w:val="0"/>
              <w:kinsoku/>
              <w:wordWrap/>
              <w:overflowPunct/>
              <w:topLinePunct w:val="0"/>
              <w:autoSpaceDE/>
              <w:autoSpaceDN/>
              <w:bidi w:val="0"/>
              <w:adjustRightInd w:val="0"/>
              <w:snapToGrid w:val="0"/>
              <w:spacing w:line="360" w:lineRule="auto"/>
              <w:rPr>
                <w:rFonts w:hint="eastAsia" w:ascii="宋体" w:hAnsi="宋体" w:eastAsia="宋体" w:cs="宋体"/>
                <w:b/>
                <w:bCs/>
                <w:sz w:val="24"/>
                <w:szCs w:val="24"/>
                <w:u w:val="none"/>
                <w:lang w:eastAsia="zh-CN"/>
              </w:rPr>
            </w:pPr>
            <w:r>
              <w:rPr>
                <w:rFonts w:hint="eastAsia" w:ascii="宋体" w:hAnsi="宋体" w:eastAsia="宋体" w:cs="宋体"/>
                <w:b/>
                <w:bCs/>
                <w:sz w:val="24"/>
                <w:szCs w:val="24"/>
                <w:u w:val="none"/>
              </w:rPr>
              <w:t>中小企业规模的划分标准</w:t>
            </w:r>
            <w:r>
              <w:rPr>
                <w:rFonts w:hint="eastAsia" w:ascii="宋体" w:hAnsi="宋体" w:eastAsia="宋体" w:cs="宋体"/>
                <w:b/>
                <w:bCs/>
                <w:sz w:val="24"/>
                <w:szCs w:val="24"/>
                <w:u w:val="none"/>
                <w:lang w:eastAsia="zh-CN"/>
              </w:rPr>
              <w:t>：</w:t>
            </w:r>
          </w:p>
          <w:p w14:paraId="001DCAFC">
            <w:pPr>
              <w:keepNext w:val="0"/>
              <w:keepLines w:val="0"/>
              <w:pageBreakBefore w:val="0"/>
              <w:widowControl/>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b w:val="0"/>
                <w:bCs w:val="0"/>
                <w:sz w:val="24"/>
                <w:szCs w:val="24"/>
                <w:lang w:val="en-US" w:eastAsia="zh-CN"/>
              </w:rPr>
            </w:pPr>
          </w:p>
        </w:tc>
        <w:tc>
          <w:tcPr>
            <w:tcW w:w="6708" w:type="dxa"/>
            <w:tcBorders>
              <w:top w:val="single" w:color="auto" w:sz="4" w:space="0"/>
              <w:left w:val="single" w:color="auto" w:sz="4" w:space="0"/>
              <w:bottom w:val="single" w:color="auto" w:sz="4" w:space="0"/>
              <w:right w:val="single" w:color="auto" w:sz="4" w:space="0"/>
            </w:tcBorders>
            <w:vAlign w:val="center"/>
          </w:tcPr>
          <w:p w14:paraId="7215D322">
            <w:pPr>
              <w:keepNext w:val="0"/>
              <w:keepLines w:val="0"/>
              <w:pageBreakBefore w:val="0"/>
              <w:kinsoku/>
              <w:wordWrap/>
              <w:overflowPunct/>
              <w:topLinePunct w:val="0"/>
              <w:autoSpaceDE/>
              <w:autoSpaceDN/>
              <w:bidi w:val="0"/>
              <w:adjustRightInd w:val="0"/>
              <w:snapToGrid w:val="0"/>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采购限额标准以上，</w:t>
            </w:r>
            <w:r>
              <w:rPr>
                <w:rFonts w:hint="eastAsia" w:ascii="宋体" w:hAnsi="宋体" w:eastAsia="宋体" w:cs="宋体"/>
                <w:b/>
                <w:bCs/>
                <w:kern w:val="2"/>
                <w:sz w:val="24"/>
                <w:szCs w:val="24"/>
                <w:lang w:val="en-US" w:eastAsia="zh-CN" w:bidi="ar-SA"/>
              </w:rPr>
              <w:t>200 万元以下的货物和服务采购项目、400 万元以下的工程采购项目，适宜由中小企业提供的，采购人应当专门面向中小企业采购。</w:t>
            </w:r>
          </w:p>
          <w:p w14:paraId="1516AAE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各行业划分标准具体为：</w:t>
            </w:r>
          </w:p>
          <w:p w14:paraId="5E6F980E">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1、农、林、牧、渔业。营业收入20000万元以下的为中小微型企业。其中，营业收入500万元及以上的为中型企业,营业收入50万元及以上的为小型企业，营业收入50万元以下的为微型企业。　　</w:t>
            </w:r>
          </w:p>
          <w:p w14:paraId="2271A732">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14:paraId="4B179003">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14:paraId="78E68504">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4186D7AB">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1E76C9C7">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30C7170D">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14:paraId="78883A9D">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2517E5E9">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6C53C1BD">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180EC65F">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65593347">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599C98F0">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480EF8E0">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26180F93">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p>
          <w:p w14:paraId="1AB0E687">
            <w:pPr>
              <w:pStyle w:val="9"/>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kern w:val="2"/>
                <w:sz w:val="24"/>
                <w:szCs w:val="24"/>
                <w:lang w:val="en-US" w:eastAsia="zh-CN" w:bidi="ar-SA"/>
              </w:rPr>
            </w:pPr>
            <w:r>
              <w:rPr>
                <w:rFonts w:hint="eastAsia" w:ascii="宋体" w:hAnsi="宋体" w:eastAsia="宋体" w:cs="宋体"/>
                <w:b w:val="0"/>
                <w:color w:val="auto"/>
                <w:kern w:val="2"/>
                <w:sz w:val="24"/>
                <w:szCs w:val="24"/>
                <w:highlight w:val="none"/>
                <w:lang w:val="en-US" w:eastAsia="zh-CN" w:bidi="ar-SA"/>
              </w:rPr>
              <w:t>16、其他未列明行业。从业人员300人以下的为中小微型企业。其中，从业人员100人及以上的为中型企业;从业人员10人及以上的为小型企业；从业人员10人以下的为微型企业。　</w:t>
            </w:r>
            <w:r>
              <w:rPr>
                <w:rFonts w:hint="eastAsia" w:ascii="宋体" w:hAnsi="宋体" w:eastAsia="宋体" w:cs="宋体"/>
                <w:b w:val="0"/>
                <w:color w:val="auto"/>
                <w:kern w:val="2"/>
                <w:sz w:val="24"/>
                <w:szCs w:val="24"/>
                <w:lang w:val="en-US" w:eastAsia="zh-CN" w:bidi="ar-SA"/>
              </w:rPr>
              <w:t>　</w:t>
            </w:r>
          </w:p>
        </w:tc>
      </w:tr>
      <w:tr w14:paraId="4F603486">
        <w:tblPrEx>
          <w:tblCellMar>
            <w:top w:w="0" w:type="dxa"/>
            <w:left w:w="108" w:type="dxa"/>
            <w:bottom w:w="0" w:type="dxa"/>
            <w:right w:w="108" w:type="dxa"/>
          </w:tblCellMar>
        </w:tblPrEx>
        <w:trPr>
          <w:trHeight w:val="698"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D5FA823">
            <w:pPr>
              <w:keepNext w:val="0"/>
              <w:keepLines w:val="0"/>
              <w:pageBreakBefore w:val="0"/>
              <w:widowControl/>
              <w:numPr>
                <w:ilvl w:val="0"/>
                <w:numId w:val="3"/>
              </w:numPr>
              <w:kinsoku/>
              <w:wordWrap/>
              <w:overflowPunct/>
              <w:topLinePunct w:val="0"/>
              <w:autoSpaceDE/>
              <w:autoSpaceDN/>
              <w:bidi w:val="0"/>
              <w:adjustRightInd w:val="0"/>
              <w:snapToGrid w:val="0"/>
              <w:spacing w:line="360" w:lineRule="auto"/>
              <w:ind w:left="635" w:leftChars="0" w:hanging="425" w:firstLineChars="0"/>
              <w:jc w:val="center"/>
              <w:textAlignment w:val="center"/>
              <w:rPr>
                <w:rFonts w:hint="eastAsia" w:ascii="宋体" w:hAnsi="宋体" w:eastAsia="宋体" w:cs="宋体"/>
                <w:color w:val="000000"/>
                <w:sz w:val="24"/>
                <w:szCs w:val="24"/>
                <w:highlight w:val="none"/>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4B4A2AB8">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Lines="0" w:beforeAutospacing="0" w:after="0" w:afterLines="0" w:afterAutospacing="0" w:line="360" w:lineRule="auto"/>
              <w:ind w:left="0" w:leftChars="0" w:right="0" w:rightChars="0"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信用承诺公示要求</w:t>
            </w:r>
          </w:p>
        </w:tc>
        <w:tc>
          <w:tcPr>
            <w:tcW w:w="6708" w:type="dxa"/>
            <w:tcBorders>
              <w:top w:val="single" w:color="auto" w:sz="4" w:space="0"/>
              <w:left w:val="single" w:color="auto" w:sz="4" w:space="0"/>
              <w:bottom w:val="single" w:color="auto" w:sz="4" w:space="0"/>
              <w:right w:val="single" w:color="auto" w:sz="4" w:space="0"/>
            </w:tcBorders>
            <w:vAlign w:val="center"/>
          </w:tcPr>
          <w:p w14:paraId="3F8191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jc w:val="both"/>
              <w:rPr>
                <w:rFonts w:hint="eastAsia" w:ascii="宋体" w:hAnsi="宋体" w:eastAsia="宋体" w:cs="宋体"/>
                <w:color w:val="auto"/>
                <w:kern w:val="2"/>
                <w:sz w:val="24"/>
                <w:szCs w:val="24"/>
                <w:lang w:val="en-US" w:eastAsia="zh-CN" w:bidi="ar-SA"/>
              </w:rPr>
            </w:pPr>
            <w:r>
              <w:rPr>
                <w:rFonts w:hint="eastAsia" w:ascii="宋体" w:hAnsi="宋体" w:eastAsia="宋体" w:cs="宋体"/>
                <w:kern w:val="2"/>
                <w:sz w:val="24"/>
                <w:szCs w:val="24"/>
                <w:lang w:val="en-US" w:eastAsia="zh-CN" w:bidi="ar-SA"/>
              </w:rPr>
              <w:t>为深入贯彻信用体系建设的有关精神，根据市发改委《关于在工程招投标活动中推行信用监管试点示范工作的通知》（榆政发改发〔2020〕329号）和市财政局《关于在政府采购活动中使用信用记录和信用报告以及开展承诺工作的通知》（榆政财采函〔2020〕9号）在工程建设和政府采购领域全面推行信用公开承诺制，进入公共资源交易平台的各方交易主体，均应在</w:t>
            </w:r>
            <w:r>
              <w:rPr>
                <w:rFonts w:hint="eastAsia" w:ascii="宋体" w:hAnsi="宋体" w:eastAsia="宋体" w:cs="宋体"/>
                <w:color w:val="auto"/>
                <w:kern w:val="2"/>
                <w:sz w:val="24"/>
                <w:szCs w:val="24"/>
                <w:lang w:val="en-US" w:eastAsia="zh-CN" w:bidi="ar-SA"/>
              </w:rPr>
              <w:t>“信用中国（陕西榆林）”网站进行注册、登陆，自主上报信用承诺书（网址：https://credit.yl.gov.cn/），各相关交易主体注册、登陆后根据承诺事项选择相应的模板填写《信用承诺书》，并载明承诺事由，政府采购活动中，各方交易主体的承诺事由为“公共资源交易平台的所有活动、项目名称”。</w:t>
            </w:r>
          </w:p>
          <w:p w14:paraId="6E4659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信用承诺操作相关事宜如下：</w:t>
            </w:r>
          </w:p>
          <w:p w14:paraId="6AFF5D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（1）进入信用中国“陕西榆林”页面，点击信用承诺，右上角显示主动上报，在承诺事项选择相应的承诺事项，承诺事项的名称为原纸质版的标题名称。 </w:t>
            </w:r>
          </w:p>
          <w:p w14:paraId="0334A3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（2）承诺时间为当日，承诺事由为“公共资源交易平台的所有活动、项目名称”。</w:t>
            </w:r>
          </w:p>
          <w:p w14:paraId="3401DE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（3）供应商需上传四项信用承诺：①投标人信用承诺；②投标信用承诺书。③投标人委托代理人员信用承诺书</w:t>
            </w:r>
          </w:p>
          <w:p w14:paraId="0892DE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④《榆林市政府采购服务类项目供应商信用承诺书》（信用承诺书的格式 详见投标文件格式中附件）。 （4）所有账号问题在政务网中咨询或拨打 02987382893、029-87382894。 </w:t>
            </w:r>
          </w:p>
          <w:p w14:paraId="521FB9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20" w:firstLineChars="0"/>
              <w:jc w:val="both"/>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color w:val="auto"/>
                <w:kern w:val="2"/>
                <w:sz w:val="24"/>
                <w:szCs w:val="24"/>
                <w:lang w:val="en-US" w:eastAsia="zh-CN" w:bidi="ar-SA"/>
              </w:rPr>
              <w:t>注：如未按照上述要求办理，信用承诺公示迟报、漏报的列入不良行为记录。 其投标将被否决，后果自负。投标人请将申报截图附在投标文件附件中，如不执行由此带来的不利后果投标人自行承担； 具体操作详见附件一：信用承诺上报操作指南。投标人请将申报截图附在投标文件中。</w:t>
            </w:r>
          </w:p>
        </w:tc>
      </w:tr>
      <w:tr w14:paraId="3D1060A7">
        <w:tblPrEx>
          <w:tblCellMar>
            <w:top w:w="0" w:type="dxa"/>
            <w:left w:w="108" w:type="dxa"/>
            <w:bottom w:w="0" w:type="dxa"/>
            <w:right w:w="108" w:type="dxa"/>
          </w:tblCellMar>
        </w:tblPrEx>
        <w:trPr>
          <w:trHeight w:val="698"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2164D03">
            <w:pPr>
              <w:keepNext w:val="0"/>
              <w:keepLines w:val="0"/>
              <w:pageBreakBefore w:val="0"/>
              <w:widowControl/>
              <w:numPr>
                <w:ilvl w:val="0"/>
                <w:numId w:val="3"/>
              </w:numPr>
              <w:kinsoku/>
              <w:wordWrap/>
              <w:overflowPunct/>
              <w:topLinePunct w:val="0"/>
              <w:autoSpaceDE/>
              <w:autoSpaceDN/>
              <w:bidi w:val="0"/>
              <w:adjustRightInd w:val="0"/>
              <w:snapToGrid w:val="0"/>
              <w:spacing w:line="360" w:lineRule="auto"/>
              <w:ind w:left="635" w:leftChars="0" w:hanging="425" w:firstLineChars="0"/>
              <w:jc w:val="center"/>
              <w:textAlignment w:val="center"/>
              <w:rPr>
                <w:rFonts w:hint="eastAsia" w:ascii="宋体" w:hAnsi="宋体" w:eastAsia="宋体" w:cs="宋体"/>
                <w:color w:val="000000"/>
                <w:sz w:val="24"/>
                <w:szCs w:val="24"/>
                <w:highlight w:val="none"/>
                <w:lang w:val="en-US" w:eastAsia="zh-CN"/>
              </w:rPr>
            </w:pPr>
          </w:p>
        </w:tc>
        <w:tc>
          <w:tcPr>
            <w:tcW w:w="1851" w:type="dxa"/>
            <w:tcBorders>
              <w:top w:val="single" w:color="auto" w:sz="4" w:space="0"/>
              <w:left w:val="single" w:color="auto" w:sz="4" w:space="0"/>
              <w:bottom w:val="single" w:color="auto" w:sz="4" w:space="0"/>
              <w:right w:val="single" w:color="auto" w:sz="4" w:space="0"/>
            </w:tcBorders>
            <w:vAlign w:val="center"/>
          </w:tcPr>
          <w:p w14:paraId="1C078BBA">
            <w:pPr>
              <w:widowControl/>
              <w:spacing w:line="360" w:lineRule="auto"/>
              <w:jc w:val="center"/>
              <w:textAlignment w:val="center"/>
              <w:rPr>
                <w:rFonts w:hint="eastAsia" w:ascii="宋体" w:hAnsi="宋体" w:eastAsia="宋体" w:cs="宋体"/>
                <w:b w:val="0"/>
                <w:bCs w:val="0"/>
                <w:sz w:val="24"/>
                <w:szCs w:val="24"/>
                <w:lang w:val="en-US" w:eastAsia="zh-CN"/>
              </w:rPr>
            </w:pPr>
            <w:r>
              <w:rPr>
                <w:rFonts w:hint="eastAsia" w:ascii="宋体" w:hAnsi="宋体" w:eastAsia="宋体" w:cs="宋体"/>
                <w:color w:val="auto"/>
                <w:sz w:val="24"/>
                <w:szCs w:val="24"/>
                <w:highlight w:val="none"/>
                <w:lang w:val="en-US" w:eastAsia="zh-CN"/>
              </w:rPr>
              <w:t>身份核验</w:t>
            </w:r>
          </w:p>
        </w:tc>
        <w:tc>
          <w:tcPr>
            <w:tcW w:w="6708" w:type="dxa"/>
            <w:tcBorders>
              <w:top w:val="single" w:color="auto" w:sz="4" w:space="0"/>
              <w:left w:val="single" w:color="auto" w:sz="4" w:space="0"/>
              <w:bottom w:val="single" w:color="auto" w:sz="4" w:space="0"/>
              <w:right w:val="single" w:color="auto" w:sz="4" w:space="0"/>
            </w:tcBorders>
            <w:vAlign w:val="center"/>
          </w:tcPr>
          <w:p w14:paraId="076B158C">
            <w:pPr>
              <w:spacing w:line="360" w:lineRule="auto"/>
              <w:rPr>
                <w:rFonts w:hint="eastAsia" w:ascii="宋体" w:hAnsi="宋体" w:eastAsia="宋体" w:cs="宋体"/>
                <w:sz w:val="24"/>
              </w:rPr>
            </w:pPr>
            <w:r>
              <w:rPr>
                <w:rFonts w:hint="eastAsia" w:ascii="宋体" w:hAnsi="宋体" w:eastAsia="宋体" w:cs="宋体"/>
                <w:sz w:val="24"/>
                <w:lang w:val="en-US" w:eastAsia="zh-CN"/>
              </w:rPr>
              <w:t>磋商</w:t>
            </w:r>
            <w:r>
              <w:rPr>
                <w:rFonts w:hint="eastAsia" w:ascii="宋体" w:hAnsi="宋体" w:eastAsia="宋体" w:cs="宋体"/>
                <w:sz w:val="24"/>
              </w:rPr>
              <w:t>会议现场，由</w:t>
            </w:r>
            <w:r>
              <w:rPr>
                <w:rFonts w:hint="eastAsia" w:ascii="宋体" w:hAnsi="宋体" w:cs="宋体"/>
                <w:sz w:val="24"/>
                <w:lang w:val="en-US" w:eastAsia="zh-CN"/>
              </w:rPr>
              <w:t>采购人或</w:t>
            </w:r>
            <w:r>
              <w:rPr>
                <w:rFonts w:hint="eastAsia" w:ascii="宋体" w:hAnsi="宋体" w:eastAsia="宋体" w:cs="宋体"/>
                <w:sz w:val="24"/>
              </w:rPr>
              <w:t>监标人对授权代表进行身份核验</w:t>
            </w:r>
          </w:p>
          <w:p w14:paraId="172CA8CD">
            <w:pPr>
              <w:widowControl/>
              <w:numPr>
                <w:ilvl w:val="0"/>
                <w:numId w:val="0"/>
              </w:numPr>
              <w:tabs>
                <w:tab w:val="left" w:pos="180"/>
              </w:tabs>
              <w:spacing w:line="360" w:lineRule="auto"/>
              <w:jc w:val="left"/>
              <w:rPr>
                <w:rFonts w:hint="eastAsia" w:ascii="宋体" w:hAnsi="宋体" w:eastAsia="宋体" w:cs="宋体"/>
                <w:sz w:val="24"/>
              </w:rPr>
            </w:pPr>
            <w:r>
              <w:rPr>
                <w:rFonts w:hint="eastAsia" w:ascii="宋体" w:hAnsi="宋体" w:eastAsia="宋体" w:cs="宋体"/>
                <w:kern w:val="2"/>
                <w:sz w:val="24"/>
                <w:lang w:val="en-US" w:eastAsia="zh-CN" w:bidi="ar-SA"/>
              </w:rPr>
              <w:t>1、</w:t>
            </w:r>
            <w:r>
              <w:rPr>
                <w:rFonts w:hint="eastAsia" w:ascii="宋体" w:hAnsi="宋体" w:eastAsia="宋体" w:cs="宋体"/>
                <w:sz w:val="24"/>
              </w:rPr>
              <w:t>由</w:t>
            </w:r>
            <w:r>
              <w:rPr>
                <w:rFonts w:hint="eastAsia" w:ascii="宋体" w:hAnsi="宋体" w:cs="宋体"/>
                <w:sz w:val="24"/>
                <w:lang w:val="en-US" w:eastAsia="zh-CN"/>
              </w:rPr>
              <w:t>采购人或</w:t>
            </w:r>
            <w:r>
              <w:rPr>
                <w:rFonts w:hint="eastAsia" w:ascii="宋体" w:hAnsi="宋体" w:eastAsia="宋体" w:cs="宋体"/>
                <w:sz w:val="24"/>
              </w:rPr>
              <w:t>监标人对供应商参会代表进行身份核验，供应商代表开标现场须持法定代表人授权书或法定代表人身份证明（按照招标文件格式填写，不得擅自修改格式）及其身份证原件，未提供或身份核验不合格者按无效响应处理。</w:t>
            </w:r>
          </w:p>
          <w:p w14:paraId="30275A80">
            <w:pPr>
              <w:keepNext w:val="0"/>
              <w:keepLines w:val="0"/>
              <w:pageBreakBefore w:val="0"/>
              <w:widowControl/>
              <w:numPr>
                <w:ilvl w:val="0"/>
                <w:numId w:val="0"/>
              </w:numPr>
              <w:tabs>
                <w:tab w:val="left" w:pos="180"/>
              </w:tabs>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sz w:val="24"/>
              </w:rPr>
            </w:pPr>
            <w:r>
              <w:rPr>
                <w:rFonts w:hint="eastAsia" w:ascii="宋体" w:hAnsi="宋体" w:eastAsia="宋体" w:cs="宋体"/>
                <w:kern w:val="2"/>
                <w:sz w:val="24"/>
                <w:lang w:val="en-US" w:eastAsia="zh-CN" w:bidi="ar-SA"/>
              </w:rPr>
              <w:t>2、</w:t>
            </w:r>
            <w:r>
              <w:rPr>
                <w:rFonts w:hint="eastAsia" w:ascii="宋体" w:hAnsi="宋体" w:eastAsia="宋体" w:cs="宋体"/>
                <w:sz w:val="24"/>
              </w:rPr>
              <w:t>供应商应授权合法的人员参加本项目全过程开标</w:t>
            </w:r>
          </w:p>
          <w:p w14:paraId="57D48786">
            <w:pPr>
              <w:keepNext w:val="0"/>
              <w:keepLines w:val="0"/>
              <w:pageBreakBefore w:val="0"/>
              <w:widowControl/>
              <w:numPr>
                <w:ilvl w:val="0"/>
                <w:numId w:val="0"/>
              </w:numPr>
              <w:tabs>
                <w:tab w:val="left" w:pos="180"/>
              </w:tabs>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sz w:val="24"/>
              </w:rPr>
            </w:pPr>
            <w:r>
              <w:rPr>
                <w:rFonts w:hint="eastAsia" w:ascii="宋体" w:hAnsi="宋体" w:eastAsia="宋体" w:cs="宋体"/>
                <w:sz w:val="24"/>
              </w:rPr>
              <w:t>法定代表人直接参加，须提交法定代表人身份证明书、身份证原件。</w:t>
            </w:r>
          </w:p>
          <w:p w14:paraId="5F17BE8E">
            <w:pPr>
              <w:keepNext w:val="0"/>
              <w:keepLines w:val="0"/>
              <w:pageBreakBefore w:val="0"/>
              <w:widowControl/>
              <w:numPr>
                <w:ilvl w:val="0"/>
                <w:numId w:val="0"/>
              </w:numPr>
              <w:tabs>
                <w:tab w:val="left" w:pos="180"/>
              </w:tabs>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sz w:val="24"/>
              </w:rPr>
              <w:t>法定代表人授权代表参加的，须出具法定代表人授权书及授权代表身份证</w:t>
            </w:r>
            <w:r>
              <w:rPr>
                <w:rFonts w:hint="eastAsia" w:ascii="宋体" w:hAnsi="宋体" w:cs="宋体"/>
                <w:sz w:val="24"/>
                <w:lang w:val="en-US" w:eastAsia="zh-CN"/>
              </w:rPr>
              <w:t>原件</w:t>
            </w:r>
            <w:r>
              <w:rPr>
                <w:rFonts w:hint="eastAsia" w:ascii="宋体" w:hAnsi="宋体" w:eastAsia="宋体" w:cs="宋体"/>
                <w:sz w:val="24"/>
                <w:lang w:eastAsia="zh-CN"/>
              </w:rPr>
              <w:t>；</w:t>
            </w:r>
          </w:p>
        </w:tc>
      </w:tr>
    </w:tbl>
    <w:p w14:paraId="178036BF">
      <w:pPr>
        <w:spacing w:line="360" w:lineRule="auto"/>
        <w:rPr>
          <w:rFonts w:hint="eastAsia" w:ascii="宋体" w:hAnsi="宋体" w:eastAsia="宋体" w:cs="宋体"/>
        </w:rPr>
      </w:pPr>
      <w:r>
        <w:rPr>
          <w:rFonts w:hint="eastAsia" w:ascii="宋体" w:hAnsi="宋体" w:eastAsia="宋体" w:cs="宋体"/>
        </w:rPr>
        <w:br w:type="page"/>
      </w:r>
    </w:p>
    <w:p w14:paraId="2D084CD5">
      <w:pPr>
        <w:pStyle w:val="2"/>
        <w:spacing w:before="100" w:beforeAutospacing="1" w:after="100" w:afterAutospacing="1" w:line="360" w:lineRule="auto"/>
        <w:jc w:val="center"/>
        <w:rPr>
          <w:rFonts w:hint="eastAsia" w:ascii="宋体" w:hAnsi="宋体" w:eastAsia="宋体" w:cs="宋体"/>
          <w:sz w:val="36"/>
        </w:rPr>
      </w:pPr>
      <w:bookmarkStart w:id="11" w:name="_Toc26015"/>
      <w:bookmarkStart w:id="12" w:name="_Toc19773"/>
      <w:bookmarkStart w:id="13" w:name="_Toc19554"/>
      <w:bookmarkStart w:id="14" w:name="_Toc19507"/>
      <w:r>
        <w:rPr>
          <w:rFonts w:hint="eastAsia" w:ascii="宋体" w:hAnsi="宋体" w:eastAsia="宋体" w:cs="宋体"/>
          <w:sz w:val="36"/>
          <w:lang w:eastAsia="zh-CN"/>
        </w:rPr>
        <w:t>供应商</w:t>
      </w:r>
      <w:r>
        <w:rPr>
          <w:rFonts w:hint="eastAsia" w:ascii="宋体" w:hAnsi="宋体" w:eastAsia="宋体" w:cs="宋体"/>
          <w:sz w:val="36"/>
        </w:rPr>
        <w:t>须知</w:t>
      </w:r>
      <w:bookmarkEnd w:id="11"/>
    </w:p>
    <w:bookmarkEnd w:id="10"/>
    <w:bookmarkEnd w:id="12"/>
    <w:bookmarkEnd w:id="13"/>
    <w:bookmarkEnd w:id="14"/>
    <w:p w14:paraId="79ACE315">
      <w:pPr>
        <w:keepNext w:val="0"/>
        <w:keepLines w:val="0"/>
        <w:pageBreakBefore w:val="0"/>
        <w:widowControl w:val="0"/>
        <w:tabs>
          <w:tab w:val="left" w:pos="720"/>
        </w:tabs>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sz w:val="36"/>
        </w:rPr>
      </w:pPr>
      <w:bookmarkStart w:id="15" w:name="_Toc29091"/>
      <w:bookmarkStart w:id="16" w:name="_Toc1151"/>
      <w:bookmarkStart w:id="17" w:name="_Toc144974504"/>
      <w:bookmarkStart w:id="18" w:name="_Toc179632553"/>
      <w:bookmarkStart w:id="19" w:name="_Toc152045536"/>
      <w:bookmarkStart w:id="20" w:name="_Toc152042312"/>
      <w:r>
        <w:rPr>
          <w:rFonts w:hint="eastAsia" w:ascii="宋体" w:hAnsi="宋体" w:eastAsia="宋体" w:cs="宋体"/>
          <w:b/>
          <w:bCs w:val="0"/>
          <w:sz w:val="36"/>
        </w:rPr>
        <w:t>A 总则</w:t>
      </w:r>
      <w:bookmarkEnd w:id="15"/>
      <w:bookmarkEnd w:id="16"/>
    </w:p>
    <w:p w14:paraId="1F51DF3D">
      <w:pPr>
        <w:spacing w:before="100" w:after="100" w:line="360" w:lineRule="auto"/>
        <w:ind w:firstLine="482" w:firstLineChars="200"/>
        <w:rPr>
          <w:rFonts w:hint="eastAsia" w:ascii="宋体" w:hAnsi="宋体" w:eastAsia="宋体" w:cs="宋体"/>
          <w:b/>
          <w:bCs/>
          <w:sz w:val="24"/>
          <w:szCs w:val="24"/>
        </w:rPr>
      </w:pPr>
      <w:bookmarkStart w:id="21" w:name="_Toc462325799"/>
      <w:bookmarkStart w:id="22" w:name="_Toc347478675"/>
      <w:bookmarkStart w:id="23" w:name="_Toc26762"/>
      <w:bookmarkStart w:id="24" w:name="_Toc6642"/>
      <w:r>
        <w:rPr>
          <w:rFonts w:hint="eastAsia" w:ascii="宋体" w:hAnsi="宋体" w:cs="宋体"/>
          <w:b/>
          <w:bCs/>
          <w:sz w:val="24"/>
          <w:szCs w:val="24"/>
          <w:lang w:val="en-US" w:eastAsia="zh-CN"/>
        </w:rPr>
        <w:t>1.</w:t>
      </w:r>
      <w:r>
        <w:rPr>
          <w:rFonts w:hint="eastAsia" w:ascii="宋体" w:hAnsi="宋体" w:eastAsia="宋体" w:cs="宋体"/>
          <w:b/>
          <w:bCs/>
          <w:sz w:val="24"/>
          <w:szCs w:val="24"/>
        </w:rPr>
        <w:t>适用范围</w:t>
      </w:r>
      <w:bookmarkEnd w:id="21"/>
      <w:bookmarkEnd w:id="22"/>
      <w:bookmarkEnd w:id="23"/>
      <w:bookmarkEnd w:id="24"/>
    </w:p>
    <w:p w14:paraId="10B20A06">
      <w:pPr>
        <w:spacing w:before="100" w:after="100" w:line="360" w:lineRule="auto"/>
        <w:ind w:firstLine="480" w:firstLineChars="200"/>
        <w:rPr>
          <w:rFonts w:hint="eastAsia" w:ascii="宋体" w:hAnsi="宋体" w:eastAsia="宋体" w:cs="宋体"/>
          <w:sz w:val="24"/>
        </w:rPr>
      </w:pPr>
      <w:r>
        <w:rPr>
          <w:rFonts w:hint="eastAsia" w:ascii="宋体" w:hAnsi="宋体" w:eastAsia="宋体" w:cs="宋体"/>
          <w:sz w:val="24"/>
          <w:szCs w:val="24"/>
        </w:rPr>
        <w:t>本</w:t>
      </w:r>
      <w:r>
        <w:rPr>
          <w:rFonts w:hint="eastAsia" w:ascii="宋体" w:hAnsi="宋体" w:eastAsia="宋体" w:cs="宋体"/>
          <w:sz w:val="24"/>
          <w:szCs w:val="24"/>
          <w:lang w:eastAsia="zh-CN"/>
        </w:rPr>
        <w:t>竞争性磋商文件</w:t>
      </w:r>
      <w:r>
        <w:rPr>
          <w:rFonts w:hint="eastAsia" w:ascii="宋体" w:hAnsi="宋体" w:eastAsia="宋体" w:cs="宋体"/>
          <w:sz w:val="24"/>
          <w:szCs w:val="24"/>
        </w:rPr>
        <w:t>仅适用于本招标公告中所叙述项目的货物及服务采购。</w:t>
      </w:r>
    </w:p>
    <w:p w14:paraId="59C7D474">
      <w:pPr>
        <w:spacing w:before="100" w:after="100" w:line="360" w:lineRule="auto"/>
        <w:ind w:firstLine="482" w:firstLineChars="200"/>
        <w:rPr>
          <w:rFonts w:hint="eastAsia" w:ascii="宋体" w:hAnsi="宋体" w:cs="宋体"/>
          <w:b/>
          <w:bCs/>
          <w:sz w:val="24"/>
          <w:szCs w:val="24"/>
          <w:lang w:val="en-US" w:eastAsia="zh-CN"/>
        </w:rPr>
      </w:pPr>
      <w:bookmarkStart w:id="25" w:name="_Toc11169"/>
      <w:bookmarkStart w:id="26" w:name="_Toc5118"/>
      <w:bookmarkStart w:id="27" w:name="_Toc462325800"/>
      <w:bookmarkStart w:id="28" w:name="_Toc347478676"/>
      <w:r>
        <w:rPr>
          <w:rFonts w:hint="eastAsia" w:ascii="宋体" w:hAnsi="宋体" w:cs="宋体"/>
          <w:b/>
          <w:bCs/>
          <w:sz w:val="24"/>
          <w:szCs w:val="24"/>
          <w:lang w:val="en-US" w:eastAsia="zh-CN"/>
        </w:rPr>
        <w:t>2. 定义</w:t>
      </w:r>
      <w:bookmarkEnd w:id="25"/>
      <w:bookmarkEnd w:id="26"/>
      <w:bookmarkEnd w:id="27"/>
      <w:bookmarkEnd w:id="28"/>
      <w:r>
        <w:rPr>
          <w:rFonts w:hint="eastAsia" w:ascii="宋体" w:hAnsi="宋体" w:cs="宋体"/>
          <w:b/>
          <w:bCs/>
          <w:sz w:val="24"/>
          <w:szCs w:val="24"/>
          <w:lang w:val="en-US" w:eastAsia="zh-CN"/>
        </w:rPr>
        <w:t xml:space="preserve"> </w:t>
      </w:r>
    </w:p>
    <w:p w14:paraId="6C279AB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 “采购人”系指依法进行政府采购的国家机关、事业单位、团体组织。本采购项目的采购人名称、地址、电话、联系人见</w:t>
      </w:r>
      <w:r>
        <w:rPr>
          <w:rFonts w:hint="eastAsia" w:ascii="宋体" w:hAnsi="宋体" w:eastAsia="宋体" w:cs="宋体"/>
          <w:sz w:val="24"/>
          <w:szCs w:val="24"/>
          <w:lang w:eastAsia="zh-CN"/>
        </w:rPr>
        <w:t>供应商</w:t>
      </w:r>
      <w:r>
        <w:rPr>
          <w:rFonts w:hint="eastAsia" w:ascii="宋体" w:hAnsi="宋体" w:eastAsia="宋体" w:cs="宋体"/>
          <w:sz w:val="24"/>
          <w:szCs w:val="24"/>
        </w:rPr>
        <w:t>须知前附表。</w:t>
      </w:r>
    </w:p>
    <w:p w14:paraId="701FFA2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 “采购代理机构”系指接受采购人委托，代理采购项目的集中采购机构和经财政部门认定资格的其他采购代理机构。本采购项目的采购代理机构名称、地址、电话、联系人见</w:t>
      </w:r>
      <w:r>
        <w:rPr>
          <w:rFonts w:hint="eastAsia" w:ascii="宋体" w:hAnsi="宋体" w:eastAsia="宋体" w:cs="宋体"/>
          <w:sz w:val="24"/>
          <w:szCs w:val="24"/>
          <w:lang w:eastAsia="zh-CN"/>
        </w:rPr>
        <w:t>供应商</w:t>
      </w:r>
      <w:r>
        <w:rPr>
          <w:rFonts w:hint="eastAsia" w:ascii="宋体" w:hAnsi="宋体" w:eastAsia="宋体" w:cs="宋体"/>
          <w:sz w:val="24"/>
          <w:szCs w:val="24"/>
        </w:rPr>
        <w:t>须知前附表。</w:t>
      </w:r>
    </w:p>
    <w:p w14:paraId="328F0B8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 “</w:t>
      </w:r>
      <w:r>
        <w:rPr>
          <w:rFonts w:hint="eastAsia" w:ascii="宋体" w:hAnsi="宋体" w:eastAsia="宋体" w:cs="宋体"/>
          <w:sz w:val="24"/>
          <w:szCs w:val="24"/>
          <w:lang w:eastAsia="zh-CN"/>
        </w:rPr>
        <w:t>供应商</w:t>
      </w:r>
      <w:r>
        <w:rPr>
          <w:rFonts w:hint="eastAsia" w:ascii="宋体" w:hAnsi="宋体" w:eastAsia="宋体" w:cs="宋体"/>
          <w:sz w:val="24"/>
          <w:szCs w:val="24"/>
        </w:rPr>
        <w:t>”系指响应招标、参加投标竞争的法人、其他组织或自然人。</w:t>
      </w:r>
    </w:p>
    <w:p w14:paraId="4605A82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 “</w:t>
      </w:r>
      <w:r>
        <w:rPr>
          <w:rFonts w:hint="eastAsia" w:ascii="宋体" w:hAnsi="宋体" w:eastAsia="宋体" w:cs="宋体"/>
          <w:sz w:val="24"/>
          <w:szCs w:val="24"/>
          <w:lang w:eastAsia="zh-CN"/>
        </w:rPr>
        <w:t>磋商小组</w:t>
      </w:r>
      <w:r>
        <w:rPr>
          <w:rFonts w:hint="eastAsia" w:ascii="宋体" w:hAnsi="宋体" w:eastAsia="宋体" w:cs="宋体"/>
          <w:sz w:val="24"/>
          <w:szCs w:val="24"/>
        </w:rPr>
        <w:t>”是指依据《中华人民共和国政府采购法》和财政部《政府采购货物和服务招标投标管理办法》</w:t>
      </w:r>
      <w:r>
        <w:rPr>
          <w:rFonts w:hint="eastAsia" w:ascii="宋体" w:hAnsi="宋体" w:eastAsia="宋体" w:cs="宋体"/>
          <w:sz w:val="24"/>
          <w:szCs w:val="24"/>
          <w:lang w:eastAsia="zh-CN"/>
        </w:rPr>
        <w:t>《</w:t>
      </w:r>
      <w:r>
        <w:rPr>
          <w:rStyle w:val="56"/>
          <w:rFonts w:hint="eastAsia" w:ascii="宋体" w:hAnsi="宋体" w:eastAsia="宋体" w:cs="宋体"/>
          <w:b w:val="0"/>
          <w:bCs w:val="0"/>
          <w:kern w:val="2"/>
          <w:sz w:val="24"/>
          <w:szCs w:val="24"/>
          <w:highlight w:val="none"/>
          <w:lang w:val="en-US" w:eastAsia="zh-CN" w:bidi="ar-SA"/>
        </w:rPr>
        <w:t>中华人民共和国财政部令第74号</w:t>
      </w:r>
      <w:r>
        <w:rPr>
          <w:rFonts w:hint="eastAsia" w:ascii="宋体" w:hAnsi="宋体" w:eastAsia="宋体" w:cs="宋体"/>
          <w:sz w:val="24"/>
          <w:szCs w:val="24"/>
          <w:highlight w:val="none"/>
          <w:lang w:eastAsia="zh-CN"/>
        </w:rPr>
        <w:t>》</w:t>
      </w:r>
      <w:r>
        <w:rPr>
          <w:rFonts w:hint="eastAsia" w:ascii="宋体" w:hAnsi="宋体" w:eastAsia="宋体" w:cs="宋体"/>
          <w:sz w:val="24"/>
          <w:szCs w:val="24"/>
        </w:rPr>
        <w:t>有关规定组建，依法依规履行其职责和义务的机构。</w:t>
      </w:r>
    </w:p>
    <w:p w14:paraId="21B674D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 “货物”系指</w:t>
      </w:r>
      <w:r>
        <w:rPr>
          <w:rFonts w:hint="eastAsia" w:ascii="宋体" w:hAnsi="宋体" w:eastAsia="宋体" w:cs="宋体"/>
          <w:sz w:val="24"/>
          <w:szCs w:val="24"/>
          <w:lang w:eastAsia="zh-CN"/>
        </w:rPr>
        <w:t>供应商</w:t>
      </w:r>
      <w:r>
        <w:rPr>
          <w:rFonts w:hint="eastAsia" w:ascii="宋体" w:hAnsi="宋体" w:eastAsia="宋体" w:cs="宋体"/>
          <w:sz w:val="24"/>
          <w:szCs w:val="24"/>
        </w:rPr>
        <w:t>按</w:t>
      </w:r>
      <w:r>
        <w:rPr>
          <w:rFonts w:hint="eastAsia" w:ascii="宋体" w:hAnsi="宋体" w:eastAsia="宋体" w:cs="宋体"/>
          <w:sz w:val="24"/>
          <w:szCs w:val="24"/>
          <w:lang w:eastAsia="zh-CN"/>
        </w:rPr>
        <w:t>竞争性磋商文件</w:t>
      </w:r>
      <w:r>
        <w:rPr>
          <w:rFonts w:hint="eastAsia" w:ascii="宋体" w:hAnsi="宋体" w:eastAsia="宋体" w:cs="宋体"/>
          <w:sz w:val="24"/>
          <w:szCs w:val="24"/>
        </w:rPr>
        <w:t>要求,向采购人提供的各种形态和种类的物品，包括原材料、设备、产品(包括软件)及相关的其备品备件、工具、手册及其它技术资料和材料。</w:t>
      </w:r>
    </w:p>
    <w:p w14:paraId="1CD83CD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2.6 “工程”是指建设工程，包括建筑物和构筑物的新建、改建、扩建、装修、拆除、修缮等，详见《政府采购品目分类目录》。</w:t>
      </w:r>
    </w:p>
    <w:p w14:paraId="67A8369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2.7 “服务”是政府自身需要的服务和政府向社会公众提供的服务，详见《政府采购品目分类目录》。</w:t>
      </w:r>
    </w:p>
    <w:p w14:paraId="476E060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2.8 “节能产品”或者“环保产品”是指财政部发布的《节能产品政府采购清单》或者《环境标志产品政府采购清单》的产品。</w:t>
      </w:r>
    </w:p>
    <w:p w14:paraId="601F742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2.9 “进口产品”是指通过中国海关报关验放进入中国境内且产自关境外的产品，详见《关于政府采购进口产品管理有关问题的通知》。</w:t>
      </w:r>
    </w:p>
    <w:p w14:paraId="7056B24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2.10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B039AF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2.11 “福利性企业”是为集中安置具有一定劳动能力的残疾人就业而兴办的具有社会福利性质的特殊企业。</w:t>
      </w:r>
    </w:p>
    <w:p w14:paraId="724DA9E8">
      <w:pPr>
        <w:spacing w:before="100" w:after="100" w:line="360" w:lineRule="auto"/>
        <w:ind w:firstLine="482" w:firstLineChars="200"/>
        <w:rPr>
          <w:rFonts w:hint="eastAsia" w:ascii="宋体" w:hAnsi="宋体" w:cs="宋体"/>
          <w:b/>
          <w:bCs/>
          <w:sz w:val="24"/>
          <w:szCs w:val="24"/>
          <w:lang w:val="en-US" w:eastAsia="zh-CN"/>
        </w:rPr>
      </w:pPr>
      <w:bookmarkStart w:id="29" w:name="_Toc347478677"/>
      <w:bookmarkStart w:id="30" w:name="_Toc32103"/>
      <w:bookmarkStart w:id="31" w:name="_Toc462325801"/>
      <w:bookmarkStart w:id="32" w:name="_Toc6889"/>
      <w:r>
        <w:rPr>
          <w:rFonts w:hint="eastAsia" w:ascii="宋体" w:hAnsi="宋体" w:cs="宋体"/>
          <w:b/>
          <w:bCs/>
          <w:sz w:val="24"/>
          <w:szCs w:val="24"/>
          <w:lang w:val="en-US" w:eastAsia="zh-CN"/>
        </w:rPr>
        <w:t>3. 合格的</w:t>
      </w:r>
      <w:bookmarkEnd w:id="29"/>
      <w:bookmarkEnd w:id="30"/>
      <w:bookmarkEnd w:id="31"/>
      <w:r>
        <w:rPr>
          <w:rFonts w:hint="eastAsia" w:ascii="宋体" w:hAnsi="宋体" w:cs="宋体"/>
          <w:b/>
          <w:bCs/>
          <w:sz w:val="24"/>
          <w:szCs w:val="24"/>
          <w:lang w:val="en-US" w:eastAsia="zh-CN"/>
        </w:rPr>
        <w:t>供应商</w:t>
      </w:r>
      <w:bookmarkEnd w:id="32"/>
    </w:p>
    <w:p w14:paraId="332560F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3.1 </w:t>
      </w:r>
      <w:r>
        <w:rPr>
          <w:rFonts w:hint="eastAsia" w:ascii="宋体" w:hAnsi="宋体" w:eastAsia="宋体" w:cs="宋体"/>
          <w:sz w:val="24"/>
          <w:szCs w:val="24"/>
          <w:lang w:eastAsia="zh-CN"/>
        </w:rPr>
        <w:t>供应商</w:t>
      </w:r>
      <w:r>
        <w:rPr>
          <w:rFonts w:hint="eastAsia" w:ascii="宋体" w:hAnsi="宋体" w:eastAsia="宋体" w:cs="宋体"/>
          <w:sz w:val="24"/>
          <w:szCs w:val="24"/>
        </w:rPr>
        <w:t>应当符合《中华人民共和国政府采购法》第二十二条第一款规定的</w:t>
      </w:r>
      <w:r>
        <w:rPr>
          <w:rFonts w:hint="eastAsia" w:ascii="宋体" w:hAnsi="宋体" w:eastAsia="宋体" w:cs="宋体"/>
          <w:sz w:val="24"/>
          <w:szCs w:val="24"/>
          <w:lang w:eastAsia="zh-CN"/>
        </w:rPr>
        <w:t>供应商</w:t>
      </w:r>
      <w:r>
        <w:rPr>
          <w:rFonts w:hint="eastAsia" w:ascii="宋体" w:hAnsi="宋体" w:eastAsia="宋体" w:cs="宋体"/>
          <w:sz w:val="24"/>
          <w:szCs w:val="24"/>
        </w:rPr>
        <w:t>基本资格条件；以及</w:t>
      </w:r>
      <w:r>
        <w:rPr>
          <w:rFonts w:hint="eastAsia" w:ascii="宋体" w:hAnsi="宋体" w:eastAsia="宋体" w:cs="宋体"/>
          <w:sz w:val="24"/>
          <w:szCs w:val="24"/>
          <w:lang w:eastAsia="zh-CN"/>
        </w:rPr>
        <w:t>竞争性磋商文件</w:t>
      </w:r>
      <w:r>
        <w:rPr>
          <w:rFonts w:hint="eastAsia" w:ascii="宋体" w:hAnsi="宋体" w:eastAsia="宋体" w:cs="宋体"/>
          <w:sz w:val="24"/>
          <w:szCs w:val="24"/>
        </w:rPr>
        <w:t>规定的</w:t>
      </w:r>
      <w:r>
        <w:rPr>
          <w:rFonts w:hint="eastAsia" w:ascii="宋体" w:hAnsi="宋体" w:eastAsia="宋体" w:cs="宋体"/>
          <w:sz w:val="24"/>
          <w:szCs w:val="24"/>
          <w:lang w:eastAsia="zh-CN"/>
        </w:rPr>
        <w:t>供应商</w:t>
      </w:r>
      <w:r>
        <w:rPr>
          <w:rFonts w:hint="eastAsia" w:ascii="宋体" w:hAnsi="宋体" w:eastAsia="宋体" w:cs="宋体"/>
          <w:sz w:val="24"/>
          <w:szCs w:val="24"/>
        </w:rPr>
        <w:t>特定资格条件。</w:t>
      </w:r>
    </w:p>
    <w:p w14:paraId="2E9D4E9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 供应商必须在招标公告载明的地点领取</w:t>
      </w:r>
      <w:r>
        <w:rPr>
          <w:rFonts w:hint="eastAsia" w:ascii="宋体" w:hAnsi="宋体" w:eastAsia="宋体" w:cs="宋体"/>
          <w:sz w:val="24"/>
          <w:szCs w:val="24"/>
          <w:lang w:eastAsia="zh-CN"/>
        </w:rPr>
        <w:t>竞争性磋商文件</w:t>
      </w:r>
      <w:r>
        <w:rPr>
          <w:rFonts w:hint="eastAsia" w:ascii="宋体" w:hAnsi="宋体" w:eastAsia="宋体" w:cs="宋体"/>
          <w:sz w:val="24"/>
          <w:szCs w:val="24"/>
        </w:rPr>
        <w:t>并登记备案，未经领取</w:t>
      </w:r>
      <w:r>
        <w:rPr>
          <w:rFonts w:hint="eastAsia" w:ascii="宋体" w:hAnsi="宋体" w:eastAsia="宋体" w:cs="宋体"/>
          <w:sz w:val="24"/>
          <w:szCs w:val="24"/>
          <w:lang w:eastAsia="zh-CN"/>
        </w:rPr>
        <w:t>竞争性磋商文件</w:t>
      </w:r>
      <w:r>
        <w:rPr>
          <w:rFonts w:hint="eastAsia" w:ascii="宋体" w:hAnsi="宋体" w:eastAsia="宋体" w:cs="宋体"/>
          <w:sz w:val="24"/>
          <w:szCs w:val="24"/>
        </w:rPr>
        <w:t>并登记备案的潜在供应商均无资格参加本次投标。</w:t>
      </w:r>
    </w:p>
    <w:p w14:paraId="2570AD0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3.3 </w:t>
      </w:r>
      <w:r>
        <w:rPr>
          <w:rFonts w:hint="eastAsia" w:ascii="宋体" w:hAnsi="宋体" w:eastAsia="宋体" w:cs="宋体"/>
          <w:sz w:val="24"/>
          <w:szCs w:val="24"/>
          <w:lang w:eastAsia="zh-CN"/>
        </w:rPr>
        <w:t>法定代表人</w:t>
      </w:r>
      <w:r>
        <w:rPr>
          <w:rFonts w:hint="eastAsia" w:ascii="宋体" w:hAnsi="宋体" w:eastAsia="宋体" w:cs="宋体"/>
          <w:sz w:val="24"/>
          <w:szCs w:val="24"/>
        </w:rPr>
        <w:t>或者负责人为同一人或者存在控股、管理关系的两个以上供应商，不得参加同一政府采购项目投标。</w:t>
      </w:r>
    </w:p>
    <w:p w14:paraId="22439893">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 </w:t>
      </w:r>
      <w:r>
        <w:rPr>
          <w:rFonts w:hint="eastAsia" w:ascii="宋体" w:hAnsi="宋体" w:eastAsia="宋体" w:cs="宋体"/>
          <w:sz w:val="24"/>
          <w:lang w:eastAsia="zh-CN"/>
        </w:rPr>
        <w:t>投标供应商</w:t>
      </w:r>
      <w:r>
        <w:rPr>
          <w:rFonts w:hint="eastAsia" w:ascii="宋体" w:hAnsi="宋体" w:eastAsia="宋体" w:cs="宋体"/>
          <w:sz w:val="24"/>
        </w:rPr>
        <w:t>信用记录查询：对列入“信用</w:t>
      </w:r>
      <w:r>
        <w:rPr>
          <w:rFonts w:hint="eastAsia" w:ascii="宋体" w:hAnsi="宋体" w:eastAsia="宋体" w:cs="宋体"/>
          <w:sz w:val="24"/>
          <w:szCs w:val="22"/>
        </w:rPr>
        <w:t>中国”网站(www.creditchina.gov.cn)“记录失信被执行人或重大税收违法案件当事人名单或政府采购严重违法失信行为”记录名单；中国政府采购网(www.ccgp.gov.cn)“政府采购严重违法失信行为信息记录”的单位，应当拒绝参与政府采购活动</w:t>
      </w:r>
      <w:r>
        <w:rPr>
          <w:rFonts w:hint="eastAsia" w:ascii="宋体" w:hAnsi="宋体" w:eastAsia="宋体" w:cs="宋体"/>
          <w:sz w:val="24"/>
          <w:szCs w:val="22"/>
          <w:highlight w:val="none"/>
        </w:rPr>
        <w:t>（</w:t>
      </w:r>
      <w:r>
        <w:rPr>
          <w:rFonts w:hint="eastAsia" w:ascii="宋体" w:hAnsi="宋体" w:eastAsia="宋体" w:cs="宋体"/>
          <w:i w:val="0"/>
          <w:iCs w:val="0"/>
          <w:caps w:val="0"/>
          <w:color w:val="333333"/>
          <w:spacing w:val="0"/>
          <w:sz w:val="24"/>
          <w:szCs w:val="24"/>
          <w:shd w:val="clear" w:fill="FFFFFF"/>
          <w:vertAlign w:val="baseline"/>
        </w:rPr>
        <w:t>查询日期为从招标文件发售之日起至投标截止日前</w:t>
      </w:r>
      <w:r>
        <w:rPr>
          <w:rFonts w:hint="eastAsia" w:ascii="宋体" w:hAnsi="宋体" w:eastAsia="宋体" w:cs="宋体"/>
          <w:sz w:val="24"/>
          <w:szCs w:val="22"/>
          <w:highlight w:val="none"/>
        </w:rPr>
        <w:t>），</w:t>
      </w:r>
      <w:r>
        <w:rPr>
          <w:rFonts w:hint="eastAsia" w:ascii="宋体" w:hAnsi="宋体" w:eastAsia="宋体" w:cs="宋体"/>
          <w:b w:val="0"/>
          <w:bCs w:val="0"/>
          <w:color w:val="auto"/>
          <w:sz w:val="24"/>
          <w:szCs w:val="24"/>
          <w:highlight w:val="none"/>
        </w:rPr>
        <w:t>提供网页截图加盖投标人公章</w:t>
      </w:r>
      <w:r>
        <w:rPr>
          <w:rFonts w:hint="eastAsia" w:ascii="宋体" w:hAnsi="宋体" w:eastAsia="宋体" w:cs="宋体"/>
          <w:b w:val="0"/>
          <w:bCs w:val="0"/>
          <w:color w:val="auto"/>
          <w:sz w:val="24"/>
          <w:szCs w:val="24"/>
          <w:highlight w:val="none"/>
          <w:lang w:eastAsia="zh-CN"/>
        </w:rPr>
        <w:t>（鲜章）</w:t>
      </w:r>
      <w:r>
        <w:rPr>
          <w:rFonts w:hint="eastAsia" w:ascii="宋体" w:hAnsi="宋体" w:eastAsia="宋体" w:cs="宋体"/>
          <w:b w:val="0"/>
          <w:bCs w:val="0"/>
          <w:color w:val="auto"/>
          <w:sz w:val="24"/>
          <w:szCs w:val="24"/>
          <w:highlight w:val="none"/>
        </w:rPr>
        <w:t>为准</w:t>
      </w:r>
      <w:r>
        <w:rPr>
          <w:rFonts w:hint="eastAsia" w:ascii="宋体" w:hAnsi="宋体" w:eastAsia="宋体" w:cs="宋体"/>
          <w:sz w:val="24"/>
          <w:szCs w:val="22"/>
          <w:highlight w:val="none"/>
        </w:rPr>
        <w:t xml:space="preserve">。 </w:t>
      </w:r>
    </w:p>
    <w:p w14:paraId="6BF58D2D">
      <w:pPr>
        <w:pageBreakBefore w:val="0"/>
        <w:wordWrap/>
        <w:overflowPunct/>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bookmarkStart w:id="33" w:name="_Toc462325802"/>
      <w:bookmarkStart w:id="34" w:name="_Toc21398"/>
      <w:bookmarkStart w:id="35" w:name="_Toc25969"/>
      <w:bookmarkStart w:id="36" w:name="_Toc347478678"/>
      <w:r>
        <w:rPr>
          <w:rFonts w:hint="eastAsia" w:ascii="宋体" w:hAnsi="宋体" w:eastAsia="宋体" w:cs="宋体"/>
          <w:sz w:val="24"/>
          <w:szCs w:val="24"/>
        </w:rPr>
        <w:t>3.</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w:t>
      </w:r>
      <w:r>
        <w:rPr>
          <w:rFonts w:hint="eastAsia" w:ascii="宋体" w:hAnsi="宋体" w:eastAsia="宋体" w:cs="宋体"/>
          <w:color w:val="000000"/>
          <w:sz w:val="24"/>
          <w:szCs w:val="24"/>
        </w:rPr>
        <w:t>是否接受联合体投标：见投标人须知前附表。接受联合体投标的，两个以上的自然人、法人或者其他组织可以组成一个联合体，以一个供应商的身份共同参加政府采购。以联合体形式进行政府采购的，参加联合体的供应商均应当具备招标文件规定的条件，并应当向采购人提交联合协议，载明联合体各方承担的工作和义务。联合体各方应当共同与采购人签订采购合同，就</w:t>
      </w:r>
      <w:r>
        <w:rPr>
          <w:rFonts w:hint="eastAsia" w:ascii="宋体" w:hAnsi="宋体" w:eastAsia="宋体" w:cs="宋体"/>
          <w:color w:val="000000"/>
          <w:sz w:val="24"/>
          <w:szCs w:val="24"/>
          <w:highlight w:val="none"/>
        </w:rPr>
        <w:t>采购合同约定的事项对采购人承担连带责任。</w:t>
      </w:r>
    </w:p>
    <w:p w14:paraId="1E1EF180">
      <w:pPr>
        <w:spacing w:before="100" w:after="100" w:line="360" w:lineRule="auto"/>
        <w:ind w:firstLine="482" w:firstLineChars="200"/>
        <w:rPr>
          <w:rFonts w:hint="eastAsia" w:ascii="宋体" w:hAnsi="宋体" w:cs="宋体"/>
          <w:b/>
          <w:bCs/>
          <w:sz w:val="24"/>
          <w:szCs w:val="24"/>
          <w:lang w:val="en-US" w:eastAsia="zh-CN"/>
        </w:rPr>
      </w:pPr>
      <w:r>
        <w:rPr>
          <w:rFonts w:hint="eastAsia" w:ascii="宋体" w:hAnsi="宋体" w:cs="宋体"/>
          <w:b/>
          <w:bCs/>
          <w:sz w:val="24"/>
          <w:szCs w:val="24"/>
          <w:lang w:val="en-US" w:eastAsia="zh-CN"/>
        </w:rPr>
        <w:t>4. 费用</w:t>
      </w:r>
      <w:bookmarkEnd w:id="33"/>
      <w:bookmarkEnd w:id="34"/>
      <w:bookmarkEnd w:id="35"/>
      <w:bookmarkEnd w:id="36"/>
    </w:p>
    <w:p w14:paraId="2DB50A4F">
      <w:pPr>
        <w:spacing w:line="360" w:lineRule="auto"/>
        <w:ind w:firstLine="480" w:firstLineChars="200"/>
        <w:rPr>
          <w:rFonts w:hint="eastAsia" w:ascii="宋体" w:hAnsi="宋体" w:eastAsia="宋体" w:cs="宋体"/>
          <w:b/>
          <w:sz w:val="30"/>
          <w:highlight w:val="none"/>
        </w:rPr>
      </w:pPr>
      <w:r>
        <w:rPr>
          <w:rFonts w:hint="eastAsia" w:ascii="宋体" w:hAnsi="宋体" w:eastAsia="宋体" w:cs="宋体"/>
          <w:sz w:val="24"/>
          <w:highlight w:val="none"/>
        </w:rPr>
        <w:t>无论</w:t>
      </w:r>
      <w:r>
        <w:rPr>
          <w:rFonts w:hint="eastAsia" w:ascii="宋体" w:hAnsi="宋体" w:eastAsia="宋体" w:cs="宋体"/>
          <w:sz w:val="24"/>
          <w:highlight w:val="none"/>
          <w:lang w:eastAsia="zh-CN"/>
        </w:rPr>
        <w:t>磋商</w:t>
      </w:r>
      <w:r>
        <w:rPr>
          <w:rFonts w:hint="eastAsia" w:ascii="宋体" w:hAnsi="宋体" w:eastAsia="宋体" w:cs="宋体"/>
          <w:sz w:val="24"/>
          <w:highlight w:val="none"/>
        </w:rPr>
        <w:t>的结果如何，</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人自行承担参加</w:t>
      </w:r>
      <w:r>
        <w:rPr>
          <w:rFonts w:hint="eastAsia" w:ascii="宋体" w:hAnsi="宋体" w:eastAsia="宋体" w:cs="宋体"/>
          <w:sz w:val="24"/>
          <w:highlight w:val="none"/>
          <w:lang w:eastAsia="zh-CN"/>
        </w:rPr>
        <w:t>磋商</w:t>
      </w:r>
      <w:r>
        <w:rPr>
          <w:rFonts w:hint="eastAsia" w:ascii="宋体" w:hAnsi="宋体" w:eastAsia="宋体" w:cs="宋体"/>
          <w:sz w:val="24"/>
          <w:highlight w:val="none"/>
        </w:rPr>
        <w:t>相关的全部费用。</w:t>
      </w:r>
    </w:p>
    <w:p w14:paraId="2AD5CFF9">
      <w:pPr>
        <w:spacing w:before="100" w:after="100" w:line="360" w:lineRule="auto"/>
        <w:ind w:firstLine="482" w:firstLineChars="200"/>
        <w:rPr>
          <w:rFonts w:hint="eastAsia" w:ascii="宋体" w:hAnsi="宋体" w:cs="宋体"/>
          <w:b/>
          <w:bCs/>
          <w:sz w:val="24"/>
          <w:szCs w:val="24"/>
          <w:lang w:val="en-US" w:eastAsia="zh-CN"/>
        </w:rPr>
      </w:pPr>
      <w:r>
        <w:rPr>
          <w:rFonts w:hint="eastAsia" w:ascii="宋体" w:hAnsi="宋体" w:cs="宋体"/>
          <w:b/>
          <w:bCs/>
          <w:sz w:val="24"/>
          <w:szCs w:val="24"/>
          <w:lang w:val="en-US" w:eastAsia="zh-CN"/>
        </w:rPr>
        <w:t>5、磋商内容的合格性和合法性</w:t>
      </w:r>
    </w:p>
    <w:p w14:paraId="3E654AD6">
      <w:pPr>
        <w:tabs>
          <w:tab w:val="left" w:pos="720"/>
        </w:tabs>
        <w:spacing w:line="360" w:lineRule="auto"/>
        <w:ind w:left="479" w:leftChars="228"/>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.1磋商内容应满足竞争性磋商文件的要求并应符合国家法律法规、行业管理部门要求的其他强制性标准。</w:t>
      </w:r>
    </w:p>
    <w:p w14:paraId="0F9313A6">
      <w:pPr>
        <w:spacing w:before="100" w:after="100" w:line="360" w:lineRule="auto"/>
        <w:ind w:firstLine="482" w:firstLineChars="200"/>
        <w:rPr>
          <w:rFonts w:hint="eastAsia" w:ascii="宋体" w:hAnsi="宋体" w:cs="宋体"/>
          <w:b/>
          <w:bCs/>
          <w:sz w:val="24"/>
          <w:szCs w:val="24"/>
          <w:lang w:val="en-US" w:eastAsia="zh-CN"/>
        </w:rPr>
      </w:pPr>
      <w:r>
        <w:rPr>
          <w:rFonts w:hint="eastAsia" w:ascii="宋体" w:hAnsi="宋体" w:cs="宋体"/>
          <w:b/>
          <w:bCs/>
          <w:sz w:val="24"/>
          <w:szCs w:val="24"/>
          <w:lang w:val="en-US" w:eastAsia="zh-CN"/>
        </w:rPr>
        <w:t>6、竞争性磋商响应文件内容的真实性</w:t>
      </w:r>
    </w:p>
    <w:p w14:paraId="090F9F93">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6.1供应商应保证其竞争性磋商响应文件中所提供的所有磋商资料、信息是真实的，并且来源于合法的渠道。因竞争性磋商响应文件中所提供的磋商资料、信息不真实或者其来源不合法而导致的所有法律责任，由供应商自行承担。</w:t>
      </w:r>
    </w:p>
    <w:p w14:paraId="0FEDA65B">
      <w:pPr>
        <w:spacing w:before="100" w:after="100" w:line="360" w:lineRule="auto"/>
        <w:ind w:firstLine="482" w:firstLineChars="200"/>
        <w:rPr>
          <w:rFonts w:hint="eastAsia" w:ascii="宋体" w:hAnsi="宋体" w:cs="宋体"/>
          <w:b/>
          <w:bCs/>
          <w:sz w:val="24"/>
          <w:szCs w:val="24"/>
          <w:lang w:val="en-US" w:eastAsia="zh-CN"/>
        </w:rPr>
      </w:pPr>
      <w:r>
        <w:rPr>
          <w:rFonts w:hint="eastAsia" w:ascii="宋体" w:hAnsi="宋体" w:cs="宋体"/>
          <w:b/>
          <w:bCs/>
          <w:sz w:val="24"/>
          <w:szCs w:val="24"/>
          <w:lang w:val="en-US" w:eastAsia="zh-CN"/>
        </w:rPr>
        <w:t>7、磋商过程的监督和管理</w:t>
      </w:r>
    </w:p>
    <w:p w14:paraId="5EFA395F">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7.1同级人民政府财政部门及有关部门依法履行对竞争性磋商过程的监督管理职责。</w:t>
      </w:r>
    </w:p>
    <w:p w14:paraId="7AA50CBA">
      <w:pPr>
        <w:spacing w:before="100" w:after="100" w:line="360" w:lineRule="auto"/>
        <w:ind w:firstLine="482" w:firstLineChars="200"/>
        <w:rPr>
          <w:rFonts w:hint="eastAsia" w:ascii="宋体" w:hAnsi="宋体" w:cs="宋体"/>
          <w:b/>
          <w:bCs/>
          <w:sz w:val="24"/>
          <w:szCs w:val="24"/>
          <w:lang w:val="en-US" w:eastAsia="zh-CN"/>
        </w:rPr>
      </w:pPr>
      <w:r>
        <w:rPr>
          <w:rFonts w:hint="eastAsia" w:ascii="宋体" w:hAnsi="宋体" w:cs="宋体"/>
          <w:b/>
          <w:bCs/>
          <w:sz w:val="24"/>
          <w:szCs w:val="24"/>
          <w:lang w:val="en-US" w:eastAsia="zh-CN"/>
        </w:rPr>
        <w:t>8、保密</w:t>
      </w:r>
      <w:bookmarkEnd w:id="17"/>
      <w:bookmarkEnd w:id="18"/>
      <w:bookmarkEnd w:id="19"/>
      <w:bookmarkEnd w:id="20"/>
    </w:p>
    <w:p w14:paraId="39347D22">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8.1参与招标活动的各方应对竞争性磋商文件和竞争性磋商响应文件中的商业和技术等秘密保密，违者应对由此造成的后果承担法律责任。 </w:t>
      </w:r>
    </w:p>
    <w:p w14:paraId="1359BB1A">
      <w:pPr>
        <w:keepNext w:val="0"/>
        <w:keepLines w:val="0"/>
        <w:pageBreakBefore w:val="0"/>
        <w:widowControl w:val="0"/>
        <w:tabs>
          <w:tab w:val="left" w:pos="720"/>
        </w:tabs>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sz w:val="36"/>
        </w:rPr>
      </w:pPr>
      <w:bookmarkStart w:id="37" w:name="_Toc29929"/>
      <w:bookmarkStart w:id="38" w:name="_Toc513557028"/>
      <w:bookmarkStart w:id="39" w:name="_Toc13815"/>
      <w:bookmarkStart w:id="40" w:name="_Toc1428"/>
      <w:bookmarkStart w:id="41" w:name="_Toc16996"/>
      <w:r>
        <w:rPr>
          <w:rFonts w:hint="eastAsia" w:ascii="宋体" w:hAnsi="宋体" w:eastAsia="宋体" w:cs="宋体"/>
          <w:b/>
          <w:bCs w:val="0"/>
          <w:sz w:val="36"/>
          <w:lang w:val="en-US" w:eastAsia="zh-CN"/>
        </w:rPr>
        <w:t xml:space="preserve">B </w:t>
      </w:r>
      <w:r>
        <w:rPr>
          <w:rFonts w:hint="eastAsia" w:ascii="宋体" w:hAnsi="宋体" w:eastAsia="宋体" w:cs="宋体"/>
          <w:b/>
          <w:bCs w:val="0"/>
          <w:sz w:val="36"/>
        </w:rPr>
        <w:t>竞争性磋商文件</w:t>
      </w:r>
      <w:bookmarkEnd w:id="37"/>
      <w:bookmarkEnd w:id="38"/>
      <w:bookmarkEnd w:id="39"/>
      <w:bookmarkEnd w:id="40"/>
      <w:bookmarkEnd w:id="41"/>
    </w:p>
    <w:p w14:paraId="17D1587E">
      <w:pPr>
        <w:spacing w:before="100" w:after="100" w:line="360" w:lineRule="auto"/>
        <w:ind w:firstLine="482" w:firstLineChars="200"/>
        <w:rPr>
          <w:rFonts w:hint="eastAsia" w:ascii="宋体" w:hAnsi="宋体" w:cs="宋体"/>
          <w:b/>
          <w:bCs/>
          <w:sz w:val="24"/>
          <w:szCs w:val="24"/>
          <w:lang w:val="en-US" w:eastAsia="zh-CN"/>
        </w:rPr>
      </w:pPr>
      <w:bookmarkStart w:id="42" w:name="_Toc152045543"/>
      <w:bookmarkStart w:id="43" w:name="_Toc152042319"/>
      <w:bookmarkStart w:id="44" w:name="_Toc144974511"/>
      <w:bookmarkStart w:id="45" w:name="_Toc179632561"/>
      <w:r>
        <w:rPr>
          <w:rFonts w:hint="eastAsia" w:ascii="宋体" w:hAnsi="宋体" w:cs="宋体"/>
          <w:b/>
          <w:bCs/>
          <w:sz w:val="24"/>
          <w:szCs w:val="24"/>
          <w:lang w:val="en-US" w:eastAsia="zh-CN"/>
        </w:rPr>
        <w:t>9、 竞争性磋商文件的组成</w:t>
      </w:r>
      <w:bookmarkEnd w:id="42"/>
      <w:bookmarkEnd w:id="43"/>
      <w:bookmarkEnd w:id="44"/>
      <w:bookmarkEnd w:id="45"/>
    </w:p>
    <w:p w14:paraId="43925482">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9.1竞争性磋商文件包括以下内容：</w:t>
      </w:r>
    </w:p>
    <w:p w14:paraId="755E0CC2">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（1）竞争性磋商公告；</w:t>
      </w:r>
    </w:p>
    <w:p w14:paraId="56607551">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（2）供应商须知前附表</w:t>
      </w:r>
    </w:p>
    <w:p w14:paraId="62D05F90">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（3）供应商须知；</w:t>
      </w:r>
    </w:p>
    <w:p w14:paraId="58736C17">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（4）评审办法；</w:t>
      </w:r>
    </w:p>
    <w:p w14:paraId="43497754">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（5）合同条款及合同文件格式；</w:t>
      </w:r>
    </w:p>
    <w:p w14:paraId="12D332D6">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（6）采购内容及要求； </w:t>
      </w:r>
    </w:p>
    <w:p w14:paraId="071770E8">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（7）竞争性磋商响应文件格式。</w:t>
      </w:r>
    </w:p>
    <w:p w14:paraId="643F779A">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9.2 除9.1内容外，采购代理机构以书面形式发出的对竞争性磋商文件的澄清或修改内容，均为竞争性磋商文件的组成部分，对采购代理机构和供应商起约束作用。</w:t>
      </w:r>
    </w:p>
    <w:p w14:paraId="7BA81526">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9.3 供应商获取竞争性磋商文件后，应仔细检查竞争性磋商文件的所有内容，如有残缺等问题应在获得竞争性磋商文件2日内向采购代理机构提出，否则，由此引起的损失由供应商自己承担。供应商同时应认真审阅竞争性磋商文件中所有的事项、格式、条款和规范要求等，若供应商的竞争性磋商响应文件没有按竞争性磋商文件要求提交全部资料，或竞争性磋商响应文件没有对竞争性磋商文件做出实质性响应，该竞争性磋商响应文件按无效文件处理。</w:t>
      </w:r>
    </w:p>
    <w:p w14:paraId="51BC99C7">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9.4采购项目需要落实的政府采购政策：依据《中华人民共和国政府采购法》和《中华人民共和国政府采购实施条例》的有关规定，落实政府采购政策。 </w:t>
      </w:r>
    </w:p>
    <w:p w14:paraId="5ED9ADF9">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（1）《政府采购促进中小企业发展暂行办法》； </w:t>
      </w:r>
    </w:p>
    <w:p w14:paraId="4F8552F5">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（2）《财政部 司法部关于政府采购支持监狱企业发展有关问题的通知》； </w:t>
      </w:r>
    </w:p>
    <w:p w14:paraId="167AB1A7">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（3）《国务院办公厅关于建立政府强制采购节能产品制度的通知》； </w:t>
      </w:r>
    </w:p>
    <w:p w14:paraId="3C5DBDAD">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（4）《环境标志产品政府采购实施的意见》。 </w:t>
      </w:r>
    </w:p>
    <w:p w14:paraId="2D48B84D">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9.5评标的处理依据</w:t>
      </w:r>
    </w:p>
    <w:p w14:paraId="5FD05CD1">
      <w:pPr>
        <w:tabs>
          <w:tab w:val="left" w:pos="720"/>
        </w:tabs>
        <w:spacing w:line="360" w:lineRule="auto"/>
        <w:ind w:left="479" w:leftChars="22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根据《中华人民共和国政府采购法》和《政府采购货物和服务招标投标管理办法》的条款，本着公开、公平、公正的原则进行处理。</w:t>
      </w:r>
    </w:p>
    <w:p w14:paraId="78B74F33">
      <w:pPr>
        <w:spacing w:before="100" w:after="100" w:line="360" w:lineRule="auto"/>
        <w:ind w:firstLine="482" w:firstLineChars="200"/>
        <w:rPr>
          <w:rFonts w:hint="eastAsia" w:ascii="宋体" w:hAnsi="宋体" w:cs="宋体"/>
          <w:b/>
          <w:bCs/>
          <w:sz w:val="24"/>
          <w:szCs w:val="24"/>
          <w:lang w:val="en-US" w:eastAsia="zh-CN"/>
        </w:rPr>
      </w:pPr>
      <w:bookmarkStart w:id="46" w:name="_Toc144974512"/>
      <w:bookmarkStart w:id="47" w:name="_Toc152042320"/>
      <w:bookmarkStart w:id="48" w:name="_Toc179632562"/>
      <w:bookmarkStart w:id="49" w:name="_Toc152045544"/>
      <w:r>
        <w:rPr>
          <w:rFonts w:hint="eastAsia" w:ascii="宋体" w:hAnsi="宋体" w:cs="宋体"/>
          <w:b/>
          <w:bCs/>
          <w:sz w:val="24"/>
          <w:szCs w:val="24"/>
          <w:lang w:val="en-US" w:eastAsia="zh-CN"/>
        </w:rPr>
        <w:t>10、竞争性磋商文件的澄清</w:t>
      </w:r>
      <w:bookmarkEnd w:id="46"/>
      <w:bookmarkEnd w:id="47"/>
      <w:bookmarkEnd w:id="48"/>
      <w:bookmarkEnd w:id="49"/>
    </w:p>
    <w:p w14:paraId="7DAC7115">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10.1供应商若对竞争性磋商文件有任何疑问，应于磋商截止时间2日前以书面形式向采购代理机构提出澄清要求。无论是采购代理机构根据需要主动对竞争性磋商文件进行必要的澄清，或是根据供应商的要求对竞争性磋商文件做出澄清，采购代理机构都将以书面形式予以澄清，但不指明澄清问题的来源。同时将书面澄清文件向所有供应商发送。供应商在收到该澄清文件后应于1日内，以书面形式给予确认，该答复作为竞争性磋商文件的组成部分，具有约束作用。</w:t>
      </w:r>
    </w:p>
    <w:p w14:paraId="781271A5">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10.2 供应商应收到澄清和修改后并以书面形式给予确认的竞争性磋商文件，未按澄清和修改后的竞争性磋商文件编制的竞争性磋商响应文件将被磋商小组否决。</w:t>
      </w:r>
    </w:p>
    <w:p w14:paraId="1998D2B5">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10.3各供应商在提交响应文件截止时间之前，应随时关注下列地址发布的变更公告，也可登录全国公共资源交易平台（陕西省）政府采购交易系统查看左上角的信息提醒，采购代理机构不再单独通知，因供应商未及时关注所造成的一切后果由供应商自行承担：</w:t>
      </w:r>
    </w:p>
    <w:p w14:paraId="4B858382">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"http://www.ccgp-shaanxi.gov.cn"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陕西省政府采购网</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（www.ccgp-shaanxi.gov.cn）】中的〖首页·〉省级公告·〉更正公告〗；</w:t>
      </w:r>
    </w:p>
    <w:p w14:paraId="5F735278">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（2）【全国公共资源交易平台（陕西省）（http://www.sxggzyjy.cn/）】中的〖首页·〉交易大厅·〉政府采购〗。</w:t>
      </w:r>
    </w:p>
    <w:p w14:paraId="75D70720">
      <w:pPr>
        <w:spacing w:before="100" w:after="100" w:line="360" w:lineRule="auto"/>
        <w:ind w:firstLine="482" w:firstLineChars="200"/>
        <w:rPr>
          <w:rFonts w:hint="eastAsia" w:ascii="宋体" w:hAnsi="宋体" w:cs="宋体"/>
          <w:b/>
          <w:bCs/>
          <w:sz w:val="24"/>
          <w:szCs w:val="24"/>
          <w:lang w:val="en-US" w:eastAsia="zh-CN"/>
        </w:rPr>
      </w:pPr>
      <w:bookmarkStart w:id="50" w:name="_Toc179632563"/>
      <w:bookmarkStart w:id="51" w:name="_Toc152042321"/>
      <w:bookmarkStart w:id="52" w:name="_Toc152045545"/>
      <w:bookmarkStart w:id="53" w:name="_Toc144974513"/>
      <w:r>
        <w:rPr>
          <w:rFonts w:hint="eastAsia" w:ascii="宋体" w:hAnsi="宋体" w:cs="宋体"/>
          <w:b/>
          <w:bCs/>
          <w:sz w:val="24"/>
          <w:szCs w:val="24"/>
          <w:lang w:val="en-US" w:eastAsia="zh-CN"/>
        </w:rPr>
        <w:t>11、竞争性磋商文件的修改</w:t>
      </w:r>
      <w:bookmarkEnd w:id="50"/>
      <w:bookmarkEnd w:id="51"/>
      <w:bookmarkEnd w:id="52"/>
      <w:bookmarkEnd w:id="53"/>
    </w:p>
    <w:p w14:paraId="260B4C84">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11.1在磋商截止时间3日前，采购人可以修改竞争性磋商文件，并向供应商发布。如果修改竞争性磋商文件的时间距磋商截止时间不足3日时，采购人将酌情延长磋商截止时间。 </w:t>
      </w:r>
    </w:p>
    <w:p w14:paraId="6F057A27">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11.2供应商应及时登录陕西省政府采购网查看本项目的招标变更信息，否则引起的一切后果由供应商自负。</w:t>
      </w:r>
    </w:p>
    <w:p w14:paraId="0258FED4">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11.3竞争性磋商文件、竞争性磋商文件澄清、竞争性磋商文件修改（补充）文件等内容均以书面发出的为准。当竞争性磋商文件、竞争性磋商文件澄清、竞争性磋商文件修改（补充）文件在同一内容的表述上不一致时，以最后发出的书面文件为准。</w:t>
      </w:r>
    </w:p>
    <w:p w14:paraId="52AD5C38">
      <w:pPr>
        <w:spacing w:before="100" w:after="100" w:line="360" w:lineRule="auto"/>
        <w:ind w:firstLine="482" w:firstLineChars="200"/>
        <w:jc w:val="center"/>
        <w:rPr>
          <w:rFonts w:hint="eastAsia" w:ascii="宋体" w:hAnsi="宋体" w:cs="宋体"/>
          <w:b/>
          <w:bCs/>
          <w:sz w:val="24"/>
          <w:szCs w:val="24"/>
          <w:lang w:val="en-US" w:eastAsia="zh-CN"/>
        </w:rPr>
      </w:pPr>
      <w:bookmarkStart w:id="54" w:name="_Toc510859894"/>
      <w:bookmarkStart w:id="55" w:name="_Toc510859688"/>
      <w:bookmarkStart w:id="56" w:name="_Toc513557029"/>
      <w:bookmarkStart w:id="57" w:name="_Toc363119280"/>
      <w:bookmarkStart w:id="58" w:name="_Toc17851"/>
      <w:bookmarkStart w:id="59" w:name="_Toc30391"/>
      <w:bookmarkStart w:id="60" w:name="_Toc8470"/>
      <w:bookmarkStart w:id="61" w:name="_Toc8450"/>
      <w:r>
        <w:rPr>
          <w:rFonts w:hint="eastAsia" w:ascii="宋体" w:hAnsi="宋体" w:cs="宋体"/>
          <w:b/>
          <w:bCs/>
          <w:sz w:val="24"/>
          <w:szCs w:val="24"/>
          <w:lang w:val="en-US" w:eastAsia="zh-CN"/>
        </w:rPr>
        <w:t>C竞争性磋商响应文件</w:t>
      </w:r>
      <w:bookmarkEnd w:id="54"/>
      <w:bookmarkEnd w:id="55"/>
      <w:bookmarkEnd w:id="56"/>
      <w:bookmarkEnd w:id="57"/>
      <w:bookmarkEnd w:id="58"/>
      <w:r>
        <w:rPr>
          <w:rFonts w:hint="eastAsia" w:ascii="宋体" w:hAnsi="宋体" w:cs="宋体"/>
          <w:b/>
          <w:bCs/>
          <w:sz w:val="24"/>
          <w:szCs w:val="24"/>
          <w:lang w:val="en-US" w:eastAsia="zh-CN"/>
        </w:rPr>
        <w:t>的编制</w:t>
      </w:r>
      <w:bookmarkEnd w:id="59"/>
      <w:bookmarkEnd w:id="60"/>
      <w:bookmarkEnd w:id="61"/>
    </w:p>
    <w:p w14:paraId="02D03CDF">
      <w:pPr>
        <w:spacing w:before="100" w:after="100" w:line="360" w:lineRule="auto"/>
        <w:ind w:firstLine="482" w:firstLineChars="200"/>
        <w:jc w:val="both"/>
        <w:rPr>
          <w:rFonts w:hint="eastAsia" w:ascii="宋体" w:hAnsi="宋体" w:cs="宋体"/>
          <w:b/>
          <w:bCs/>
          <w:sz w:val="24"/>
          <w:szCs w:val="24"/>
          <w:lang w:val="en-US" w:eastAsia="zh-CN"/>
        </w:rPr>
      </w:pPr>
      <w:bookmarkStart w:id="62" w:name="_Toc179632565"/>
      <w:bookmarkStart w:id="63" w:name="_Toc152045547"/>
      <w:bookmarkStart w:id="64" w:name="_Toc144974515"/>
      <w:bookmarkStart w:id="65" w:name="_Toc152042323"/>
      <w:r>
        <w:rPr>
          <w:rFonts w:hint="eastAsia" w:ascii="宋体" w:hAnsi="宋体" w:cs="宋体"/>
          <w:b/>
          <w:bCs/>
          <w:sz w:val="24"/>
          <w:szCs w:val="24"/>
          <w:lang w:val="en-US" w:eastAsia="zh-CN"/>
        </w:rPr>
        <w:t>12、磋商语言和磋商货币</w:t>
      </w:r>
    </w:p>
    <w:p w14:paraId="004F8581">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12.1供应商提交的竞争性磋商响应文件以及供应商与采购代理机构就有关磋商的所有来往函电均应使用中文。</w:t>
      </w:r>
    </w:p>
    <w:p w14:paraId="5D5B973F">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12.2磋商应以人民币报价。任何包含非人民币报价的磋商将按无效磋商处理。</w:t>
      </w:r>
    </w:p>
    <w:p w14:paraId="4A842C9C">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13、竞争性磋商响应文件的组成</w:t>
      </w:r>
      <w:bookmarkEnd w:id="62"/>
      <w:bookmarkEnd w:id="63"/>
      <w:bookmarkEnd w:id="64"/>
      <w:bookmarkEnd w:id="65"/>
    </w:p>
    <w:p w14:paraId="75603C1A">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bookmarkStart w:id="66" w:name="_Toc179632568"/>
      <w:bookmarkStart w:id="67" w:name="_Toc144974518"/>
      <w:bookmarkStart w:id="68" w:name="_Toc152042326"/>
      <w:bookmarkStart w:id="69" w:name="_Toc152045550"/>
      <w:r>
        <w:rPr>
          <w:rFonts w:hint="eastAsia" w:ascii="宋体" w:hAnsi="宋体" w:eastAsia="宋体" w:cs="宋体"/>
          <w:sz w:val="24"/>
          <w:szCs w:val="24"/>
          <w:lang w:val="en-US" w:eastAsia="zh-CN"/>
        </w:rPr>
        <w:t>13.1供应商编写的竞争性磋商响应文件应包括以下内容：</w:t>
      </w:r>
    </w:p>
    <w:p w14:paraId="79AE1C3E">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13.1.1附件1—磋商响应函（格式）；</w:t>
      </w:r>
    </w:p>
    <w:p w14:paraId="5154FAB6">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13.1.2附件2—磋商报价一览表（格式）；</w:t>
      </w:r>
    </w:p>
    <w:p w14:paraId="63547F7B">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13.1.3附件所有内容。具体见竞争性磋商响应文件格式；</w:t>
      </w:r>
    </w:p>
    <w:p w14:paraId="7622A0D5">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13.2 供应商的所有资格证明文件均应当为合法、有效文件，否则将被视为该文件未递交。</w:t>
      </w:r>
    </w:p>
    <w:p w14:paraId="1F23107E">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13.3 上述文件应当按照竞争性磋商文件规定的格式填写、签署和盖章。</w:t>
      </w:r>
    </w:p>
    <w:p w14:paraId="3693FCAE">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14、竞争性磋商响应文件格式</w:t>
      </w:r>
    </w:p>
    <w:p w14:paraId="6C6EE65B">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14.1 </w:t>
      </w:r>
      <w:r>
        <w:rPr>
          <w:rFonts w:hint="eastAsia" w:ascii="宋体" w:hAnsi="宋体" w:eastAsia="宋体" w:cs="宋体"/>
          <w:sz w:val="24"/>
        </w:rPr>
        <w:t>供应商应按</w:t>
      </w:r>
      <w:r>
        <w:rPr>
          <w:rFonts w:hint="eastAsia" w:ascii="宋体" w:hAnsi="宋体" w:eastAsia="宋体" w:cs="宋体"/>
          <w:bCs/>
          <w:sz w:val="24"/>
        </w:rPr>
        <w:t>竞争性</w:t>
      </w:r>
      <w:r>
        <w:rPr>
          <w:rFonts w:hint="eastAsia" w:ascii="宋体" w:hAnsi="宋体" w:eastAsia="宋体" w:cs="宋体"/>
          <w:bCs/>
          <w:sz w:val="24"/>
          <w:lang w:val="en-US" w:eastAsia="zh-CN"/>
        </w:rPr>
        <w:t>磋商</w:t>
      </w:r>
      <w:r>
        <w:rPr>
          <w:rFonts w:hint="eastAsia" w:ascii="宋体" w:hAnsi="宋体" w:eastAsia="宋体" w:cs="宋体"/>
          <w:bCs/>
          <w:sz w:val="24"/>
        </w:rPr>
        <w:t>文件</w:t>
      </w:r>
      <w:r>
        <w:rPr>
          <w:rFonts w:hint="eastAsia" w:ascii="宋体" w:hAnsi="宋体" w:eastAsia="宋体" w:cs="宋体"/>
          <w:sz w:val="24"/>
        </w:rPr>
        <w:t>中提供的</w:t>
      </w:r>
      <w:r>
        <w:rPr>
          <w:rFonts w:hint="eastAsia" w:ascii="宋体" w:hAnsi="宋体" w:eastAsia="宋体" w:cs="宋体"/>
          <w:bCs/>
          <w:sz w:val="24"/>
          <w:lang w:eastAsia="zh-CN"/>
        </w:rPr>
        <w:t>竞争性磋商</w:t>
      </w:r>
      <w:r>
        <w:rPr>
          <w:rFonts w:hint="eastAsia" w:ascii="宋体" w:hAnsi="宋体" w:eastAsia="宋体" w:cs="宋体"/>
          <w:bCs/>
          <w:sz w:val="24"/>
        </w:rPr>
        <w:t>响应文件格式</w:t>
      </w:r>
      <w:r>
        <w:rPr>
          <w:rFonts w:hint="eastAsia" w:ascii="宋体" w:hAnsi="宋体" w:eastAsia="宋体" w:cs="宋体"/>
          <w:sz w:val="24"/>
        </w:rPr>
        <w:t>填写“</w:t>
      </w:r>
      <w:r>
        <w:rPr>
          <w:rFonts w:hint="eastAsia" w:ascii="宋体" w:hAnsi="宋体" w:eastAsia="宋体" w:cs="宋体"/>
          <w:bCs/>
          <w:sz w:val="24"/>
        </w:rPr>
        <w:t>竞争性</w:t>
      </w:r>
      <w:r>
        <w:rPr>
          <w:rFonts w:hint="eastAsia" w:ascii="宋体" w:hAnsi="宋体" w:eastAsia="宋体" w:cs="宋体"/>
          <w:bCs/>
          <w:sz w:val="24"/>
          <w:lang w:val="en-US" w:eastAsia="zh-CN"/>
        </w:rPr>
        <w:t>磋商</w:t>
      </w:r>
      <w:r>
        <w:rPr>
          <w:rFonts w:hint="eastAsia" w:ascii="宋体" w:hAnsi="宋体" w:eastAsia="宋体" w:cs="宋体"/>
          <w:bCs/>
          <w:sz w:val="24"/>
        </w:rPr>
        <w:t>函</w:t>
      </w:r>
      <w:r>
        <w:rPr>
          <w:rFonts w:hint="eastAsia" w:ascii="宋体" w:hAnsi="宋体" w:eastAsia="宋体" w:cs="宋体"/>
          <w:sz w:val="24"/>
        </w:rPr>
        <w:t>”、“</w:t>
      </w:r>
      <w:r>
        <w:rPr>
          <w:rFonts w:hint="eastAsia" w:ascii="宋体" w:hAnsi="宋体" w:eastAsia="宋体" w:cs="宋体"/>
          <w:bCs/>
          <w:sz w:val="24"/>
          <w:lang w:val="en-US" w:eastAsia="zh-CN"/>
        </w:rPr>
        <w:t>磋商</w:t>
      </w:r>
      <w:r>
        <w:rPr>
          <w:rFonts w:hint="eastAsia" w:ascii="宋体" w:hAnsi="宋体" w:eastAsia="宋体" w:cs="宋体"/>
          <w:bCs/>
          <w:sz w:val="24"/>
        </w:rPr>
        <w:t>报价表</w:t>
      </w:r>
      <w:r>
        <w:rPr>
          <w:rFonts w:hint="eastAsia" w:ascii="宋体" w:hAnsi="宋体" w:eastAsia="宋体" w:cs="宋体"/>
          <w:sz w:val="24"/>
        </w:rPr>
        <w:t>”、“分项报价表”、“货物简要说明一览表”以及其他相关文件，注明提供的货物名称、货物简介、品牌型号、原产地、数量和价格等。</w:t>
      </w:r>
    </w:p>
    <w:p w14:paraId="4EA57EBD">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15、磋商报价</w:t>
      </w:r>
    </w:p>
    <w:p w14:paraId="4E174D5D">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15.1 所有磋商均以人民币报价。</w:t>
      </w:r>
    </w:p>
    <w:p w14:paraId="44DE97A1">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15.2供应商依据竞争性磋商文件提供的货物及服务要求等资料并自行考虑风险因素计算磋商报价，一旦成交，磋商报价将不会因国家政策调整及市场变化因素而得到调整。</w:t>
      </w:r>
    </w:p>
    <w:p w14:paraId="3B2C5BF9">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15.3 供应商应对所列的所有货物、服务进行响应，不得将采购内容拆开磋商。</w:t>
      </w:r>
    </w:p>
    <w:p w14:paraId="52284F83">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15.4采购人只接受供应商提供的唯一磋商响应方案，不接受备选方案。</w:t>
      </w:r>
    </w:p>
    <w:p w14:paraId="783B5E93">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15.5 凡因供应商对竞争性磋商文件阅读不深、理解不透、误解、疏漏、或因市场行情了解不清造成的后果和风险均由各供应商自负。</w:t>
      </w:r>
    </w:p>
    <w:p w14:paraId="4A122B6B">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16、磋商有效期</w:t>
      </w:r>
    </w:p>
    <w:p w14:paraId="0C73BECB">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16.1 本项目磋商有效期为磋商截止时间届满后 90 天（磋商有效期从提交响应文 件的截止之日起算。</w:t>
      </w:r>
    </w:p>
    <w:p w14:paraId="3E4BBE86">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16.2 在特殊情况下，采购人在原定磋商有效期内，可以根据需要以书面形式向供应商提出延长磋商有效期的要求，对此要求供应商须在2日内以书面形式予以答复。</w:t>
      </w:r>
    </w:p>
    <w:p w14:paraId="5624E8F5">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17、磋商保证金</w:t>
      </w:r>
      <w:bookmarkEnd w:id="66"/>
      <w:bookmarkEnd w:id="67"/>
      <w:bookmarkEnd w:id="68"/>
      <w:bookmarkEnd w:id="69"/>
    </w:p>
    <w:p w14:paraId="4751E1AD">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bookmarkStart w:id="70" w:name="_Toc144974521"/>
      <w:bookmarkStart w:id="71" w:name="_Toc152042329"/>
      <w:bookmarkStart w:id="72" w:name="_Toc152045553"/>
      <w:bookmarkStart w:id="73" w:name="_Toc179632571"/>
      <w:r>
        <w:rPr>
          <w:rFonts w:hint="eastAsia" w:ascii="宋体" w:hAnsi="宋体" w:eastAsia="宋体" w:cs="宋体"/>
          <w:sz w:val="24"/>
          <w:szCs w:val="24"/>
          <w:lang w:val="en-US" w:eastAsia="zh-CN"/>
        </w:rPr>
        <w:t>17.1投标人投标时，必须按照磋商文件要求提交投标信用承诺书，并作为其投标的一部分。</w:t>
      </w:r>
    </w:p>
    <w:p w14:paraId="70D2C56F">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18、 备选磋商方案</w:t>
      </w:r>
      <w:bookmarkEnd w:id="70"/>
      <w:bookmarkEnd w:id="71"/>
      <w:bookmarkEnd w:id="72"/>
      <w:bookmarkEnd w:id="73"/>
    </w:p>
    <w:p w14:paraId="4A088905">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18.1除磋商须知前附表另有规定外，供应商不得递交备选磋商方案。</w:t>
      </w:r>
    </w:p>
    <w:p w14:paraId="6712FE0E">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19、竞争性磋商响应文件的份数和签署</w:t>
      </w:r>
    </w:p>
    <w:p w14:paraId="3A8063AB">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19.1 竞争性磋商响应文件应按本须知前附表规定的份数提交竞争性磋商响应文件。</w:t>
      </w:r>
    </w:p>
    <w:p w14:paraId="2C8D8744">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19.2 竞争性磋商响应文件正本和所有副本均需用A4幅面纸张打印或用不褪色的蓝(黑)色墨水(汁)书写,并由供应商法定代表人或经法定代表人正式授权的代表签字。竞争性磋商响应文件若由授权代表签署，须按竞争性磋商文件规定的格式提供的“法定代表人授权委托书”原件附在竞争性磋商响应文件中。所有要求签字（名）处，均须由签字（名）者本人用不褪色的蓝(黑)色墨水(汁)书写，不得用任何形式的图章代替。竞争性磋商响应文件正本须逐页加盖供应商公章。所有竞争性磋商响应文件正本和副本须按规定的顺序编排、逐页标注连续页码，并统一装订（胶装）成册。正本和副本如有不一致之处，以正本为准，数字大写与小写不一致时，以大写为准。</w:t>
      </w:r>
    </w:p>
    <w:p w14:paraId="08D0829A">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19.3 除供应商对错处作必要修改外，竞争性磋商响应文件中不许有加行、涂抹或改写。若有修改须由授权代表或法定代表人在修改处签字。</w:t>
      </w:r>
    </w:p>
    <w:p w14:paraId="7FCB8AD8">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19.4供应商名称应填写全称，竞争性磋商响应文件正本必须逐页加盖供应商公章，竞争性磋商响应文件需加盖骑缝章。</w:t>
      </w:r>
    </w:p>
    <w:p w14:paraId="3EDD678C">
      <w:pPr>
        <w:keepNext w:val="0"/>
        <w:keepLines w:val="0"/>
        <w:pageBreakBefore w:val="0"/>
        <w:widowControl w:val="0"/>
        <w:tabs>
          <w:tab w:val="left" w:pos="720"/>
        </w:tabs>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lang w:val="en-US" w:eastAsia="zh-CN"/>
        </w:rPr>
      </w:pPr>
      <w:bookmarkStart w:id="74" w:name="_Toc14109"/>
      <w:bookmarkStart w:id="75" w:name="_Toc513557030"/>
      <w:bookmarkStart w:id="76" w:name="_Toc363119281"/>
      <w:bookmarkStart w:id="77" w:name="_Toc144974523"/>
      <w:bookmarkStart w:id="78" w:name="_Toc510859689"/>
      <w:bookmarkStart w:id="79" w:name="_Toc510859895"/>
      <w:bookmarkStart w:id="80" w:name="_Toc179632573"/>
      <w:bookmarkStart w:id="81" w:name="_Toc152045555"/>
      <w:bookmarkStart w:id="82" w:name="_Toc152042331"/>
      <w:bookmarkStart w:id="83" w:name="_Toc24637"/>
      <w:bookmarkStart w:id="84" w:name="_Toc4451"/>
      <w:bookmarkStart w:id="85" w:name="_Toc10897"/>
      <w:r>
        <w:rPr>
          <w:rFonts w:hint="eastAsia" w:ascii="宋体" w:hAnsi="宋体" w:eastAsia="宋体" w:cs="宋体"/>
          <w:b/>
          <w:bCs/>
          <w:sz w:val="24"/>
          <w:szCs w:val="24"/>
          <w:lang w:val="en-US" w:eastAsia="zh-CN"/>
        </w:rPr>
        <w:t xml:space="preserve">D </w:t>
      </w:r>
      <w:bookmarkEnd w:id="74"/>
      <w:bookmarkEnd w:id="75"/>
      <w:bookmarkEnd w:id="76"/>
      <w:bookmarkEnd w:id="77"/>
      <w:bookmarkEnd w:id="78"/>
      <w:bookmarkEnd w:id="79"/>
      <w:bookmarkEnd w:id="80"/>
      <w:bookmarkEnd w:id="81"/>
      <w:bookmarkEnd w:id="82"/>
      <w:r>
        <w:rPr>
          <w:rFonts w:hint="eastAsia" w:ascii="宋体" w:hAnsi="宋体" w:eastAsia="宋体" w:cs="宋体"/>
          <w:b/>
          <w:bCs/>
          <w:sz w:val="24"/>
          <w:szCs w:val="24"/>
          <w:lang w:val="en-US" w:eastAsia="zh-CN"/>
        </w:rPr>
        <w:t>竞争性磋商响应文件的提交</w:t>
      </w:r>
      <w:bookmarkEnd w:id="83"/>
      <w:bookmarkEnd w:id="84"/>
      <w:bookmarkEnd w:id="85"/>
    </w:p>
    <w:p w14:paraId="418C395C">
      <w:pPr>
        <w:spacing w:before="100" w:after="100" w:line="360" w:lineRule="auto"/>
        <w:ind w:firstLine="482" w:firstLineChars="200"/>
        <w:jc w:val="both"/>
        <w:rPr>
          <w:rFonts w:hint="eastAsia" w:ascii="宋体" w:hAnsi="宋体" w:cs="宋体"/>
          <w:b/>
          <w:bCs/>
          <w:sz w:val="24"/>
          <w:szCs w:val="24"/>
          <w:lang w:val="en-US" w:eastAsia="zh-CN"/>
        </w:rPr>
      </w:pPr>
      <w:bookmarkStart w:id="86" w:name="_Toc152042332"/>
      <w:bookmarkStart w:id="87" w:name="_Toc152045556"/>
      <w:bookmarkStart w:id="88" w:name="_Toc144974524"/>
      <w:bookmarkStart w:id="89" w:name="_Toc179632574"/>
      <w:r>
        <w:rPr>
          <w:rFonts w:hint="eastAsia" w:ascii="宋体" w:hAnsi="宋体" w:cs="宋体"/>
          <w:b/>
          <w:bCs/>
          <w:sz w:val="24"/>
          <w:szCs w:val="24"/>
          <w:lang w:val="en-US" w:eastAsia="zh-CN"/>
        </w:rPr>
        <w:t>20、竞争性磋商响应文件的数量、密封和标记</w:t>
      </w:r>
      <w:bookmarkEnd w:id="86"/>
      <w:bookmarkEnd w:id="87"/>
      <w:bookmarkEnd w:id="88"/>
      <w:bookmarkEnd w:id="89"/>
    </w:p>
    <w:p w14:paraId="3CBFBB1B">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20.1供应商应提交正本壹份、副本贰份、电子文件（word文件</w:t>
      </w:r>
      <w:r>
        <w:rPr>
          <w:rFonts w:hint="eastAsia" w:ascii="宋体" w:hAnsi="宋体" w:cs="宋体"/>
          <w:sz w:val="24"/>
          <w:szCs w:val="24"/>
          <w:lang w:val="en-US" w:eastAsia="zh-CN"/>
        </w:rPr>
        <w:t>，载体</w:t>
      </w:r>
      <w:r>
        <w:rPr>
          <w:rFonts w:hint="eastAsia" w:ascii="宋体" w:hAnsi="宋体" w:eastAsia="宋体" w:cs="宋体"/>
          <w:sz w:val="24"/>
          <w:szCs w:val="24"/>
          <w:lang w:val="en-US" w:eastAsia="zh-CN"/>
        </w:rPr>
        <w:t>U盘）壹份。</w:t>
      </w:r>
    </w:p>
    <w:p w14:paraId="714B4BE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kern w:val="2"/>
          <w:sz w:val="24"/>
          <w:szCs w:val="24"/>
          <w:lang w:val="en-US" w:eastAsia="zh-CN" w:bidi="ar-SA"/>
        </w:rPr>
      </w:pPr>
      <w:bookmarkStart w:id="90" w:name="_Toc152042334"/>
      <w:bookmarkStart w:id="91" w:name="_Toc179632576"/>
      <w:bookmarkStart w:id="92" w:name="_Toc152045558"/>
      <w:bookmarkStart w:id="93" w:name="_Toc144974526"/>
      <w:r>
        <w:rPr>
          <w:rFonts w:hint="eastAsia" w:ascii="宋体" w:hAnsi="宋体" w:eastAsia="宋体" w:cs="宋体"/>
          <w:b/>
          <w:bCs/>
          <w:kern w:val="2"/>
          <w:sz w:val="24"/>
          <w:szCs w:val="24"/>
          <w:lang w:val="en-US" w:eastAsia="zh-CN" w:bidi="ar-SA"/>
        </w:rPr>
        <w:t>21．竞争性磋商响应文件的递交</w:t>
      </w:r>
    </w:p>
    <w:p w14:paraId="4E8752F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21.1.1 供应商应将所有</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响应文件的正本和所有副本分别装订，每套“</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响应文件”封面的右上角应标明“正本”或“副本”。</w:t>
      </w:r>
    </w:p>
    <w:p w14:paraId="2369B0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21.2  供应商应将</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响应文件正本、副本、</w:t>
      </w:r>
      <w:r>
        <w:rPr>
          <w:rFonts w:hint="eastAsia" w:ascii="宋体" w:hAnsi="宋体" w:cs="宋体"/>
          <w:sz w:val="24"/>
          <w:szCs w:val="24"/>
          <w:lang w:val="en-US" w:eastAsia="zh-CN"/>
        </w:rPr>
        <w:t>电子版</w:t>
      </w:r>
      <w:r>
        <w:rPr>
          <w:rFonts w:hint="eastAsia" w:ascii="宋体" w:hAnsi="宋体" w:eastAsia="宋体" w:cs="宋体"/>
          <w:sz w:val="24"/>
          <w:szCs w:val="24"/>
        </w:rPr>
        <w:t>分别密封。</w:t>
      </w:r>
    </w:p>
    <w:p w14:paraId="38BF6F6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21.2.1</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响应文件正本、全部副本、全部电子版应分别用密封袋密封，并在正面标明项目编号、项目名称、供应商名称及“正本”、“副本”、电子版及在规定时间内不得开启等字样。</w:t>
      </w:r>
    </w:p>
    <w:p w14:paraId="55DFB33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21.2.2</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响应文件密封必须用封条在</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响应文件袋的开口处完全密封，并填写密封日期。封条上加盖供应商公章和法定代表人或其授权人签字或印鉴。</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响应文件袋正面按照规定加盖供应商公章，并在封线处加盖公章（骑缝章）。</w:t>
      </w:r>
    </w:p>
    <w:p w14:paraId="01EA55B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21.3  如果未按上述规定进行密封和标记的</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响应文件，视为无效</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w:t>
      </w:r>
    </w:p>
    <w:p w14:paraId="39416ED7">
      <w:pPr>
        <w:keepNext w:val="0"/>
        <w:keepLines w:val="0"/>
        <w:pageBreakBefore w:val="0"/>
        <w:widowControl w:val="0"/>
        <w:tabs>
          <w:tab w:val="left" w:pos="72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22．响应文件的补充、修改和撤回</w:t>
      </w:r>
    </w:p>
    <w:p w14:paraId="2D3E8146">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22.1、供应商在递交响应文件后，且在提交响应文件截止时间前，可以对所提交的响应文件进行补充、修改或撤回。</w:t>
      </w:r>
    </w:p>
    <w:p w14:paraId="06E7A773">
      <w:pPr>
        <w:keepNext w:val="0"/>
        <w:keepLines w:val="0"/>
        <w:pageBreakBefore w:val="0"/>
        <w:widowControl w:val="0"/>
        <w:tabs>
          <w:tab w:val="left" w:pos="72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响应文件提交截止时间后，供应商不得对其响应文件做任何修改。</w:t>
      </w:r>
    </w:p>
    <w:p w14:paraId="6AB4F5E6">
      <w:pPr>
        <w:keepNext w:val="0"/>
        <w:keepLines w:val="0"/>
        <w:pageBreakBefore w:val="0"/>
        <w:widowControl w:val="0"/>
        <w:tabs>
          <w:tab w:val="left" w:pos="72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23.供应商出现下列情况之一的，其响应文件视为无效文件：</w:t>
      </w:r>
    </w:p>
    <w:p w14:paraId="49672D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23.1逾期提交</w:t>
      </w:r>
      <w:r>
        <w:rPr>
          <w:rFonts w:hint="eastAsia" w:ascii="宋体" w:hAnsi="宋体" w:eastAsia="宋体" w:cs="宋体"/>
          <w:sz w:val="24"/>
          <w:szCs w:val="24"/>
          <w:lang w:eastAsia="zh-CN"/>
        </w:rPr>
        <w:t>竞争性磋商</w:t>
      </w:r>
      <w:r>
        <w:rPr>
          <w:rFonts w:hint="eastAsia" w:ascii="宋体" w:hAnsi="宋体" w:eastAsia="宋体" w:cs="宋体"/>
          <w:sz w:val="24"/>
          <w:szCs w:val="24"/>
          <w:lang w:val="en-US" w:eastAsia="zh-CN"/>
        </w:rPr>
        <w:t>响应文件；</w:t>
      </w:r>
    </w:p>
    <w:p w14:paraId="3B25F6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23.2提交的</w:t>
      </w:r>
      <w:r>
        <w:rPr>
          <w:rFonts w:hint="eastAsia" w:ascii="宋体" w:hAnsi="宋体" w:eastAsia="宋体" w:cs="宋体"/>
          <w:sz w:val="24"/>
          <w:szCs w:val="24"/>
          <w:lang w:eastAsia="zh-CN"/>
        </w:rPr>
        <w:t>竞争性磋商</w:t>
      </w:r>
      <w:r>
        <w:rPr>
          <w:rFonts w:hint="eastAsia" w:ascii="宋体" w:hAnsi="宋体" w:eastAsia="宋体" w:cs="宋体"/>
          <w:sz w:val="24"/>
          <w:szCs w:val="24"/>
          <w:lang w:val="en-US" w:eastAsia="zh-CN"/>
        </w:rPr>
        <w:t>文件与本项目不相符；</w:t>
      </w:r>
    </w:p>
    <w:p w14:paraId="75A912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23.3供应商拒绝对</w:t>
      </w:r>
      <w:r>
        <w:rPr>
          <w:rFonts w:hint="eastAsia" w:ascii="宋体" w:hAnsi="宋体" w:eastAsia="宋体" w:cs="宋体"/>
          <w:sz w:val="24"/>
          <w:szCs w:val="24"/>
          <w:lang w:eastAsia="zh-CN"/>
        </w:rPr>
        <w:t>竞争性磋商</w:t>
      </w:r>
      <w:r>
        <w:rPr>
          <w:rFonts w:hint="eastAsia" w:ascii="宋体" w:hAnsi="宋体" w:eastAsia="宋体" w:cs="宋体"/>
          <w:sz w:val="24"/>
          <w:szCs w:val="24"/>
          <w:lang w:val="en-US" w:eastAsia="zh-CN"/>
        </w:rPr>
        <w:t>文件进行</w:t>
      </w:r>
      <w:r>
        <w:rPr>
          <w:rFonts w:hint="eastAsia" w:ascii="宋体" w:hAnsi="宋体" w:cs="宋体"/>
          <w:sz w:val="24"/>
          <w:szCs w:val="24"/>
          <w:lang w:val="en-US" w:eastAsia="zh-CN"/>
        </w:rPr>
        <w:t>拆封</w:t>
      </w:r>
      <w:r>
        <w:rPr>
          <w:rFonts w:hint="eastAsia" w:ascii="宋体" w:hAnsi="宋体" w:eastAsia="宋体" w:cs="宋体"/>
          <w:sz w:val="24"/>
          <w:szCs w:val="24"/>
          <w:lang w:val="en-US" w:eastAsia="zh-CN"/>
        </w:rPr>
        <w:t>；</w:t>
      </w:r>
    </w:p>
    <w:bookmarkEnd w:id="90"/>
    <w:bookmarkEnd w:id="91"/>
    <w:bookmarkEnd w:id="92"/>
    <w:bookmarkEnd w:id="93"/>
    <w:p w14:paraId="38E78AE8">
      <w:pPr>
        <w:keepNext w:val="0"/>
        <w:keepLines w:val="0"/>
        <w:pageBreakBefore w:val="0"/>
        <w:widowControl w:val="0"/>
        <w:tabs>
          <w:tab w:val="left" w:pos="720"/>
        </w:tabs>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kern w:val="2"/>
          <w:sz w:val="36"/>
          <w:szCs w:val="32"/>
          <w:lang w:val="en-US" w:eastAsia="zh-CN" w:bidi="ar-SA"/>
        </w:rPr>
      </w:pPr>
      <w:bookmarkStart w:id="94" w:name="_Toc152045559"/>
      <w:bookmarkStart w:id="95" w:name="_Toc144974527"/>
      <w:bookmarkStart w:id="96" w:name="_Toc152042335"/>
      <w:bookmarkStart w:id="97" w:name="_Toc179632577"/>
      <w:bookmarkStart w:id="98" w:name="_Toc363119282"/>
      <w:bookmarkStart w:id="99" w:name="_Toc17633"/>
      <w:bookmarkStart w:id="100" w:name="_Toc513557031"/>
      <w:bookmarkStart w:id="101" w:name="_Toc510859690"/>
      <w:bookmarkStart w:id="102" w:name="_Toc510859896"/>
      <w:bookmarkStart w:id="103" w:name="_Toc23404"/>
      <w:bookmarkStart w:id="104" w:name="_Toc27216"/>
      <w:bookmarkStart w:id="105" w:name="_Toc13549"/>
      <w:r>
        <w:rPr>
          <w:rFonts w:hint="eastAsia" w:ascii="宋体" w:hAnsi="宋体" w:eastAsia="宋体" w:cs="宋体"/>
          <w:b/>
          <w:bCs w:val="0"/>
          <w:kern w:val="2"/>
          <w:sz w:val="36"/>
          <w:szCs w:val="32"/>
          <w:lang w:val="en-US" w:eastAsia="zh-CN" w:bidi="ar-SA"/>
        </w:rPr>
        <w:t>E 磋商</w:t>
      </w:r>
      <w:bookmarkEnd w:id="94"/>
      <w:bookmarkEnd w:id="95"/>
      <w:bookmarkEnd w:id="96"/>
      <w:bookmarkEnd w:id="97"/>
      <w:bookmarkEnd w:id="98"/>
      <w:bookmarkEnd w:id="99"/>
      <w:bookmarkEnd w:id="100"/>
      <w:bookmarkEnd w:id="101"/>
      <w:bookmarkEnd w:id="102"/>
      <w:r>
        <w:rPr>
          <w:rFonts w:hint="eastAsia" w:ascii="宋体" w:hAnsi="宋体" w:eastAsia="宋体" w:cs="宋体"/>
          <w:b/>
          <w:bCs w:val="0"/>
          <w:kern w:val="2"/>
          <w:sz w:val="36"/>
          <w:szCs w:val="32"/>
          <w:lang w:val="en-US" w:eastAsia="zh-CN" w:bidi="ar-SA"/>
        </w:rPr>
        <w:t>与评标</w:t>
      </w:r>
      <w:bookmarkEnd w:id="103"/>
      <w:bookmarkEnd w:id="104"/>
      <w:bookmarkEnd w:id="105"/>
    </w:p>
    <w:p w14:paraId="0344340A">
      <w:pPr>
        <w:keepNext w:val="0"/>
        <w:keepLines w:val="0"/>
        <w:pageBreakBefore w:val="0"/>
        <w:widowControl w:val="0"/>
        <w:tabs>
          <w:tab w:val="left" w:pos="72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bookmarkStart w:id="106" w:name="_Toc152042336"/>
      <w:bookmarkStart w:id="107" w:name="_Toc152045560"/>
      <w:bookmarkStart w:id="108" w:name="_Toc144974528"/>
      <w:bookmarkStart w:id="109" w:name="_Toc179632578"/>
      <w:r>
        <w:rPr>
          <w:rFonts w:hint="eastAsia" w:ascii="宋体" w:hAnsi="宋体" w:eastAsia="宋体" w:cs="宋体"/>
          <w:b/>
          <w:bCs/>
          <w:sz w:val="24"/>
          <w:szCs w:val="24"/>
          <w:lang w:val="en-US" w:eastAsia="zh-CN"/>
        </w:rPr>
        <w:t xml:space="preserve">24、 </w:t>
      </w:r>
      <w:bookmarkEnd w:id="106"/>
      <w:bookmarkEnd w:id="107"/>
      <w:bookmarkEnd w:id="108"/>
      <w:bookmarkEnd w:id="109"/>
      <w:r>
        <w:rPr>
          <w:rFonts w:hint="eastAsia" w:ascii="宋体" w:hAnsi="宋体" w:eastAsia="宋体" w:cs="宋体"/>
          <w:b/>
          <w:bCs/>
          <w:sz w:val="24"/>
          <w:szCs w:val="24"/>
          <w:lang w:val="en-US" w:eastAsia="zh-CN"/>
        </w:rPr>
        <w:t>竞争性磋商会议时间和地点</w:t>
      </w:r>
    </w:p>
    <w:p w14:paraId="30053E65">
      <w:pPr>
        <w:adjustRightInd w:val="0"/>
        <w:snapToGrid w:val="0"/>
        <w:spacing w:line="360" w:lineRule="auto"/>
        <w:ind w:firstLine="480" w:firstLineChars="200"/>
        <w:rPr>
          <w:rFonts w:hint="eastAsia" w:ascii="宋体" w:hAnsi="宋体" w:eastAsia="宋体" w:cs="宋体"/>
          <w:sz w:val="24"/>
          <w:szCs w:val="24"/>
        </w:rPr>
      </w:pPr>
      <w:bookmarkStart w:id="110" w:name="_Toc144974530"/>
      <w:bookmarkStart w:id="111" w:name="_Toc152045562"/>
      <w:bookmarkStart w:id="112" w:name="_Toc179632580"/>
      <w:bookmarkStart w:id="113" w:name="_Toc152042338"/>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.1采购代理机构按</w:t>
      </w:r>
      <w:r>
        <w:rPr>
          <w:rFonts w:hint="eastAsia" w:ascii="宋体" w:hAnsi="宋体" w:eastAsia="宋体" w:cs="宋体"/>
          <w:sz w:val="24"/>
          <w:lang w:eastAsia="zh-CN"/>
        </w:rPr>
        <w:t>竞争性磋商</w:t>
      </w:r>
      <w:r>
        <w:rPr>
          <w:rFonts w:hint="eastAsia" w:ascii="宋体" w:hAnsi="宋体" w:eastAsia="宋体" w:cs="宋体"/>
          <w:sz w:val="24"/>
        </w:rPr>
        <w:t>公告中</w:t>
      </w:r>
      <w:r>
        <w:rPr>
          <w:rFonts w:hint="eastAsia" w:ascii="宋体" w:hAnsi="宋体" w:eastAsia="宋体" w:cs="宋体"/>
          <w:sz w:val="24"/>
          <w:szCs w:val="24"/>
        </w:rPr>
        <w:t>规定的时间和地点组织</w:t>
      </w:r>
      <w:r>
        <w:rPr>
          <w:rFonts w:hint="eastAsia" w:ascii="宋体" w:hAnsi="宋体" w:eastAsia="宋体" w:cs="宋体"/>
          <w:sz w:val="24"/>
          <w:szCs w:val="24"/>
          <w:lang w:eastAsia="zh-CN"/>
        </w:rPr>
        <w:t>磋商</w:t>
      </w:r>
      <w:r>
        <w:rPr>
          <w:rFonts w:hint="eastAsia" w:ascii="宋体" w:hAnsi="宋体" w:eastAsia="宋体" w:cs="宋体"/>
          <w:sz w:val="24"/>
          <w:szCs w:val="24"/>
        </w:rPr>
        <w:t>。采购方和所有供应商按照招标公告要求参加。</w:t>
      </w:r>
      <w:r>
        <w:rPr>
          <w:rFonts w:hint="eastAsia" w:ascii="宋体" w:hAnsi="宋体" w:eastAsia="宋体" w:cs="宋体"/>
          <w:sz w:val="24"/>
          <w:szCs w:val="24"/>
          <w:lang w:eastAsia="zh-CN"/>
        </w:rPr>
        <w:t>磋商小组</w:t>
      </w:r>
      <w:r>
        <w:rPr>
          <w:rFonts w:hint="eastAsia" w:ascii="宋体" w:hAnsi="宋体" w:eastAsia="宋体" w:cs="宋体"/>
          <w:sz w:val="24"/>
          <w:szCs w:val="24"/>
        </w:rPr>
        <w:t>成员不得参加开标活动。</w:t>
      </w:r>
    </w:p>
    <w:p w14:paraId="3B98D2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.2所有参会人员应签名报到，以证明其出席。</w:t>
      </w:r>
    </w:p>
    <w:p w14:paraId="36E070C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.3 开标程序：</w:t>
      </w:r>
    </w:p>
    <w:p w14:paraId="757472F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.3.1 </w:t>
      </w:r>
      <w:r>
        <w:rPr>
          <w:rFonts w:hint="eastAsia" w:ascii="宋体" w:hAnsi="宋体" w:eastAsia="宋体" w:cs="宋体"/>
          <w:sz w:val="24"/>
          <w:szCs w:val="24"/>
          <w:lang w:eastAsia="zh-CN"/>
        </w:rPr>
        <w:t>磋商</w:t>
      </w:r>
      <w:r>
        <w:rPr>
          <w:rFonts w:hint="eastAsia" w:ascii="宋体" w:hAnsi="宋体" w:eastAsia="宋体" w:cs="宋体"/>
          <w:sz w:val="24"/>
          <w:szCs w:val="24"/>
        </w:rPr>
        <w:t>会议由采购代理机构主持，介绍出席会议的领导及相关人员；</w:t>
      </w:r>
    </w:p>
    <w:p w14:paraId="5AF1B27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.3.2 宣读会议纪律，所有参会人员签署拒绝商业贿赂承诺书；</w:t>
      </w:r>
    </w:p>
    <w:p w14:paraId="3000E72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.3.3 供应商的法人代表或授权代表与监标人当众共同检查</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响应文件的密封情况，签字确认并宣读检查结果。未通过审查的按无效投标文件处理，由供应商签字确认并领取本单位的响应文件（包含纸质及电子版）；</w:t>
      </w:r>
    </w:p>
    <w:p w14:paraId="2066C62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.3.4由采购代理机构工作人员依递交响应文件的摆放顺序当众拆封。</w:t>
      </w:r>
    </w:p>
    <w:p w14:paraId="2029E6F5">
      <w:pPr>
        <w:spacing w:line="360" w:lineRule="auto"/>
        <w:ind w:firstLine="480" w:firstLineChars="200"/>
        <w:rPr>
          <w:rFonts w:hint="eastAsia" w:ascii="宋体" w:hAnsi="宋体" w:eastAsia="宋体" w:cs="宋体"/>
          <w:sz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.3.5</w:t>
      </w:r>
      <w:r>
        <w:rPr>
          <w:rFonts w:hint="eastAsia" w:ascii="宋体" w:hAnsi="宋体" w:eastAsia="宋体" w:cs="宋体"/>
          <w:sz w:val="24"/>
        </w:rPr>
        <w:t>采购代理机构工作人员将对</w:t>
      </w:r>
      <w:r>
        <w:rPr>
          <w:rFonts w:hint="eastAsia" w:ascii="宋体" w:hAnsi="宋体" w:eastAsia="宋体" w:cs="宋体"/>
          <w:sz w:val="24"/>
          <w:szCs w:val="24"/>
        </w:rPr>
        <w:t>供应商名称</w:t>
      </w:r>
      <w:r>
        <w:rPr>
          <w:rFonts w:hint="eastAsia" w:ascii="宋体" w:hAnsi="宋体" w:eastAsia="宋体" w:cs="宋体"/>
          <w:sz w:val="24"/>
        </w:rPr>
        <w:t>、</w:t>
      </w:r>
      <w:r>
        <w:rPr>
          <w:rFonts w:hint="eastAsia" w:ascii="宋体" w:hAnsi="宋体" w:eastAsia="宋体" w:cs="宋体"/>
          <w:sz w:val="24"/>
          <w:lang w:eastAsia="zh-CN"/>
        </w:rPr>
        <w:t>磋商</w:t>
      </w:r>
      <w:r>
        <w:rPr>
          <w:rFonts w:hint="eastAsia" w:ascii="宋体" w:hAnsi="宋体" w:eastAsia="宋体" w:cs="宋体"/>
          <w:sz w:val="24"/>
        </w:rPr>
        <w:t>报价</w:t>
      </w:r>
      <w:r>
        <w:rPr>
          <w:rFonts w:hint="eastAsia" w:ascii="宋体" w:hAnsi="宋体" w:eastAsia="宋体" w:cs="宋体"/>
          <w:sz w:val="24"/>
          <w:szCs w:val="24"/>
        </w:rPr>
        <w:t>和</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响应文件的其它主要内容</w:t>
      </w:r>
      <w:r>
        <w:rPr>
          <w:rFonts w:hint="eastAsia" w:ascii="宋体" w:hAnsi="宋体" w:eastAsia="宋体" w:cs="宋体"/>
          <w:sz w:val="24"/>
        </w:rPr>
        <w:t>等进行记录，</w:t>
      </w:r>
      <w:r>
        <w:rPr>
          <w:rFonts w:hint="eastAsia" w:ascii="宋体" w:hAnsi="宋体" w:eastAsia="宋体" w:cs="宋体"/>
          <w:sz w:val="24"/>
          <w:szCs w:val="24"/>
        </w:rPr>
        <w:t>并由供应商的法人代表或授权代表及监标人</w:t>
      </w:r>
      <w:r>
        <w:rPr>
          <w:rFonts w:hint="eastAsia" w:ascii="宋体" w:hAnsi="宋体" w:eastAsia="宋体" w:cs="宋体"/>
          <w:sz w:val="24"/>
        </w:rPr>
        <w:t>核对签字；</w:t>
      </w:r>
    </w:p>
    <w:p w14:paraId="08E62B9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.3.6 进入评审阶段；</w:t>
      </w:r>
    </w:p>
    <w:p w14:paraId="786FCB5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.3.7宣布暂时休会，所有供应商离场；</w:t>
      </w:r>
    </w:p>
    <w:p w14:paraId="75DE4FA1">
      <w:pPr>
        <w:snapToGrid w:val="0"/>
        <w:spacing w:line="360" w:lineRule="auto"/>
        <w:ind w:firstLine="480" w:firstLineChars="200"/>
        <w:rPr>
          <w:rFonts w:hint="eastAsia" w:ascii="宋体" w:hAnsi="宋体" w:eastAsia="宋体" w:cs="宋体"/>
          <w:sz w:val="24"/>
          <w:szCs w:val="24"/>
          <w:shd w:val="clear" w:color="auto" w:fill="FFFFFF"/>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.3.8</w:t>
      </w:r>
      <w:r>
        <w:rPr>
          <w:rFonts w:hint="eastAsia" w:ascii="宋体" w:hAnsi="宋体" w:eastAsia="宋体" w:cs="宋体"/>
          <w:sz w:val="24"/>
          <w:szCs w:val="24"/>
          <w:lang w:eastAsia="zh-CN"/>
        </w:rPr>
        <w:t>磋商小组</w:t>
      </w:r>
      <w:r>
        <w:rPr>
          <w:rFonts w:hint="eastAsia" w:ascii="宋体" w:hAnsi="宋体" w:eastAsia="宋体" w:cs="宋体"/>
          <w:sz w:val="24"/>
          <w:szCs w:val="24"/>
          <w:shd w:val="clear" w:color="auto" w:fill="FFFFFF"/>
        </w:rPr>
        <w:t>对响应文件进行评审，并根据</w:t>
      </w:r>
      <w:r>
        <w:rPr>
          <w:rFonts w:hint="eastAsia" w:ascii="宋体" w:hAnsi="宋体" w:eastAsia="宋体" w:cs="宋体"/>
          <w:sz w:val="24"/>
          <w:szCs w:val="24"/>
          <w:shd w:val="clear" w:color="auto" w:fill="FFFFFF"/>
          <w:lang w:eastAsia="zh-CN"/>
        </w:rPr>
        <w:t>磋商</w:t>
      </w:r>
      <w:r>
        <w:rPr>
          <w:rFonts w:hint="eastAsia" w:ascii="宋体" w:hAnsi="宋体" w:eastAsia="宋体" w:cs="宋体"/>
          <w:sz w:val="24"/>
          <w:szCs w:val="24"/>
          <w:shd w:val="clear" w:color="auto" w:fill="FFFFFF"/>
        </w:rPr>
        <w:t>文件规定的程序、评定成交的标准等事项与实质性响应</w:t>
      </w:r>
      <w:r>
        <w:rPr>
          <w:rFonts w:hint="eastAsia" w:ascii="宋体" w:hAnsi="宋体" w:eastAsia="宋体" w:cs="宋体"/>
          <w:sz w:val="24"/>
          <w:szCs w:val="24"/>
          <w:shd w:val="clear" w:color="auto" w:fill="FFFFFF"/>
          <w:lang w:eastAsia="zh-CN"/>
        </w:rPr>
        <w:t>磋商</w:t>
      </w:r>
      <w:r>
        <w:rPr>
          <w:rFonts w:hint="eastAsia" w:ascii="宋体" w:hAnsi="宋体" w:eastAsia="宋体" w:cs="宋体"/>
          <w:sz w:val="24"/>
          <w:szCs w:val="24"/>
          <w:shd w:val="clear" w:color="auto" w:fill="FFFFFF"/>
        </w:rPr>
        <w:t>文件要求的供应商进行</w:t>
      </w:r>
      <w:r>
        <w:rPr>
          <w:rFonts w:hint="eastAsia" w:ascii="宋体" w:hAnsi="宋体" w:eastAsia="宋体" w:cs="宋体"/>
          <w:sz w:val="24"/>
          <w:szCs w:val="24"/>
          <w:shd w:val="clear" w:color="auto" w:fill="FFFFFF"/>
          <w:lang w:eastAsia="zh-CN"/>
        </w:rPr>
        <w:t>磋商</w:t>
      </w:r>
      <w:r>
        <w:rPr>
          <w:rFonts w:hint="eastAsia" w:ascii="宋体" w:hAnsi="宋体" w:eastAsia="宋体" w:cs="宋体"/>
          <w:sz w:val="24"/>
          <w:szCs w:val="24"/>
          <w:shd w:val="clear" w:color="auto" w:fill="FFFFFF"/>
        </w:rPr>
        <w:t>。</w:t>
      </w:r>
    </w:p>
    <w:p w14:paraId="22F247CC">
      <w:pPr>
        <w:pStyle w:val="22"/>
        <w:spacing w:before="0" w:beforeAutospacing="0" w:after="0" w:afterAutospacing="0" w:line="360" w:lineRule="auto"/>
        <w:ind w:firstLine="480" w:firstLineChars="200"/>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2</w:t>
      </w:r>
      <w:r>
        <w:rPr>
          <w:rFonts w:hint="eastAsia" w:ascii="宋体" w:hAnsi="宋体" w:eastAsia="宋体" w:cs="宋体"/>
          <w:szCs w:val="24"/>
          <w:shd w:val="clear" w:color="auto" w:fill="FFFFFF"/>
          <w:lang w:val="en-US" w:eastAsia="zh-CN"/>
        </w:rPr>
        <w:t>4</w:t>
      </w:r>
      <w:r>
        <w:rPr>
          <w:rFonts w:hint="eastAsia" w:ascii="宋体" w:hAnsi="宋体" w:eastAsia="宋体" w:cs="宋体"/>
          <w:szCs w:val="24"/>
          <w:shd w:val="clear" w:color="auto" w:fill="FFFFFF"/>
        </w:rPr>
        <w:t>.3.8.1</w:t>
      </w:r>
      <w:r>
        <w:rPr>
          <w:rFonts w:hint="eastAsia" w:ascii="宋体" w:hAnsi="宋体" w:eastAsia="宋体" w:cs="宋体"/>
          <w:szCs w:val="24"/>
          <w:shd w:val="clear" w:color="auto" w:fill="FFFFFF"/>
          <w:lang w:eastAsia="zh-CN"/>
        </w:rPr>
        <w:t>磋商小组</w:t>
      </w:r>
      <w:r>
        <w:rPr>
          <w:rFonts w:hint="eastAsia" w:ascii="宋体" w:hAnsi="宋体" w:eastAsia="宋体" w:cs="宋体"/>
          <w:szCs w:val="24"/>
          <w:shd w:val="clear" w:color="auto" w:fill="FFFFFF"/>
        </w:rPr>
        <w:t>所有成员应当集中与单一供应商分别进行</w:t>
      </w:r>
      <w:r>
        <w:rPr>
          <w:rFonts w:hint="eastAsia" w:ascii="宋体" w:hAnsi="宋体" w:eastAsia="宋体" w:cs="宋体"/>
          <w:szCs w:val="24"/>
          <w:shd w:val="clear" w:color="auto" w:fill="FFFFFF"/>
          <w:lang w:eastAsia="zh-CN"/>
        </w:rPr>
        <w:t>磋商</w:t>
      </w:r>
      <w:r>
        <w:rPr>
          <w:rFonts w:hint="eastAsia" w:ascii="宋体" w:hAnsi="宋体" w:eastAsia="宋体" w:cs="宋体"/>
          <w:szCs w:val="24"/>
          <w:shd w:val="clear" w:color="auto" w:fill="FFFFFF"/>
        </w:rPr>
        <w:t>，并给予所有参加</w:t>
      </w:r>
      <w:r>
        <w:rPr>
          <w:rFonts w:hint="eastAsia" w:ascii="宋体" w:hAnsi="宋体" w:eastAsia="宋体" w:cs="宋体"/>
          <w:szCs w:val="24"/>
          <w:shd w:val="clear" w:color="auto" w:fill="FFFFFF"/>
          <w:lang w:eastAsia="zh-CN"/>
        </w:rPr>
        <w:t>磋商</w:t>
      </w:r>
      <w:r>
        <w:rPr>
          <w:rFonts w:hint="eastAsia" w:ascii="宋体" w:hAnsi="宋体" w:eastAsia="宋体" w:cs="宋体"/>
          <w:szCs w:val="24"/>
          <w:shd w:val="clear" w:color="auto" w:fill="FFFFFF"/>
        </w:rPr>
        <w:t>的供应商平等的</w:t>
      </w:r>
      <w:r>
        <w:rPr>
          <w:rFonts w:hint="eastAsia" w:ascii="宋体" w:hAnsi="宋体" w:eastAsia="宋体" w:cs="宋体"/>
          <w:szCs w:val="24"/>
          <w:shd w:val="clear" w:color="auto" w:fill="FFFFFF"/>
          <w:lang w:eastAsia="zh-CN"/>
        </w:rPr>
        <w:t>磋商</w:t>
      </w:r>
      <w:r>
        <w:rPr>
          <w:rFonts w:hint="eastAsia" w:ascii="宋体" w:hAnsi="宋体" w:eastAsia="宋体" w:cs="宋体"/>
          <w:szCs w:val="24"/>
          <w:shd w:val="clear" w:color="auto" w:fill="FFFFFF"/>
        </w:rPr>
        <w:t>机会。</w:t>
      </w:r>
    </w:p>
    <w:p w14:paraId="131598A9">
      <w:pPr>
        <w:pStyle w:val="22"/>
        <w:spacing w:before="0" w:beforeAutospacing="0" w:after="0" w:afterAutospacing="0" w:line="360" w:lineRule="auto"/>
        <w:ind w:firstLine="480" w:firstLineChars="200"/>
        <w:rPr>
          <w:rFonts w:hint="eastAsia" w:ascii="宋体" w:hAnsi="宋体" w:eastAsia="宋体" w:cs="宋体"/>
          <w:szCs w:val="24"/>
        </w:rPr>
      </w:pPr>
      <w:r>
        <w:rPr>
          <w:rFonts w:hint="eastAsia" w:ascii="宋体" w:hAnsi="宋体" w:eastAsia="宋体" w:cs="宋体"/>
          <w:szCs w:val="24"/>
          <w:shd w:val="clear" w:color="auto" w:fill="FFFFFF"/>
        </w:rPr>
        <w:t>2</w:t>
      </w:r>
      <w:r>
        <w:rPr>
          <w:rFonts w:hint="eastAsia" w:ascii="宋体" w:hAnsi="宋体" w:eastAsia="宋体" w:cs="宋体"/>
          <w:szCs w:val="24"/>
          <w:shd w:val="clear" w:color="auto" w:fill="FFFFFF"/>
          <w:lang w:val="en-US" w:eastAsia="zh-CN"/>
        </w:rPr>
        <w:t>4</w:t>
      </w:r>
      <w:r>
        <w:rPr>
          <w:rFonts w:hint="eastAsia" w:ascii="宋体" w:hAnsi="宋体" w:eastAsia="宋体" w:cs="宋体"/>
          <w:szCs w:val="24"/>
          <w:shd w:val="clear" w:color="auto" w:fill="FFFFFF"/>
        </w:rPr>
        <w:t>.3.8.2</w:t>
      </w:r>
      <w:r>
        <w:rPr>
          <w:rFonts w:hint="eastAsia" w:ascii="宋体" w:hAnsi="宋体" w:eastAsia="宋体" w:cs="宋体"/>
          <w:szCs w:val="24"/>
          <w:shd w:val="clear" w:color="auto" w:fill="FFFFFF"/>
          <w:lang w:eastAsia="zh-CN"/>
        </w:rPr>
        <w:t>磋商</w:t>
      </w:r>
      <w:r>
        <w:rPr>
          <w:rFonts w:hint="eastAsia" w:ascii="宋体" w:hAnsi="宋体" w:eastAsia="宋体" w:cs="宋体"/>
          <w:szCs w:val="24"/>
          <w:shd w:val="clear" w:color="auto" w:fill="FFFFFF"/>
        </w:rPr>
        <w:t>文件能够详细列明采购标的的技术、服务要求的，</w:t>
      </w:r>
      <w:r>
        <w:rPr>
          <w:rFonts w:hint="eastAsia" w:ascii="宋体" w:hAnsi="宋体" w:eastAsia="宋体" w:cs="宋体"/>
          <w:szCs w:val="24"/>
          <w:shd w:val="clear" w:color="auto" w:fill="FFFFFF"/>
          <w:lang w:eastAsia="zh-CN"/>
        </w:rPr>
        <w:t>磋商</w:t>
      </w:r>
      <w:r>
        <w:rPr>
          <w:rFonts w:hint="eastAsia" w:ascii="宋体" w:hAnsi="宋体" w:eastAsia="宋体" w:cs="宋体"/>
          <w:szCs w:val="24"/>
          <w:shd w:val="clear" w:color="auto" w:fill="FFFFFF"/>
        </w:rPr>
        <w:t>结束后，</w:t>
      </w:r>
      <w:r>
        <w:rPr>
          <w:rFonts w:hint="eastAsia" w:ascii="宋体" w:hAnsi="宋体" w:eastAsia="宋体" w:cs="宋体"/>
          <w:szCs w:val="24"/>
          <w:shd w:val="clear" w:color="auto" w:fill="FFFFFF"/>
          <w:lang w:eastAsia="zh-CN"/>
        </w:rPr>
        <w:t>磋商小组</w:t>
      </w:r>
      <w:r>
        <w:rPr>
          <w:rFonts w:hint="eastAsia" w:ascii="宋体" w:hAnsi="宋体" w:eastAsia="宋体" w:cs="宋体"/>
          <w:szCs w:val="24"/>
          <w:shd w:val="clear" w:color="auto" w:fill="FFFFFF"/>
        </w:rPr>
        <w:t>应当要求所有继续参加</w:t>
      </w:r>
      <w:r>
        <w:rPr>
          <w:rFonts w:hint="eastAsia" w:ascii="宋体" w:hAnsi="宋体" w:eastAsia="宋体" w:cs="宋体"/>
          <w:szCs w:val="24"/>
          <w:shd w:val="clear" w:color="auto" w:fill="FFFFFF"/>
          <w:lang w:eastAsia="zh-CN"/>
        </w:rPr>
        <w:t>磋商</w:t>
      </w:r>
      <w:r>
        <w:rPr>
          <w:rFonts w:hint="eastAsia" w:ascii="宋体" w:hAnsi="宋体" w:eastAsia="宋体" w:cs="宋体"/>
          <w:szCs w:val="24"/>
          <w:shd w:val="clear" w:color="auto" w:fill="FFFFFF"/>
        </w:rPr>
        <w:t>的供应商在规定时间内提交最后报价，</w:t>
      </w:r>
      <w:r>
        <w:rPr>
          <w:rFonts w:hint="eastAsia" w:ascii="宋体" w:hAnsi="宋体" w:eastAsia="宋体" w:cs="宋体"/>
          <w:bCs/>
        </w:rPr>
        <w:t>并由法定代表人或其授权人签字，最后报价现场不对供应商公布。该</w:t>
      </w:r>
      <w:r>
        <w:rPr>
          <w:rFonts w:hint="eastAsia" w:ascii="宋体" w:hAnsi="宋体" w:eastAsia="宋体" w:cs="宋体"/>
          <w:bCs/>
          <w:lang w:eastAsia="zh-CN"/>
        </w:rPr>
        <w:t>磋商</w:t>
      </w:r>
      <w:r>
        <w:rPr>
          <w:rFonts w:hint="eastAsia" w:ascii="宋体" w:hAnsi="宋体" w:eastAsia="宋体" w:cs="宋体"/>
          <w:bCs/>
        </w:rPr>
        <w:t>报价为不可更改价格。</w:t>
      </w:r>
      <w:r>
        <w:rPr>
          <w:rFonts w:hint="eastAsia" w:ascii="宋体" w:hAnsi="宋体" w:eastAsia="宋体" w:cs="宋体"/>
          <w:szCs w:val="24"/>
          <w:shd w:val="clear" w:color="auto" w:fill="FFFFFF"/>
        </w:rPr>
        <w:t>提交最后报价的供应商不得少于3家。</w:t>
      </w:r>
    </w:p>
    <w:p w14:paraId="5CDCBF8B">
      <w:pPr>
        <w:pStyle w:val="22"/>
        <w:spacing w:before="0" w:beforeAutospacing="0" w:after="0" w:afterAutospacing="0" w:line="360" w:lineRule="auto"/>
        <w:ind w:firstLine="480"/>
        <w:rPr>
          <w:rFonts w:hint="eastAsia" w:ascii="宋体" w:hAnsi="宋体" w:eastAsia="宋体" w:cs="宋体"/>
        </w:rPr>
      </w:pPr>
      <w:r>
        <w:rPr>
          <w:rFonts w:hint="eastAsia" w:ascii="宋体" w:hAnsi="宋体" w:eastAsia="宋体" w:cs="宋体"/>
          <w:szCs w:val="24"/>
          <w:shd w:val="clear" w:color="auto" w:fill="FFFFFF"/>
        </w:rPr>
        <w:t>2</w:t>
      </w:r>
      <w:r>
        <w:rPr>
          <w:rFonts w:hint="eastAsia" w:ascii="宋体" w:hAnsi="宋体" w:eastAsia="宋体" w:cs="宋体"/>
          <w:szCs w:val="24"/>
          <w:shd w:val="clear" w:color="auto" w:fill="FFFFFF"/>
          <w:lang w:val="en-US" w:eastAsia="zh-CN"/>
        </w:rPr>
        <w:t>4</w:t>
      </w:r>
      <w:r>
        <w:rPr>
          <w:rFonts w:hint="eastAsia" w:ascii="宋体" w:hAnsi="宋体" w:eastAsia="宋体" w:cs="宋体"/>
          <w:szCs w:val="24"/>
          <w:shd w:val="clear" w:color="auto" w:fill="FFFFFF"/>
        </w:rPr>
        <w:t>.3.8.3最后报价是供应商响应文件的有效组成部分。</w:t>
      </w:r>
    </w:p>
    <w:p w14:paraId="7075C9C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.3.9采购代理机构对开标过程进行摄像、文字记录，并存档备查；</w:t>
      </w:r>
    </w:p>
    <w:p w14:paraId="049E60C1">
      <w:pPr>
        <w:pStyle w:val="45"/>
        <w:spacing w:line="360" w:lineRule="auto"/>
        <w:ind w:firstLine="480"/>
        <w:rPr>
          <w:rFonts w:hint="eastAsia" w:ascii="宋体" w:hAnsi="宋体" w:eastAsia="宋体" w:cs="宋体"/>
        </w:rPr>
      </w:pPr>
      <w:r>
        <w:rPr>
          <w:rFonts w:hint="eastAsia" w:ascii="宋体" w:hAnsi="宋体" w:eastAsia="宋体" w:cs="宋体"/>
          <w:sz w:val="24"/>
        </w:rPr>
        <w:t>2</w:t>
      </w:r>
      <w:r>
        <w:rPr>
          <w:rFonts w:hint="eastAsia" w:ascii="宋体" w:hAnsi="宋体" w:eastAsia="宋体" w:cs="宋体"/>
          <w:sz w:val="24"/>
          <w:lang w:val="en-US" w:eastAsia="zh-CN"/>
        </w:rPr>
        <w:t>4</w:t>
      </w:r>
      <w:r>
        <w:rPr>
          <w:rFonts w:hint="eastAsia" w:ascii="宋体" w:hAnsi="宋体" w:eastAsia="宋体" w:cs="宋体"/>
          <w:sz w:val="24"/>
        </w:rPr>
        <w:t>.3.10投标未参加开标的，视同认可开标结果。</w:t>
      </w:r>
    </w:p>
    <w:p w14:paraId="37E18B4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.4 开标时，</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响应文件中出现下列情况，修正原则为：</w:t>
      </w:r>
    </w:p>
    <w:p w14:paraId="1B9F289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.4.1 </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响应文件中</w:t>
      </w:r>
      <w:r>
        <w:rPr>
          <w:rFonts w:hint="eastAsia" w:ascii="宋体" w:hAnsi="宋体" w:eastAsia="宋体" w:cs="宋体"/>
          <w:sz w:val="24"/>
          <w:szCs w:val="24"/>
          <w:lang w:eastAsia="zh-CN"/>
        </w:rPr>
        <w:t>磋商</w:t>
      </w:r>
      <w:r>
        <w:rPr>
          <w:rFonts w:hint="eastAsia" w:ascii="宋体" w:hAnsi="宋体" w:eastAsia="宋体" w:cs="宋体"/>
          <w:sz w:val="24"/>
          <w:szCs w:val="24"/>
        </w:rPr>
        <w:t>报价表内容与</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响应文件中相应内容不一致的，以</w:t>
      </w:r>
      <w:r>
        <w:rPr>
          <w:rFonts w:hint="eastAsia" w:ascii="宋体" w:hAnsi="宋体" w:eastAsia="宋体" w:cs="宋体"/>
          <w:sz w:val="24"/>
          <w:szCs w:val="24"/>
          <w:lang w:eastAsia="zh-CN"/>
        </w:rPr>
        <w:t>磋商</w:t>
      </w:r>
      <w:r>
        <w:rPr>
          <w:rFonts w:hint="eastAsia" w:ascii="宋体" w:hAnsi="宋体" w:eastAsia="宋体" w:cs="宋体"/>
          <w:sz w:val="24"/>
          <w:szCs w:val="24"/>
        </w:rPr>
        <w:t>报价表为准；</w:t>
      </w:r>
    </w:p>
    <w:p w14:paraId="5E2E4D3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.4.2 投标报价的大写金额和小写金额不一致的，以大写金额为准；</w:t>
      </w:r>
    </w:p>
    <w:p w14:paraId="6387DB1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23.4.3 总价金额与按单价汇总金额不一致的，以单价金额计算结果为准；</w:t>
      </w:r>
    </w:p>
    <w:p w14:paraId="2598C8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.4.4 单价金额小数点百分比有明显错位的，以</w:t>
      </w:r>
      <w:r>
        <w:rPr>
          <w:rFonts w:hint="eastAsia" w:ascii="宋体" w:hAnsi="宋体" w:eastAsia="宋体" w:cs="宋体"/>
          <w:sz w:val="24"/>
          <w:szCs w:val="24"/>
          <w:lang w:eastAsia="zh-CN"/>
        </w:rPr>
        <w:t>磋商</w:t>
      </w:r>
      <w:r>
        <w:rPr>
          <w:rFonts w:hint="eastAsia" w:ascii="宋体" w:hAnsi="宋体" w:eastAsia="宋体" w:cs="宋体"/>
          <w:sz w:val="24"/>
          <w:szCs w:val="24"/>
        </w:rPr>
        <w:t>报价表的总价为准，并修改单价；</w:t>
      </w:r>
    </w:p>
    <w:p w14:paraId="6A9A2F0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.4.5 </w:t>
      </w:r>
      <w:r>
        <w:rPr>
          <w:rFonts w:hint="eastAsia" w:ascii="宋体" w:hAnsi="宋体" w:eastAsia="宋体" w:cs="宋体"/>
          <w:sz w:val="24"/>
          <w:szCs w:val="24"/>
          <w:lang w:eastAsia="zh-CN"/>
        </w:rPr>
        <w:t>竞争性磋商</w:t>
      </w:r>
      <w:r>
        <w:rPr>
          <w:rFonts w:hint="eastAsia" w:ascii="宋体" w:hAnsi="宋体" w:eastAsia="宋体" w:cs="宋体"/>
          <w:sz w:val="24"/>
          <w:szCs w:val="24"/>
        </w:rPr>
        <w:t>响应文件</w:t>
      </w:r>
      <w:r>
        <w:rPr>
          <w:rFonts w:hint="eastAsia" w:ascii="宋体" w:hAnsi="宋体" w:eastAsia="宋体" w:cs="宋体"/>
          <w:sz w:val="24"/>
        </w:rPr>
        <w:t>正本与副本不一致的，以正本为准，电子版</w:t>
      </w:r>
      <w:r>
        <w:rPr>
          <w:rFonts w:hint="eastAsia" w:ascii="宋体" w:hAnsi="宋体" w:eastAsia="宋体" w:cs="宋体"/>
          <w:bCs/>
          <w:sz w:val="24"/>
          <w:szCs w:val="24"/>
        </w:rPr>
        <w:t>（word</w:t>
      </w:r>
      <w:r>
        <w:rPr>
          <w:rFonts w:hint="eastAsia" w:ascii="宋体" w:hAnsi="宋体" w:cs="宋体"/>
          <w:bCs/>
          <w:sz w:val="24"/>
          <w:szCs w:val="24"/>
          <w:lang w:eastAsia="zh-CN"/>
        </w:rPr>
        <w:t>，</w:t>
      </w:r>
      <w:r>
        <w:rPr>
          <w:rFonts w:hint="eastAsia" w:ascii="宋体" w:hAnsi="宋体" w:eastAsia="宋体" w:cs="宋体"/>
          <w:bCs/>
          <w:sz w:val="24"/>
          <w:szCs w:val="24"/>
        </w:rPr>
        <w:t>U盘）</w:t>
      </w:r>
      <w:r>
        <w:rPr>
          <w:rFonts w:hint="eastAsia" w:ascii="宋体" w:hAnsi="宋体" w:eastAsia="宋体" w:cs="宋体"/>
          <w:sz w:val="24"/>
        </w:rPr>
        <w:t>与正本不一致的，以正本为准</w:t>
      </w:r>
      <w:r>
        <w:rPr>
          <w:rFonts w:hint="eastAsia" w:ascii="宋体" w:hAnsi="宋体" w:eastAsia="宋体" w:cs="宋体"/>
          <w:sz w:val="24"/>
          <w:szCs w:val="24"/>
        </w:rPr>
        <w:t>；</w:t>
      </w:r>
    </w:p>
    <w:p w14:paraId="28D0EBC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.4.7 多处内容交叉不符时，以</w:t>
      </w:r>
      <w:r>
        <w:rPr>
          <w:rFonts w:hint="eastAsia" w:ascii="宋体" w:hAnsi="宋体" w:eastAsia="宋体" w:cs="宋体"/>
          <w:sz w:val="24"/>
          <w:szCs w:val="24"/>
          <w:lang w:eastAsia="zh-CN"/>
        </w:rPr>
        <w:t>磋商小组</w:t>
      </w:r>
      <w:r>
        <w:rPr>
          <w:rFonts w:hint="eastAsia" w:ascii="宋体" w:hAnsi="宋体" w:eastAsia="宋体" w:cs="宋体"/>
          <w:sz w:val="24"/>
          <w:szCs w:val="24"/>
        </w:rPr>
        <w:t>评审结果为准；</w:t>
      </w:r>
    </w:p>
    <w:p w14:paraId="058F2DC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4</w:t>
      </w:r>
      <w:r>
        <w:rPr>
          <w:rFonts w:hint="eastAsia" w:ascii="宋体" w:hAnsi="宋体" w:eastAsia="宋体" w:cs="宋体"/>
          <w:sz w:val="24"/>
          <w:szCs w:val="24"/>
        </w:rPr>
        <w:t>.4.8文字与图表不符时以文字为准；</w:t>
      </w:r>
    </w:p>
    <w:p w14:paraId="07CFE83A">
      <w:pPr>
        <w:spacing w:before="100" w:after="100"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按上述修正错误的原则及方法调整或修正</w:t>
      </w:r>
      <w:r>
        <w:rPr>
          <w:rFonts w:hint="eastAsia" w:ascii="宋体" w:hAnsi="宋体" w:eastAsia="宋体" w:cs="宋体"/>
          <w:sz w:val="24"/>
          <w:szCs w:val="24"/>
          <w:lang w:eastAsia="zh-CN"/>
        </w:rPr>
        <w:t>竞争性磋商</w:t>
      </w:r>
      <w:r>
        <w:rPr>
          <w:rFonts w:hint="eastAsia" w:ascii="宋体" w:hAnsi="宋体" w:eastAsia="宋体" w:cs="宋体"/>
          <w:sz w:val="24"/>
          <w:szCs w:val="24"/>
        </w:rPr>
        <w:t>文件的报价，投标供应商同意后，调整后的报价对投标供应商起约束作用。如果投标供应商不接受修正后的报价，则其投标无效。</w:t>
      </w:r>
    </w:p>
    <w:p w14:paraId="2C516C40">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25、评审组织及评审原则</w:t>
      </w:r>
    </w:p>
    <w:p w14:paraId="49463CD8">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.1磋商小组</w:t>
      </w:r>
    </w:p>
    <w:p w14:paraId="4D7E9E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按照《中华人民共和国政府采购法》、中华人民共和国财政部第87号部长令--《政府采购货物和服务招标投标管理办法》和关于印发《政府采购竞争性磋商采购方式管理暂行办法》的通知财库【2014】214号，依法组建磋商小组。磋商小组由采购人代表和有关技术、经济等方面的专家组成，磋商小组按照竞争性磋商文件规定的评审方法独立进行评审工作。</w:t>
      </w:r>
    </w:p>
    <w:p w14:paraId="3DA3A9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25.1.2 磋商小组成员有下列情形之一的，应当回避，已经进入的应当更换：</w:t>
      </w:r>
    </w:p>
    <w:p w14:paraId="64D343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25.1.2.1采购人或供应商的主要负责人的近亲属；</w:t>
      </w:r>
    </w:p>
    <w:p w14:paraId="4C5B7F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25.1.2.2项目主管部门或者行政监督部门的人员；</w:t>
      </w:r>
    </w:p>
    <w:p w14:paraId="0E9271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25.1.2.3与供应商有经济利益关系，可能影响对投标公正评审的；</w:t>
      </w:r>
    </w:p>
    <w:p w14:paraId="0C9549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25.1.2.4曾因在招标、评审以及其他与采购投标有关活动中从事违法行为而受过行政处罚或刑事处罚的。</w:t>
      </w:r>
    </w:p>
    <w:p w14:paraId="788112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25.1.3磋商小组成员的名单在成交结果确定前应当保密。</w:t>
      </w:r>
    </w:p>
    <w:p w14:paraId="245C9D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25.1.4评标采用保密方式进行。</w:t>
      </w:r>
    </w:p>
    <w:p w14:paraId="78EF96F4">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25.2 评审原则</w:t>
      </w:r>
      <w:r>
        <w:rPr>
          <w:rFonts w:hint="eastAsia" w:ascii="宋体" w:hAnsi="宋体" w:cs="宋体"/>
          <w:b/>
          <w:bCs/>
          <w:sz w:val="24"/>
          <w:szCs w:val="24"/>
          <w:lang w:val="en-US" w:eastAsia="zh-CN"/>
        </w:rPr>
        <w:tab/>
      </w:r>
    </w:p>
    <w:p w14:paraId="103B7F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25.2.1评审活动遵循公平、公正、科学和择优的原则。</w:t>
      </w:r>
    </w:p>
    <w:p w14:paraId="47F69FAA">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25.3评审</w:t>
      </w:r>
    </w:p>
    <w:p w14:paraId="2677F1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25.3.1竞争性磋商文件和竞争性磋商响应文件是评审的依据。在评审中，不得改变竞争性磋商文件中规定的评审标准、方法和成交条件。</w:t>
      </w:r>
    </w:p>
    <w:p w14:paraId="12AA18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25.3.2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7276AA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25.3.3如果供应商在澄清规定期限内，未能答复或拒绝答复磋商小组提出的澄清要求，将由磋商小组根据其竞争性磋商响应文件按最大风险进行评审。</w:t>
      </w:r>
    </w:p>
    <w:p w14:paraId="7AD3D5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25.3.4磋商过程中的实质性变动：</w:t>
      </w:r>
    </w:p>
    <w:p w14:paraId="648A14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0BADA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25.3.4.2对竞争性磋商文件做出的实质性变动是磋商文件的有效组成部分，磋商小组应当及时以书面形式通知所有参加磋商的供应商。</w:t>
      </w:r>
    </w:p>
    <w:p w14:paraId="488CC5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25.3.5竞争性磋商响应文件的符合性检查</w:t>
      </w:r>
    </w:p>
    <w:p w14:paraId="384E59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25.3.5.1磋商小组将审查竞争性磋商响应文件是否完整、资格证明文件是否齐全，磋商保证金是否合格、有无计算上的错误等。</w:t>
      </w:r>
    </w:p>
    <w:p w14:paraId="7AE8AC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25.3.5.2计算错误将按以下方法更正：若单价计算的结果与总价不一致，以单价为准修改总价；若用文字表示的数值与用数字表示的数值不一致，以文字表示的数值为准。如果“磋商报价一览表”中的总价与磋商的其他文件中的总价不一致，以“磋商报价一览表”中的总价为准。如果供应商不接受对其错误的更正，其磋商将被拒绝。</w:t>
      </w:r>
    </w:p>
    <w:p w14:paraId="3FDE05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25.3.5.3对于竞争性磋商响应文件中明显的标点符号错误或不构成实质性偏差的不正规、不一致或不规则，招标方可以接受。</w:t>
      </w:r>
    </w:p>
    <w:p w14:paraId="22EB3A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25.3.5.4在详细评审之前，磋商小组要审查每份竞争性磋商响应文件是否实质上响应了竞争性磋商文件的要求。实质上响应的磋商应该是与竞争性磋商文件要求的全部条款、条件和规格参数相符，完全响应，不得负偏离。对关键条文的偏离、保留或反对将被认为是实质上的偏离。磋商小组决定磋商的响应性只根据磋商响应文件本身的内容，而不寻求外部的证据。</w:t>
      </w:r>
    </w:p>
    <w:p w14:paraId="6911D6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25.3.5.5实质上没有响应竞争性磋商文件要求的磋商将被按无效投标处理。供应商不得通过修正或撤销不合要求的偏离从而使其磋商成为实质性响应的磋商。</w:t>
      </w:r>
    </w:p>
    <w:p w14:paraId="5B7E2B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如发现下列情况之一的，其磋商将构成非实质性响应，按无效磋商处理，内容如下（但不限于）：</w:t>
      </w:r>
    </w:p>
    <w:p w14:paraId="271A42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1）没有按照竞争性磋商文件要求提供的竞争性磋商响应文件或竞争性磋商响应文件构成有重大缺项；</w:t>
      </w:r>
    </w:p>
    <w:p w14:paraId="5641DB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2）竞争性磋商响应文件未按竞争性磋商文件要求编制、签署、盖章的；</w:t>
      </w:r>
    </w:p>
    <w:p w14:paraId="044F69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3）供应商未提交有效的磋商保证金或金额不足的、磋商保证金的交付单位和投标单位的名称不一致的；</w:t>
      </w:r>
    </w:p>
    <w:p w14:paraId="2D3EB4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4）超出经营范围磋商的；</w:t>
      </w:r>
    </w:p>
    <w:p w14:paraId="376A45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5）资格证明文件不全的或无效的，或不符合国家规定的；</w:t>
      </w:r>
    </w:p>
    <w:p w14:paraId="004F52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6）竞争性磋商响应文件无供应商公章、无法定代表人签字或签字人无法定代表人有效委托书的；</w:t>
      </w:r>
    </w:p>
    <w:p w14:paraId="401657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7）无磋商有效期或有效期达不到竞争性磋商文件要求的；</w:t>
      </w:r>
    </w:p>
    <w:p w14:paraId="07CC09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8）供应商在同一份竞争性磋商响应文件中，有两个或多个报价的；</w:t>
      </w:r>
    </w:p>
    <w:p w14:paraId="6C3F44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9）存在有重大缺漏项和重大偏离的；</w:t>
      </w:r>
    </w:p>
    <w:p w14:paraId="1FED0C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10）供应商有串通磋商、以他人名义磋商、行贿、提供虚假证明（包括第三方提供的虚假证明），开具虚假资质，出现虚假应答的，除按无效文件处理外，还将按照政府采购的有关规定进行处罚；</w:t>
      </w:r>
    </w:p>
    <w:p w14:paraId="663448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11）磋商总报价低于成本或者高于竞争性磋商文件公布的采购预算的。</w:t>
      </w:r>
    </w:p>
    <w:p w14:paraId="56C09D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12）磋商人规格响应不得直接复制磋商文件。</w:t>
      </w:r>
    </w:p>
    <w:p w14:paraId="305DB3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13）商务响应不符合要求的。</w:t>
      </w:r>
    </w:p>
    <w:p w14:paraId="0E9007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25.3.6竞争性磋商响应文件的详细评审</w:t>
      </w:r>
    </w:p>
    <w:p w14:paraId="50264B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25.3.6.1 磋商小组将只对确定为实质性响应竞争性磋商文件要求的磋商响应文件进行详细评审。</w:t>
      </w:r>
    </w:p>
    <w:p w14:paraId="66C555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25.3.7成交候选人的确定</w:t>
      </w:r>
    </w:p>
    <w:p w14:paraId="63B187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25.3.7.1磋商小组依据本磋商文件“评标方法和标准”，对竞争性磋商响应文件进行评审和比较，向采购人提交书面评标报告，并推荐综合排名第一的合格供应商为成交候选人。</w:t>
      </w:r>
    </w:p>
    <w:p w14:paraId="4938F5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25.3.7.2 采购人根据磋商小组提交的评标报告和推荐的成交候选人确定成交供应商。</w:t>
      </w:r>
    </w:p>
    <w:p w14:paraId="2D8A95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25.3.7.3在磋商过程中符合要求的供应商只有2家的，竞争性磋商采购活动可以继续进行。</w:t>
      </w:r>
    </w:p>
    <w:p w14:paraId="748D40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25.3.7.4 磋商小组经评审，认为有效供应商只有1家或所有磋商都不符合磋商文件要求的，可以否决本次磋商、投标。所有磋商被否决后，招标人应当依法重新招标。</w:t>
      </w:r>
    </w:p>
    <w:p w14:paraId="019CFE29">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25.4、低于成本价磋商处理</w:t>
      </w:r>
    </w:p>
    <w:p w14:paraId="663BED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25.4.1、磋商小组认为供应商的报价明显低于其他通过符合性审查供应商的报价， 有可能影响产品质量或者不能诚信履约的，应当要求其在评审现场合理的时间内提供书 面说明，必要时提交相关证明材料；供应商不能证明其报价合理性的，磋商小组应当将其作为无效磋商处理。</w:t>
      </w:r>
    </w:p>
    <w:p w14:paraId="71E389E0">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26、评审过程的保密</w:t>
      </w:r>
    </w:p>
    <w:p w14:paraId="0B5C99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（1）磋商后，直至授予成交人合同为止，凡属于对竞争性磋商响应文件的审查、补遗、评价和比较的有关资料以及成交人候选人的推荐情况等均严格保密。</w:t>
      </w:r>
    </w:p>
    <w:p w14:paraId="6965FC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（2）在竞争性磋商响应文件的评审、成交人候选人推荐以及授予合同的过程中，供应商向采购人和磋商小组施加影响的任何行为，都将会导致其磋商被拒绝直至取消其成交资格。</w:t>
      </w:r>
    </w:p>
    <w:p w14:paraId="2DEC4D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（3）成交人确定后，采购人不对未成交人就评审过程以及未能成交原因作出任何解释。未成交人不得向磋商小组组成人员或其他有关人员索问评审过程的情况和材料。</w:t>
      </w:r>
    </w:p>
    <w:p w14:paraId="4B258FBE">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27、评审方法</w:t>
      </w:r>
    </w:p>
    <w:p w14:paraId="7EF254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27.1按照中华人民共和国财政部第87号部长令--《政府采购货物和服务招标投标管理办法》、关于印发《政府采购竞争性磋商采购方式管理暂行办法》的通知财库【2014】214号，本次评审采用综合评分法，即在全部满足竞争性磋商文件实质性要求前提下，磋商小组应当根据综合评分情况，按照评审得分高低顺序推存一至三名成交候选供应商。</w:t>
      </w:r>
    </w:p>
    <w:p w14:paraId="2DD4400E">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28. 询标</w:t>
      </w:r>
    </w:p>
    <w:p w14:paraId="353EA5EC">
      <w:pPr>
        <w:pageBreakBefore w:val="0"/>
        <w:wordWrap/>
        <w:overflowPunct/>
        <w:autoSpaceDE/>
        <w:autoSpaceDN/>
        <w:bidi w:val="0"/>
        <w:adjustRightInd w:val="0"/>
        <w:snapToGrid w:val="0"/>
        <w:spacing w:line="360" w:lineRule="auto"/>
        <w:textAlignment w:val="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sz w:val="24"/>
          <w:szCs w:val="24"/>
          <w:lang w:val="en-US" w:eastAsia="zh-CN"/>
        </w:rPr>
        <w:t>磋商</w:t>
      </w:r>
      <w:r>
        <w:rPr>
          <w:rFonts w:hint="eastAsia" w:ascii="宋体" w:hAnsi="宋体" w:eastAsia="宋体" w:cs="宋体"/>
          <w:sz w:val="24"/>
          <w:szCs w:val="24"/>
          <w:lang w:eastAsia="zh-CN"/>
        </w:rPr>
        <w:t>小组</w:t>
      </w:r>
      <w:r>
        <w:rPr>
          <w:rFonts w:hint="eastAsia" w:ascii="宋体" w:hAnsi="宋体" w:eastAsia="宋体" w:cs="宋体"/>
          <w:sz w:val="24"/>
          <w:szCs w:val="24"/>
        </w:rPr>
        <w:t>对</w:t>
      </w:r>
      <w:r>
        <w:rPr>
          <w:rFonts w:hint="eastAsia" w:ascii="宋体" w:hAnsi="宋体" w:eastAsia="宋体" w:cs="宋体"/>
          <w:sz w:val="24"/>
          <w:szCs w:val="24"/>
          <w:lang w:eastAsia="zh-CN"/>
        </w:rPr>
        <w:t>响应</w:t>
      </w:r>
      <w:r>
        <w:rPr>
          <w:rFonts w:hint="eastAsia" w:ascii="宋体" w:hAnsi="宋体" w:eastAsia="宋体" w:cs="宋体"/>
          <w:sz w:val="24"/>
          <w:szCs w:val="24"/>
        </w:rPr>
        <w:t>文件中的内容有疑问的部分，可以向</w:t>
      </w:r>
      <w:r>
        <w:rPr>
          <w:rFonts w:hint="eastAsia" w:ascii="宋体" w:hAnsi="宋体" w:eastAsia="宋体" w:cs="宋体"/>
          <w:sz w:val="24"/>
          <w:szCs w:val="24"/>
          <w:lang w:eastAsia="zh-CN"/>
        </w:rPr>
        <w:t>供应商</w:t>
      </w:r>
      <w:r>
        <w:rPr>
          <w:rFonts w:hint="eastAsia" w:ascii="宋体" w:hAnsi="宋体" w:eastAsia="宋体" w:cs="宋体"/>
          <w:sz w:val="24"/>
          <w:szCs w:val="24"/>
        </w:rPr>
        <w:t>质询并要求该</w:t>
      </w:r>
      <w:r>
        <w:rPr>
          <w:rFonts w:hint="eastAsia" w:ascii="宋体" w:hAnsi="宋体" w:eastAsia="宋体" w:cs="宋体"/>
          <w:sz w:val="24"/>
          <w:szCs w:val="24"/>
          <w:lang w:eastAsia="zh-CN"/>
        </w:rPr>
        <w:t>供应商</w:t>
      </w:r>
      <w:r>
        <w:rPr>
          <w:rFonts w:hint="eastAsia" w:ascii="宋体" w:hAnsi="宋体" w:eastAsia="宋体" w:cs="宋体"/>
          <w:sz w:val="24"/>
          <w:szCs w:val="24"/>
        </w:rPr>
        <w:t>做出书面澄清，但不得对</w:t>
      </w:r>
      <w:r>
        <w:rPr>
          <w:rFonts w:hint="eastAsia" w:ascii="宋体" w:hAnsi="宋体" w:eastAsia="宋体" w:cs="宋体"/>
          <w:sz w:val="24"/>
          <w:szCs w:val="24"/>
          <w:lang w:eastAsia="zh-CN"/>
        </w:rPr>
        <w:t>响应</w:t>
      </w:r>
      <w:r>
        <w:rPr>
          <w:rFonts w:hint="eastAsia" w:ascii="宋体" w:hAnsi="宋体" w:eastAsia="宋体" w:cs="宋体"/>
          <w:sz w:val="24"/>
          <w:szCs w:val="24"/>
        </w:rPr>
        <w:t>文件做实质性修改，质询工作应当由全体</w:t>
      </w:r>
      <w:r>
        <w:rPr>
          <w:rFonts w:hint="eastAsia" w:ascii="宋体" w:hAnsi="宋体" w:eastAsia="宋体" w:cs="宋体"/>
          <w:sz w:val="24"/>
          <w:szCs w:val="24"/>
          <w:lang w:val="en-US" w:eastAsia="zh-CN"/>
        </w:rPr>
        <w:t>磋商</w:t>
      </w:r>
      <w:r>
        <w:rPr>
          <w:rFonts w:hint="eastAsia" w:ascii="宋体" w:hAnsi="宋体" w:eastAsia="宋体" w:cs="宋体"/>
          <w:sz w:val="24"/>
          <w:szCs w:val="24"/>
          <w:lang w:eastAsia="zh-CN"/>
        </w:rPr>
        <w:t>小组</w:t>
      </w:r>
      <w:r>
        <w:rPr>
          <w:rFonts w:hint="eastAsia" w:ascii="宋体" w:hAnsi="宋体" w:eastAsia="宋体" w:cs="宋体"/>
          <w:sz w:val="24"/>
          <w:szCs w:val="24"/>
        </w:rPr>
        <w:t>成员参加。对于实质性不符合招标文件的，</w:t>
      </w:r>
      <w:r>
        <w:rPr>
          <w:rFonts w:hint="eastAsia" w:ascii="宋体" w:hAnsi="宋体" w:eastAsia="宋体" w:cs="宋体"/>
          <w:sz w:val="24"/>
          <w:szCs w:val="24"/>
          <w:lang w:val="en-US" w:eastAsia="zh-CN"/>
        </w:rPr>
        <w:t>磋商</w:t>
      </w:r>
      <w:r>
        <w:rPr>
          <w:rFonts w:hint="eastAsia" w:ascii="宋体" w:hAnsi="宋体" w:eastAsia="宋体" w:cs="宋体"/>
          <w:sz w:val="24"/>
          <w:szCs w:val="24"/>
          <w:lang w:eastAsia="zh-CN"/>
        </w:rPr>
        <w:t>小组</w:t>
      </w:r>
      <w:r>
        <w:rPr>
          <w:rFonts w:hint="eastAsia" w:ascii="宋体" w:hAnsi="宋体" w:eastAsia="宋体" w:cs="宋体"/>
          <w:sz w:val="24"/>
          <w:szCs w:val="24"/>
        </w:rPr>
        <w:t>有权予以拒绝。质询工作应做书面记录，采购人代表、</w:t>
      </w:r>
      <w:r>
        <w:rPr>
          <w:rFonts w:hint="eastAsia" w:ascii="宋体" w:hAnsi="宋体" w:eastAsia="宋体" w:cs="宋体"/>
          <w:sz w:val="24"/>
          <w:szCs w:val="24"/>
          <w:lang w:val="en-US" w:eastAsia="zh-CN"/>
        </w:rPr>
        <w:t>磋商</w:t>
      </w:r>
      <w:r>
        <w:rPr>
          <w:rFonts w:hint="eastAsia" w:ascii="宋体" w:hAnsi="宋体" w:eastAsia="宋体" w:cs="宋体"/>
          <w:sz w:val="24"/>
          <w:szCs w:val="24"/>
          <w:lang w:eastAsia="zh-CN"/>
        </w:rPr>
        <w:t>小组</w:t>
      </w:r>
      <w:r>
        <w:rPr>
          <w:rFonts w:hint="eastAsia" w:ascii="宋体" w:hAnsi="宋体" w:eastAsia="宋体" w:cs="宋体"/>
          <w:sz w:val="24"/>
          <w:szCs w:val="24"/>
        </w:rPr>
        <w:t>及</w:t>
      </w:r>
      <w:r>
        <w:rPr>
          <w:rFonts w:hint="eastAsia" w:ascii="宋体" w:hAnsi="宋体" w:eastAsia="宋体" w:cs="宋体"/>
          <w:sz w:val="24"/>
          <w:szCs w:val="24"/>
          <w:lang w:eastAsia="zh-CN"/>
        </w:rPr>
        <w:t>供应商</w:t>
      </w:r>
      <w:r>
        <w:rPr>
          <w:rFonts w:hint="eastAsia" w:ascii="宋体" w:hAnsi="宋体" w:eastAsia="宋体" w:cs="宋体"/>
          <w:sz w:val="24"/>
          <w:szCs w:val="24"/>
        </w:rPr>
        <w:t>应在记录上签字确认。</w:t>
      </w:r>
    </w:p>
    <w:p w14:paraId="778EF63A">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29、最后报价</w:t>
      </w:r>
    </w:p>
    <w:p w14:paraId="64CD573B">
      <w:pPr>
        <w:spacing w:line="360" w:lineRule="auto"/>
        <w:ind w:firstLine="480" w:firstLineChars="200"/>
        <w:rPr>
          <w:rFonts w:hint="eastAsia" w:ascii="宋体" w:hAnsi="宋体" w:eastAsia="宋体" w:cs="宋体"/>
          <w:b w:val="0"/>
          <w:bCs/>
          <w:color w:val="auto"/>
          <w:sz w:val="24"/>
          <w:szCs w:val="22"/>
          <w:highlight w:val="none"/>
          <w:lang w:val="en-US" w:eastAsia="zh-CN"/>
        </w:rPr>
      </w:pPr>
      <w:r>
        <w:rPr>
          <w:rFonts w:hint="eastAsia" w:ascii="宋体" w:hAnsi="宋体" w:eastAsia="宋体" w:cs="宋体"/>
          <w:b w:val="0"/>
          <w:bCs/>
          <w:color w:val="auto"/>
          <w:sz w:val="24"/>
          <w:szCs w:val="22"/>
          <w:highlight w:val="none"/>
          <w:lang w:val="en-US" w:eastAsia="zh-CN"/>
        </w:rPr>
        <w:t>27.1文件不能详细列明采购需求的技术、服务要求，需经磋商由供应商提供最终设计方案或解决方案的，磋商结束后，</w:t>
      </w:r>
      <w:r>
        <w:rPr>
          <w:rFonts w:hint="eastAsia" w:ascii="宋体" w:hAnsi="宋体" w:eastAsia="宋体" w:cs="宋体"/>
          <w:sz w:val="24"/>
          <w:szCs w:val="24"/>
          <w:lang w:val="en-US" w:eastAsia="zh-CN"/>
        </w:rPr>
        <w:t>磋商</w:t>
      </w:r>
      <w:r>
        <w:rPr>
          <w:rFonts w:hint="eastAsia" w:ascii="宋体" w:hAnsi="宋体" w:eastAsia="宋体" w:cs="宋体"/>
          <w:b w:val="0"/>
          <w:bCs/>
          <w:color w:val="auto"/>
          <w:sz w:val="24"/>
          <w:szCs w:val="22"/>
          <w:highlight w:val="none"/>
          <w:lang w:val="en-US" w:eastAsia="zh-CN"/>
        </w:rPr>
        <w:t>小组应当按照少数服从多数的原则投票推荐3家以上供应商的设计方案或者解决方案，并要求其在规定时间内提交最后报价。</w:t>
      </w:r>
    </w:p>
    <w:p w14:paraId="32BEEEE4">
      <w:pPr>
        <w:spacing w:line="360" w:lineRule="auto"/>
        <w:ind w:left="479" w:leftChars="228" w:firstLine="0" w:firstLineChars="0"/>
        <w:rPr>
          <w:rFonts w:hint="eastAsia" w:ascii="宋体" w:hAnsi="宋体" w:eastAsia="宋体" w:cs="宋体"/>
          <w:b w:val="0"/>
          <w:bCs/>
          <w:color w:val="auto"/>
          <w:sz w:val="24"/>
          <w:szCs w:val="22"/>
          <w:highlight w:val="none"/>
          <w:lang w:val="en-US" w:eastAsia="zh-CN"/>
        </w:rPr>
      </w:pPr>
      <w:r>
        <w:rPr>
          <w:rFonts w:hint="eastAsia" w:ascii="宋体" w:hAnsi="宋体" w:eastAsia="宋体" w:cs="宋体"/>
          <w:b w:val="0"/>
          <w:bCs/>
          <w:color w:val="auto"/>
          <w:sz w:val="24"/>
          <w:szCs w:val="22"/>
          <w:highlight w:val="none"/>
          <w:lang w:val="en-US" w:eastAsia="zh-CN"/>
        </w:rPr>
        <w:t>27.2第二次报价（最后报价）表，供应商按照</w:t>
      </w:r>
      <w:r>
        <w:rPr>
          <w:rFonts w:hint="eastAsia" w:ascii="宋体" w:hAnsi="宋体" w:eastAsia="宋体" w:cs="宋体"/>
          <w:sz w:val="24"/>
          <w:szCs w:val="24"/>
          <w:lang w:val="en-US" w:eastAsia="zh-CN"/>
        </w:rPr>
        <w:t>磋商</w:t>
      </w:r>
      <w:r>
        <w:rPr>
          <w:rFonts w:hint="eastAsia" w:ascii="宋体" w:hAnsi="宋体" w:eastAsia="宋体" w:cs="宋体"/>
          <w:b w:val="0"/>
          <w:bCs/>
          <w:color w:val="auto"/>
          <w:sz w:val="24"/>
          <w:szCs w:val="22"/>
          <w:highlight w:val="none"/>
          <w:lang w:val="en-US" w:eastAsia="zh-CN"/>
        </w:rPr>
        <w:t>小组给定的时间进行最后报价。27.3每轮报价现场均不对供应商公布，最后一轮的报价为确定成交供应商的重要依据，在合同执行过程中不得以任何理由予以变更。</w:t>
      </w:r>
    </w:p>
    <w:p w14:paraId="6C3E6A7C">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30、质疑提出与答复</w:t>
      </w:r>
    </w:p>
    <w:p w14:paraId="491DFD29">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360" w:firstLineChars="150"/>
        <w:textAlignment w:val="auto"/>
        <w:rPr>
          <w:rFonts w:hint="eastAsia" w:ascii="宋体" w:hAnsi="宋体" w:eastAsia="宋体" w:cs="宋体"/>
          <w:kern w:val="2"/>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投标人认为采购文件、采购过程、中标结果使自己的权益受到损害的，可以在知道或者应知其权益受到损害之日起</w:t>
      </w:r>
      <w:r>
        <w:rPr>
          <w:rFonts w:hint="eastAsia" w:ascii="宋体" w:hAnsi="宋体" w:eastAsia="宋体" w:cs="宋体"/>
          <w:sz w:val="24"/>
          <w:szCs w:val="24"/>
          <w:lang w:val="en-US" w:eastAsia="zh-CN"/>
        </w:rPr>
        <w:t>2</w:t>
      </w:r>
      <w:r>
        <w:rPr>
          <w:rFonts w:hint="eastAsia" w:ascii="宋体" w:hAnsi="宋体" w:eastAsia="宋体" w:cs="宋体"/>
          <w:sz w:val="24"/>
          <w:szCs w:val="24"/>
        </w:rPr>
        <w:t>个工作日内，</w:t>
      </w:r>
      <w:r>
        <w:rPr>
          <w:rFonts w:hint="eastAsia" w:ascii="宋体" w:hAnsi="宋体" w:eastAsia="宋体" w:cs="宋体"/>
          <w:kern w:val="2"/>
          <w:sz w:val="24"/>
          <w:szCs w:val="24"/>
        </w:rPr>
        <w:t xml:space="preserve">以书面形式向采购代理机构提出（质疑函接收联系人、联系电话和通讯地址等详见投标人须知前附表）。 </w:t>
      </w:r>
    </w:p>
    <w:p w14:paraId="27BDEDF9">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360" w:firstLineChars="150"/>
        <w:textAlignment w:val="auto"/>
        <w:rPr>
          <w:rFonts w:hint="eastAsia" w:ascii="宋体" w:hAnsi="宋体" w:eastAsia="宋体" w:cs="宋体"/>
          <w:kern w:val="2"/>
          <w:sz w:val="24"/>
          <w:szCs w:val="24"/>
        </w:rPr>
      </w:pPr>
      <w:r>
        <w:rPr>
          <w:rFonts w:hint="eastAsia" w:ascii="宋体" w:hAnsi="宋体" w:eastAsia="宋体" w:cs="宋体"/>
          <w:sz w:val="24"/>
          <w:szCs w:val="24"/>
        </w:rPr>
        <w:t>（2）质疑投标人</w:t>
      </w:r>
      <w:r>
        <w:rPr>
          <w:rFonts w:hint="eastAsia" w:ascii="宋体" w:hAnsi="宋体" w:eastAsia="宋体" w:cs="宋体"/>
          <w:sz w:val="24"/>
          <w:szCs w:val="24"/>
          <w:lang w:eastAsia="zh-CN"/>
        </w:rPr>
        <w:t>法定代表人</w:t>
      </w:r>
      <w:r>
        <w:rPr>
          <w:rFonts w:hint="eastAsia" w:ascii="宋体" w:hAnsi="宋体" w:eastAsia="宋体" w:cs="宋体"/>
          <w:sz w:val="24"/>
          <w:szCs w:val="24"/>
        </w:rPr>
        <w:t>提交质疑的，须出具</w:t>
      </w:r>
      <w:r>
        <w:rPr>
          <w:rFonts w:hint="eastAsia" w:ascii="宋体" w:hAnsi="宋体" w:eastAsia="宋体" w:cs="宋体"/>
          <w:sz w:val="24"/>
          <w:szCs w:val="24"/>
          <w:lang w:eastAsia="zh-CN"/>
        </w:rPr>
        <w:t>法定代表人</w:t>
      </w:r>
      <w:r>
        <w:rPr>
          <w:rFonts w:hint="eastAsia" w:ascii="宋体" w:hAnsi="宋体" w:eastAsia="宋体" w:cs="宋体"/>
          <w:sz w:val="24"/>
          <w:szCs w:val="24"/>
        </w:rPr>
        <w:t>资格证明书；委托代理人提交质疑的，必须向其出具授权委托书，授权委托书应当载明代理人的姓名或者名称、代理事项、具体权限、期限和相关事项，由</w:t>
      </w:r>
      <w:r>
        <w:rPr>
          <w:rFonts w:hint="eastAsia" w:ascii="宋体" w:hAnsi="宋体" w:eastAsia="宋体" w:cs="宋体"/>
          <w:sz w:val="24"/>
          <w:szCs w:val="24"/>
          <w:lang w:eastAsia="zh-CN"/>
        </w:rPr>
        <w:t>法定代表人</w:t>
      </w:r>
      <w:r>
        <w:rPr>
          <w:rFonts w:hint="eastAsia" w:ascii="宋体" w:hAnsi="宋体" w:eastAsia="宋体" w:cs="宋体"/>
          <w:sz w:val="24"/>
          <w:szCs w:val="24"/>
        </w:rPr>
        <w:t>签字或者盖章，并加盖单位公章。</w:t>
      </w:r>
    </w:p>
    <w:p w14:paraId="645405B0">
      <w:pPr>
        <w:keepNext w:val="0"/>
        <w:keepLines w:val="0"/>
        <w:pageBreakBefore w:val="0"/>
        <w:kinsoku/>
        <w:wordWrap/>
        <w:overflowPunct/>
        <w:topLinePunct w:val="0"/>
        <w:autoSpaceDE/>
        <w:autoSpaceDN/>
        <w:bidi w:val="0"/>
        <w:adjustRightInd w:val="0"/>
        <w:snapToGrid w:val="0"/>
        <w:spacing w:line="360" w:lineRule="auto"/>
        <w:ind w:firstLine="600" w:firstLineChars="250"/>
        <w:textAlignment w:val="auto"/>
        <w:rPr>
          <w:rFonts w:hint="eastAsia" w:ascii="宋体" w:hAnsi="宋体" w:eastAsia="宋体" w:cs="宋体"/>
          <w:sz w:val="24"/>
          <w:szCs w:val="24"/>
        </w:rPr>
      </w:pPr>
      <w:r>
        <w:rPr>
          <w:rFonts w:hint="eastAsia" w:ascii="宋体" w:hAnsi="宋体" w:eastAsia="宋体" w:cs="宋体"/>
          <w:sz w:val="24"/>
          <w:szCs w:val="24"/>
        </w:rPr>
        <w:t>质疑函应当包括下列内容：</w:t>
      </w:r>
    </w:p>
    <w:p w14:paraId="192DF4CB">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zh-CN"/>
        </w:rPr>
        <w:t>投标人</w:t>
      </w:r>
      <w:r>
        <w:rPr>
          <w:rFonts w:hint="eastAsia" w:ascii="宋体" w:hAnsi="宋体" w:eastAsia="宋体" w:cs="宋体"/>
          <w:sz w:val="24"/>
          <w:szCs w:val="24"/>
        </w:rPr>
        <w:t>的姓名或者名称、地址、邮编、联系人及联系电话；</w:t>
      </w:r>
    </w:p>
    <w:p w14:paraId="2B030A8B">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2、质疑项目的名称、编号；</w:t>
      </w:r>
    </w:p>
    <w:p w14:paraId="3EF88696">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3B71BB03">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4、事实依据；</w:t>
      </w:r>
    </w:p>
    <w:p w14:paraId="014C630B">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5、必要的法律依据；</w:t>
      </w:r>
    </w:p>
    <w:p w14:paraId="79C3E394">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6、提出质疑的日期。 </w:t>
      </w:r>
    </w:p>
    <w:p w14:paraId="1148AAE1">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备注：</w:t>
      </w:r>
      <w:r>
        <w:rPr>
          <w:rFonts w:hint="eastAsia" w:ascii="宋体" w:hAnsi="宋体" w:eastAsia="宋体" w:cs="宋体"/>
          <w:sz w:val="24"/>
          <w:szCs w:val="24"/>
          <w:lang w:val="zh-CN"/>
        </w:rPr>
        <w:t>投标人</w:t>
      </w:r>
      <w:r>
        <w:rPr>
          <w:rFonts w:hint="eastAsia" w:ascii="宋体" w:hAnsi="宋体" w:eastAsia="宋体" w:cs="宋体"/>
          <w:sz w:val="24"/>
          <w:szCs w:val="24"/>
        </w:rPr>
        <w:t>须在法定质疑期内一次性提出针对同一采购程序环节的质疑。</w:t>
      </w:r>
    </w:p>
    <w:p w14:paraId="360CBEB3">
      <w:pPr>
        <w:keepNext w:val="0"/>
        <w:keepLines w:val="0"/>
        <w:pageBreakBefore w:val="0"/>
        <w:kinsoku/>
        <w:wordWrap/>
        <w:overflowPunct/>
        <w:topLinePunct w:val="0"/>
        <w:autoSpaceDE/>
        <w:autoSpaceDN/>
        <w:bidi w:val="0"/>
        <w:adjustRightInd w:val="0"/>
        <w:snapToGrid w:val="0"/>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（3）质疑有以下情形之一的，采购代理机构不予受理：</w:t>
      </w:r>
    </w:p>
    <w:p w14:paraId="1D20F4B7">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1、未按规定程序和渠道提出质疑的；</w:t>
      </w:r>
    </w:p>
    <w:p w14:paraId="111240FD">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2、超过法定质疑期限的； </w:t>
      </w:r>
    </w:p>
    <w:p w14:paraId="6FB0D76D">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3、书面质疑的形式和内容不符合上述要求的；</w:t>
      </w:r>
    </w:p>
    <w:p w14:paraId="7F95C435">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4、提出的质疑事项已经明确答复的； </w:t>
      </w:r>
    </w:p>
    <w:p w14:paraId="0928820E">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5、法律法规规定的其他不予受理的条件。</w:t>
      </w:r>
    </w:p>
    <w:p w14:paraId="64E388C9">
      <w:pPr>
        <w:pStyle w:val="22"/>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kern w:val="2"/>
          <w:sz w:val="24"/>
          <w:szCs w:val="24"/>
        </w:rPr>
        <w:t>采购代理机构应当在收到质疑函后</w:t>
      </w:r>
      <w:r>
        <w:rPr>
          <w:rFonts w:hint="eastAsia" w:ascii="宋体" w:hAnsi="宋体" w:eastAsia="宋体" w:cs="宋体"/>
          <w:sz w:val="24"/>
          <w:szCs w:val="24"/>
        </w:rPr>
        <w:t>七个工作日内做出书面答复。答复内容同时通知与处理结果有关的投标人，但答复内容不得涉及投标人的商业秘密。</w:t>
      </w:r>
    </w:p>
    <w:p w14:paraId="7938697B">
      <w:pPr>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1、联系人：</w:t>
      </w:r>
      <w:r>
        <w:rPr>
          <w:rFonts w:hint="eastAsia" w:ascii="宋体" w:hAnsi="宋体" w:cs="宋体"/>
          <w:kern w:val="2"/>
          <w:sz w:val="24"/>
          <w:szCs w:val="24"/>
          <w:lang w:val="en-US" w:eastAsia="zh-CN" w:bidi="ar-SA"/>
        </w:rPr>
        <w:t>李卓</w:t>
      </w:r>
      <w:r>
        <w:rPr>
          <w:rFonts w:hint="eastAsia" w:ascii="宋体" w:hAnsi="宋体" w:eastAsia="宋体" w:cs="宋体"/>
          <w:kern w:val="2"/>
          <w:sz w:val="24"/>
          <w:szCs w:val="24"/>
          <w:lang w:val="en-US" w:eastAsia="zh-CN" w:bidi="ar-SA"/>
        </w:rPr>
        <w:t xml:space="preserve">   </w:t>
      </w:r>
    </w:p>
    <w:p w14:paraId="2E33CE39">
      <w:pPr>
        <w:spacing w:line="360" w:lineRule="auto"/>
        <w:ind w:firstLine="480" w:firstLineChars="200"/>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2、联系电话：</w:t>
      </w:r>
      <w:r>
        <w:rPr>
          <w:rFonts w:hint="eastAsia" w:ascii="宋体" w:hAnsi="宋体" w:cs="宋体"/>
          <w:kern w:val="2"/>
          <w:sz w:val="24"/>
          <w:szCs w:val="24"/>
          <w:lang w:val="en-US" w:eastAsia="zh-CN" w:bidi="ar-SA"/>
        </w:rPr>
        <w:t>17749200027</w:t>
      </w:r>
    </w:p>
    <w:bookmarkEnd w:id="110"/>
    <w:bookmarkEnd w:id="111"/>
    <w:bookmarkEnd w:id="112"/>
    <w:bookmarkEnd w:id="113"/>
    <w:p w14:paraId="582F5C97">
      <w:pPr>
        <w:spacing w:before="100" w:after="100" w:line="360" w:lineRule="auto"/>
        <w:ind w:firstLine="482" w:firstLineChars="200"/>
        <w:jc w:val="center"/>
        <w:rPr>
          <w:rFonts w:hint="eastAsia" w:ascii="宋体" w:hAnsi="宋体" w:eastAsia="宋体" w:cs="宋体"/>
          <w:b/>
          <w:bCs w:val="0"/>
          <w:kern w:val="2"/>
          <w:sz w:val="24"/>
          <w:szCs w:val="24"/>
          <w:lang w:val="en-US" w:eastAsia="zh-CN" w:bidi="ar-SA"/>
        </w:rPr>
      </w:pPr>
      <w:bookmarkStart w:id="114" w:name="_Toc510859898"/>
      <w:bookmarkStart w:id="115" w:name="_Toc510859692"/>
      <w:bookmarkStart w:id="116" w:name="_Toc22430"/>
      <w:bookmarkStart w:id="117" w:name="_Toc363119284"/>
      <w:bookmarkStart w:id="118" w:name="_Toc152045566"/>
      <w:bookmarkStart w:id="119" w:name="_Toc18105"/>
      <w:bookmarkStart w:id="120" w:name="_Toc32214"/>
      <w:bookmarkStart w:id="121" w:name="_Toc152042342"/>
      <w:bookmarkStart w:id="122" w:name="_Toc144974534"/>
      <w:bookmarkStart w:id="123" w:name="_Toc513557033"/>
      <w:bookmarkStart w:id="124" w:name="_Toc23734"/>
      <w:bookmarkStart w:id="125" w:name="_Toc179632584"/>
      <w:r>
        <w:rPr>
          <w:rFonts w:hint="eastAsia" w:ascii="宋体" w:hAnsi="宋体" w:eastAsia="宋体" w:cs="宋体"/>
          <w:b/>
          <w:bCs w:val="0"/>
          <w:kern w:val="2"/>
          <w:sz w:val="24"/>
          <w:szCs w:val="24"/>
          <w:lang w:val="en-US" w:eastAsia="zh-CN" w:bidi="ar-SA"/>
        </w:rPr>
        <w:t>F 合同授予</w:t>
      </w:r>
      <w:bookmarkEnd w:id="114"/>
      <w:bookmarkEnd w:id="115"/>
      <w:bookmarkEnd w:id="116"/>
      <w:bookmarkEnd w:id="117"/>
      <w:bookmarkEnd w:id="118"/>
      <w:bookmarkEnd w:id="119"/>
      <w:bookmarkEnd w:id="120"/>
      <w:bookmarkEnd w:id="121"/>
      <w:bookmarkEnd w:id="122"/>
      <w:bookmarkEnd w:id="123"/>
      <w:bookmarkEnd w:id="124"/>
      <w:bookmarkEnd w:id="125"/>
    </w:p>
    <w:p w14:paraId="15BC6895">
      <w:pPr>
        <w:spacing w:before="100" w:after="100" w:line="360" w:lineRule="auto"/>
        <w:ind w:firstLine="482" w:firstLineChars="200"/>
        <w:jc w:val="both"/>
        <w:rPr>
          <w:rFonts w:hint="eastAsia" w:ascii="宋体" w:hAnsi="宋体" w:cs="宋体"/>
          <w:b/>
          <w:bCs/>
          <w:sz w:val="24"/>
          <w:szCs w:val="24"/>
          <w:lang w:val="en-US" w:eastAsia="zh-CN"/>
        </w:rPr>
      </w:pPr>
      <w:bookmarkStart w:id="126" w:name="_Toc152042343"/>
      <w:bookmarkStart w:id="127" w:name="_Toc144974535"/>
      <w:bookmarkStart w:id="128" w:name="_Toc152045567"/>
      <w:bookmarkStart w:id="129" w:name="_Toc179632585"/>
      <w:r>
        <w:rPr>
          <w:rFonts w:hint="eastAsia" w:ascii="宋体" w:hAnsi="宋体" w:cs="宋体"/>
          <w:b/>
          <w:bCs/>
          <w:sz w:val="24"/>
          <w:szCs w:val="24"/>
          <w:lang w:val="en-US" w:eastAsia="zh-CN"/>
        </w:rPr>
        <w:t>31、合同授予标准</w:t>
      </w:r>
    </w:p>
    <w:p w14:paraId="010D2449">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30</w:t>
      </w:r>
      <w:r>
        <w:rPr>
          <w:rFonts w:hint="eastAsia" w:ascii="宋体" w:hAnsi="宋体" w:eastAsia="宋体" w:cs="宋体"/>
          <w:sz w:val="24"/>
          <w:szCs w:val="24"/>
        </w:rPr>
        <w:t>.1 本磋商项目合同将</w:t>
      </w:r>
      <w:r>
        <w:rPr>
          <w:rFonts w:hint="eastAsia" w:ascii="宋体" w:hAnsi="宋体" w:eastAsia="宋体" w:cs="宋体"/>
          <w:sz w:val="24"/>
          <w:szCs w:val="24"/>
          <w:lang w:val="en-US" w:eastAsia="zh-CN"/>
        </w:rPr>
        <w:t>与</w:t>
      </w:r>
      <w:r>
        <w:rPr>
          <w:rFonts w:hint="eastAsia" w:ascii="宋体" w:hAnsi="宋体" w:eastAsia="宋体" w:cs="宋体"/>
          <w:sz w:val="24"/>
          <w:szCs w:val="24"/>
        </w:rPr>
        <w:t>确定的成交供应商</w:t>
      </w:r>
      <w:r>
        <w:rPr>
          <w:rFonts w:hint="eastAsia" w:ascii="宋体" w:hAnsi="宋体" w:eastAsia="宋体" w:cs="宋体"/>
          <w:sz w:val="24"/>
          <w:szCs w:val="24"/>
          <w:lang w:val="en-US" w:eastAsia="zh-CN"/>
        </w:rPr>
        <w:t>签订</w:t>
      </w:r>
      <w:r>
        <w:rPr>
          <w:rFonts w:hint="eastAsia" w:ascii="宋体" w:hAnsi="宋体" w:eastAsia="宋体" w:cs="宋体"/>
          <w:sz w:val="24"/>
          <w:szCs w:val="24"/>
        </w:rPr>
        <w:t>。</w:t>
      </w:r>
    </w:p>
    <w:bookmarkEnd w:id="126"/>
    <w:bookmarkEnd w:id="127"/>
    <w:bookmarkEnd w:id="128"/>
    <w:bookmarkEnd w:id="129"/>
    <w:p w14:paraId="5ABA2C46">
      <w:pPr>
        <w:spacing w:before="100" w:after="100" w:line="360" w:lineRule="auto"/>
        <w:ind w:firstLine="482" w:firstLineChars="200"/>
        <w:jc w:val="both"/>
        <w:rPr>
          <w:rFonts w:hint="eastAsia" w:ascii="宋体" w:hAnsi="宋体" w:cs="宋体"/>
          <w:b/>
          <w:bCs/>
          <w:sz w:val="24"/>
          <w:szCs w:val="24"/>
          <w:lang w:val="en-US" w:eastAsia="zh-CN"/>
        </w:rPr>
      </w:pPr>
      <w:bookmarkStart w:id="130" w:name="_Toc144974536"/>
      <w:bookmarkStart w:id="131" w:name="_Toc179632586"/>
      <w:bookmarkStart w:id="132" w:name="_Toc152045568"/>
      <w:bookmarkStart w:id="133" w:name="_Toc152042344"/>
      <w:r>
        <w:rPr>
          <w:rFonts w:hint="eastAsia" w:ascii="宋体" w:hAnsi="宋体" w:cs="宋体"/>
          <w:b/>
          <w:bCs/>
          <w:sz w:val="24"/>
          <w:szCs w:val="24"/>
          <w:lang w:val="en-US" w:eastAsia="zh-CN"/>
        </w:rPr>
        <w:t>32、代理服务费</w:t>
      </w:r>
    </w:p>
    <w:p w14:paraId="34B31A05">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32.1 代理服务费按约定由</w:t>
      </w:r>
      <w:r>
        <w:rPr>
          <w:rFonts w:hint="eastAsia" w:ascii="宋体" w:hAnsi="宋体" w:cs="宋体"/>
          <w:sz w:val="24"/>
          <w:szCs w:val="24"/>
          <w:lang w:val="en-US" w:eastAsia="zh-CN"/>
        </w:rPr>
        <w:t>采购人</w:t>
      </w:r>
      <w:r>
        <w:rPr>
          <w:rFonts w:hint="eastAsia" w:ascii="宋体" w:hAnsi="宋体" w:eastAsia="宋体" w:cs="宋体"/>
          <w:sz w:val="24"/>
          <w:szCs w:val="24"/>
          <w:lang w:val="en-US" w:eastAsia="zh-CN"/>
        </w:rPr>
        <w:t>支付。</w:t>
      </w:r>
    </w:p>
    <w:p w14:paraId="026627B0">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32.2 代理服务费按</w:t>
      </w:r>
      <w:r>
        <w:rPr>
          <w:rFonts w:hint="eastAsia" w:ascii="宋体" w:hAnsi="宋体" w:cs="宋体"/>
          <w:sz w:val="24"/>
          <w:szCs w:val="24"/>
          <w:lang w:val="en-US" w:eastAsia="zh-CN"/>
        </w:rPr>
        <w:t>（详见供应商须知前附表）</w:t>
      </w:r>
      <w:r>
        <w:rPr>
          <w:rFonts w:hint="eastAsia" w:ascii="宋体" w:hAnsi="宋体" w:eastAsia="宋体" w:cs="宋体"/>
          <w:sz w:val="24"/>
          <w:szCs w:val="24"/>
          <w:lang w:val="en-US" w:eastAsia="zh-CN"/>
        </w:rPr>
        <w:t>。</w:t>
      </w:r>
    </w:p>
    <w:p w14:paraId="656B4C30">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32.3 本项目代理服务费按</w:t>
      </w:r>
      <w:r>
        <w:rPr>
          <w:rFonts w:hint="eastAsia" w:ascii="宋体" w:hAnsi="宋体" w:eastAsia="宋体" w:cs="宋体"/>
          <w:b/>
          <w:bCs/>
          <w:sz w:val="24"/>
          <w:szCs w:val="24"/>
          <w:lang w:val="en-US" w:eastAsia="zh-CN"/>
        </w:rPr>
        <w:t>服务</w:t>
      </w:r>
      <w:r>
        <w:rPr>
          <w:rFonts w:hint="eastAsia" w:ascii="宋体" w:hAnsi="宋体" w:eastAsia="宋体" w:cs="宋体"/>
          <w:sz w:val="24"/>
          <w:szCs w:val="24"/>
          <w:lang w:val="en-US" w:eastAsia="zh-CN"/>
        </w:rPr>
        <w:t>计取。</w:t>
      </w:r>
    </w:p>
    <w:p w14:paraId="123CF1B0">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33、成交通知</w:t>
      </w:r>
      <w:bookmarkEnd w:id="130"/>
      <w:bookmarkEnd w:id="131"/>
      <w:bookmarkEnd w:id="132"/>
      <w:bookmarkEnd w:id="133"/>
      <w:r>
        <w:rPr>
          <w:rFonts w:hint="eastAsia" w:ascii="宋体" w:hAnsi="宋体" w:cs="宋体"/>
          <w:b/>
          <w:bCs/>
          <w:sz w:val="24"/>
          <w:szCs w:val="24"/>
          <w:lang w:val="en-US" w:eastAsia="zh-CN"/>
        </w:rPr>
        <w:t>书</w:t>
      </w:r>
    </w:p>
    <w:p w14:paraId="7126BD62">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33.1在本章规定的磋商有效期内，采购代理机构将对成交供应商公示，公示期为1日。</w:t>
      </w:r>
    </w:p>
    <w:p w14:paraId="47D4343B">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33.2在公示期内，未接到供应商对评审结果提出异议或未接到行政监督部门通知采购人在招磋商活动中有违法行为时，公示期满后，采购代理机构将向成交供应商发出成交通知书。</w:t>
      </w:r>
    </w:p>
    <w:p w14:paraId="6B7438CF">
      <w:pPr>
        <w:spacing w:before="100" w:after="100" w:line="360" w:lineRule="auto"/>
        <w:ind w:firstLine="482" w:firstLineChars="200"/>
        <w:jc w:val="both"/>
        <w:rPr>
          <w:rFonts w:hint="eastAsia" w:ascii="宋体" w:hAnsi="宋体" w:cs="宋体"/>
          <w:b/>
          <w:bCs/>
          <w:sz w:val="24"/>
          <w:szCs w:val="24"/>
          <w:lang w:val="en-US" w:eastAsia="zh-CN"/>
        </w:rPr>
      </w:pPr>
      <w:bookmarkStart w:id="134" w:name="_Toc144974538"/>
      <w:bookmarkStart w:id="135" w:name="_Toc152045570"/>
      <w:bookmarkStart w:id="136" w:name="_Toc152042346"/>
      <w:bookmarkStart w:id="137" w:name="_Toc179632588"/>
      <w:r>
        <w:rPr>
          <w:rFonts w:hint="eastAsia" w:ascii="宋体" w:hAnsi="宋体" w:cs="宋体"/>
          <w:b/>
          <w:bCs/>
          <w:sz w:val="24"/>
          <w:szCs w:val="24"/>
          <w:lang w:val="en-US" w:eastAsia="zh-CN"/>
        </w:rPr>
        <w:t>34、签订合同</w:t>
      </w:r>
      <w:bookmarkEnd w:id="134"/>
      <w:bookmarkEnd w:id="135"/>
      <w:bookmarkEnd w:id="136"/>
      <w:bookmarkEnd w:id="137"/>
    </w:p>
    <w:p w14:paraId="757D398F">
      <w:pPr>
        <w:spacing w:line="360" w:lineRule="auto"/>
        <w:ind w:firstLine="480" w:firstLineChars="200"/>
        <w:rPr>
          <w:rFonts w:hint="eastAsia" w:ascii="宋体" w:hAnsi="宋体" w:eastAsia="宋体"/>
          <w:sz w:val="24"/>
          <w:szCs w:val="24"/>
          <w:lang w:val="en-US" w:eastAsia="zh-CN"/>
        </w:rPr>
      </w:pPr>
      <w:r>
        <w:rPr>
          <w:rFonts w:hint="eastAsia" w:ascii="宋体" w:hAnsi="宋体"/>
          <w:sz w:val="24"/>
          <w:szCs w:val="24"/>
          <w:lang w:val="en-US" w:eastAsia="zh-CN"/>
        </w:rPr>
        <w:t>34</w:t>
      </w:r>
      <w:r>
        <w:rPr>
          <w:rFonts w:hint="eastAsia" w:ascii="宋体" w:hAnsi="宋体"/>
          <w:sz w:val="24"/>
          <w:szCs w:val="24"/>
        </w:rPr>
        <w:t>.1成交人应当自成交通知书发出之日起</w:t>
      </w:r>
      <w:r>
        <w:rPr>
          <w:rFonts w:hint="eastAsia" w:ascii="宋体" w:hAnsi="宋体"/>
          <w:b/>
          <w:bCs/>
          <w:sz w:val="24"/>
          <w:szCs w:val="24"/>
          <w:lang w:val="en-US" w:eastAsia="zh-CN"/>
        </w:rPr>
        <w:t>十</w:t>
      </w:r>
      <w:r>
        <w:rPr>
          <w:rFonts w:hint="eastAsia" w:ascii="宋体" w:hAnsi="宋体"/>
          <w:b/>
          <w:bCs/>
          <w:sz w:val="24"/>
          <w:szCs w:val="24"/>
        </w:rPr>
        <w:t>日</w:t>
      </w:r>
      <w:r>
        <w:rPr>
          <w:rFonts w:hint="eastAsia" w:ascii="宋体" w:hAnsi="宋体"/>
          <w:sz w:val="24"/>
          <w:szCs w:val="24"/>
        </w:rPr>
        <w:t>内，按照磋商文件确定的事项和成交人的响应文件，持成交通知书与采购人签订合同</w:t>
      </w:r>
      <w:r>
        <w:rPr>
          <w:rFonts w:hint="eastAsia" w:ascii="宋体" w:hAnsi="宋体" w:eastAsia="宋体" w:cs="宋体"/>
          <w:color w:val="auto"/>
          <w:kern w:val="2"/>
          <w:sz w:val="24"/>
          <w:szCs w:val="24"/>
          <w:highlight w:val="none"/>
          <w:lang w:val="en-US" w:eastAsia="zh-CN" w:bidi="ar"/>
        </w:rPr>
        <w:t>。</w:t>
      </w:r>
    </w:p>
    <w:p w14:paraId="090A6360">
      <w:pPr>
        <w:spacing w:line="360" w:lineRule="auto"/>
        <w:ind w:firstLine="480" w:firstLineChars="200"/>
        <w:rPr>
          <w:rFonts w:hint="eastAsia" w:ascii="宋体" w:hAnsi="宋体"/>
          <w:sz w:val="24"/>
          <w:szCs w:val="24"/>
        </w:rPr>
      </w:pPr>
      <w:r>
        <w:rPr>
          <w:rFonts w:hint="eastAsia" w:ascii="宋体" w:hAnsi="宋体"/>
          <w:sz w:val="24"/>
          <w:szCs w:val="24"/>
          <w:lang w:val="en-US" w:eastAsia="zh-CN"/>
        </w:rPr>
        <w:t>34</w:t>
      </w:r>
      <w:r>
        <w:rPr>
          <w:rFonts w:hint="eastAsia" w:ascii="宋体" w:hAnsi="宋体"/>
          <w:sz w:val="24"/>
          <w:szCs w:val="24"/>
        </w:rPr>
        <w:t>.2 磋商文件、成交人的响应文件和补充文件（如澄清、承诺等）等，均为签订合同的依据。所签订的合同不得对磋商文件和成交人响应文件作实质性修改。</w:t>
      </w:r>
    </w:p>
    <w:p w14:paraId="42E0472F">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34</w:t>
      </w:r>
      <w:r>
        <w:rPr>
          <w:rFonts w:hint="eastAsia" w:ascii="宋体" w:hAnsi="宋体" w:cs="宋体"/>
          <w:sz w:val="24"/>
          <w:szCs w:val="24"/>
        </w:rPr>
        <w:t>.2采购人自采购合同签订之日起</w:t>
      </w:r>
      <w:r>
        <w:rPr>
          <w:rFonts w:hint="eastAsia" w:ascii="宋体" w:hAnsi="宋体" w:cs="宋体"/>
          <w:b/>
          <w:bCs/>
          <w:sz w:val="24"/>
          <w:szCs w:val="24"/>
          <w:lang w:val="en-US" w:eastAsia="zh-CN"/>
        </w:rPr>
        <w:t>二</w:t>
      </w:r>
      <w:r>
        <w:rPr>
          <w:rFonts w:hint="eastAsia" w:ascii="宋体" w:hAnsi="宋体" w:cs="宋体"/>
          <w:b/>
          <w:bCs/>
          <w:sz w:val="24"/>
          <w:szCs w:val="24"/>
        </w:rPr>
        <w:t>个工作日</w:t>
      </w:r>
      <w:r>
        <w:rPr>
          <w:rFonts w:hint="eastAsia" w:ascii="宋体" w:hAnsi="宋体" w:cs="宋体"/>
          <w:sz w:val="24"/>
          <w:szCs w:val="24"/>
        </w:rPr>
        <w:t>内，将采购合同副本报同级人民政府财政部门备案。</w:t>
      </w:r>
    </w:p>
    <w:p w14:paraId="5F02CAA3">
      <w:pPr>
        <w:spacing w:before="100" w:after="100" w:line="360" w:lineRule="auto"/>
        <w:ind w:firstLine="482" w:firstLineChars="200"/>
        <w:jc w:val="both"/>
        <w:rPr>
          <w:rFonts w:hint="eastAsia" w:ascii="宋体" w:hAnsi="宋体" w:cs="宋体"/>
          <w:b/>
          <w:bCs/>
          <w:sz w:val="24"/>
          <w:szCs w:val="24"/>
          <w:lang w:val="en-US" w:eastAsia="zh-CN"/>
        </w:rPr>
      </w:pPr>
      <w:bookmarkStart w:id="138" w:name="_Toc179632590"/>
      <w:bookmarkStart w:id="139" w:name="_Toc152045572"/>
      <w:bookmarkStart w:id="140" w:name="_Toc152042348"/>
      <w:bookmarkStart w:id="141" w:name="_Toc144974540"/>
      <w:r>
        <w:rPr>
          <w:rFonts w:hint="eastAsia" w:ascii="宋体" w:hAnsi="宋体" w:cs="宋体"/>
          <w:b/>
          <w:bCs/>
          <w:sz w:val="24"/>
          <w:szCs w:val="24"/>
          <w:lang w:val="en-US" w:eastAsia="zh-CN"/>
        </w:rPr>
        <w:t>35、重新采购</w:t>
      </w:r>
      <w:bookmarkEnd w:id="138"/>
      <w:bookmarkEnd w:id="139"/>
      <w:bookmarkEnd w:id="140"/>
      <w:bookmarkEnd w:id="141"/>
    </w:p>
    <w:p w14:paraId="4312D4B8">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有下列情形之一的，采购人将重新采购：</w:t>
      </w:r>
    </w:p>
    <w:p w14:paraId="103DA503">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（1）磋商截止时间止，供应商少于3家的；</w:t>
      </w:r>
    </w:p>
    <w:p w14:paraId="6264B152">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（2）通过审查合格的供应商只有一家的；</w:t>
      </w:r>
    </w:p>
    <w:p w14:paraId="1650F2AF">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（3）经磋商小组评审后否决所有投标的。</w:t>
      </w:r>
    </w:p>
    <w:p w14:paraId="20574B9A">
      <w:pPr>
        <w:spacing w:before="100" w:after="100" w:line="360" w:lineRule="auto"/>
        <w:ind w:firstLine="723" w:firstLineChars="200"/>
        <w:jc w:val="center"/>
        <w:rPr>
          <w:rFonts w:hint="eastAsia" w:ascii="宋体" w:hAnsi="宋体" w:eastAsia="宋体" w:cs="宋体"/>
          <w:b/>
          <w:bCs w:val="0"/>
          <w:kern w:val="2"/>
          <w:sz w:val="36"/>
          <w:szCs w:val="32"/>
          <w:lang w:val="en-US" w:eastAsia="zh-CN" w:bidi="ar-SA"/>
        </w:rPr>
      </w:pPr>
      <w:bookmarkStart w:id="142" w:name="_Toc29516"/>
      <w:bookmarkStart w:id="143" w:name="_Toc152042350"/>
      <w:bookmarkStart w:id="144" w:name="_Toc510859694"/>
      <w:bookmarkStart w:id="145" w:name="_Toc510859900"/>
      <w:bookmarkStart w:id="146" w:name="_Toc179632592"/>
      <w:bookmarkStart w:id="147" w:name="_Toc6327"/>
      <w:bookmarkStart w:id="148" w:name="_Toc363119286"/>
      <w:bookmarkStart w:id="149" w:name="_Toc144974542"/>
      <w:bookmarkStart w:id="150" w:name="_Toc16351"/>
      <w:bookmarkStart w:id="151" w:name="_Toc152045574"/>
      <w:bookmarkStart w:id="152" w:name="_Toc513557035"/>
      <w:bookmarkStart w:id="153" w:name="_Toc9642"/>
      <w:r>
        <w:rPr>
          <w:rFonts w:hint="eastAsia" w:ascii="宋体" w:hAnsi="宋体" w:eastAsia="宋体" w:cs="宋体"/>
          <w:b/>
          <w:bCs w:val="0"/>
          <w:kern w:val="2"/>
          <w:sz w:val="36"/>
          <w:szCs w:val="32"/>
          <w:lang w:val="en-US" w:eastAsia="zh-CN" w:bidi="ar-SA"/>
        </w:rPr>
        <w:t>G 纪律和监督</w:t>
      </w:r>
      <w:bookmarkEnd w:id="142"/>
      <w:bookmarkEnd w:id="143"/>
      <w:bookmarkEnd w:id="144"/>
      <w:bookmarkEnd w:id="145"/>
      <w:bookmarkEnd w:id="146"/>
      <w:bookmarkEnd w:id="147"/>
      <w:bookmarkEnd w:id="148"/>
      <w:bookmarkEnd w:id="149"/>
      <w:bookmarkEnd w:id="150"/>
      <w:bookmarkEnd w:id="151"/>
      <w:bookmarkEnd w:id="152"/>
      <w:bookmarkEnd w:id="153"/>
    </w:p>
    <w:p w14:paraId="29C6EF73">
      <w:pPr>
        <w:spacing w:before="100" w:after="100" w:line="360" w:lineRule="auto"/>
        <w:ind w:firstLine="482" w:firstLineChars="200"/>
        <w:jc w:val="both"/>
        <w:rPr>
          <w:rFonts w:hint="eastAsia" w:ascii="宋体" w:hAnsi="宋体" w:cs="宋体"/>
          <w:b/>
          <w:bCs/>
          <w:sz w:val="24"/>
          <w:szCs w:val="24"/>
          <w:lang w:val="en-US" w:eastAsia="zh-CN"/>
        </w:rPr>
      </w:pPr>
      <w:bookmarkStart w:id="154" w:name="_Toc144974543"/>
      <w:bookmarkStart w:id="155" w:name="_Toc152042351"/>
      <w:bookmarkStart w:id="156" w:name="_Toc152045575"/>
      <w:bookmarkStart w:id="157" w:name="_Toc179632593"/>
      <w:r>
        <w:rPr>
          <w:rFonts w:hint="eastAsia" w:ascii="宋体" w:hAnsi="宋体" w:cs="宋体"/>
          <w:b/>
          <w:bCs/>
          <w:sz w:val="24"/>
          <w:szCs w:val="24"/>
          <w:lang w:val="en-US" w:eastAsia="zh-CN"/>
        </w:rPr>
        <w:t>36、对采购人的纪律要求</w:t>
      </w:r>
      <w:bookmarkEnd w:id="154"/>
      <w:bookmarkEnd w:id="155"/>
      <w:bookmarkEnd w:id="156"/>
      <w:bookmarkEnd w:id="157"/>
    </w:p>
    <w:p w14:paraId="7E16604C">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采购人不得泄漏招标投标活动中应当保密的情况和资料，不得与供应商串通损害国家利益、社会公共利益或者他人合法权益。</w:t>
      </w:r>
    </w:p>
    <w:p w14:paraId="643BB568">
      <w:pPr>
        <w:spacing w:before="100" w:after="100" w:line="360" w:lineRule="auto"/>
        <w:ind w:firstLine="482" w:firstLineChars="200"/>
        <w:jc w:val="both"/>
        <w:rPr>
          <w:rFonts w:hint="eastAsia" w:ascii="宋体" w:hAnsi="宋体" w:cs="宋体"/>
          <w:b/>
          <w:bCs/>
          <w:sz w:val="24"/>
          <w:szCs w:val="24"/>
          <w:lang w:val="en-US" w:eastAsia="zh-CN"/>
        </w:rPr>
      </w:pPr>
      <w:bookmarkStart w:id="158" w:name="_Toc152045576"/>
      <w:bookmarkStart w:id="159" w:name="_Toc144974544"/>
      <w:bookmarkStart w:id="160" w:name="_Toc152042352"/>
      <w:bookmarkStart w:id="161" w:name="_Toc179632594"/>
      <w:r>
        <w:rPr>
          <w:rFonts w:hint="eastAsia" w:ascii="宋体" w:hAnsi="宋体" w:cs="宋体"/>
          <w:b/>
          <w:bCs/>
          <w:sz w:val="24"/>
          <w:szCs w:val="24"/>
          <w:lang w:val="en-US" w:eastAsia="zh-CN"/>
        </w:rPr>
        <w:t>37、对供应商的纪律要求</w:t>
      </w:r>
      <w:bookmarkEnd w:id="158"/>
      <w:bookmarkEnd w:id="159"/>
      <w:bookmarkEnd w:id="160"/>
      <w:bookmarkEnd w:id="161"/>
    </w:p>
    <w:p w14:paraId="6731298D">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供应商不得相互串通磋商或者与采购人串通磋商，不得向采购人或者磋商小组成</w:t>
      </w:r>
      <w:r>
        <w:rPr>
          <w:rFonts w:hint="eastAsia" w:ascii="宋体" w:hAnsi="宋体" w:eastAsia="宋体" w:cs="宋体"/>
          <w:sz w:val="24"/>
          <w:szCs w:val="24"/>
        </w:rPr>
        <w:t>员行贿谋取成交，不得以</w:t>
      </w:r>
      <w:r>
        <w:rPr>
          <w:rFonts w:hint="eastAsia" w:ascii="宋体" w:hAnsi="宋体" w:eastAsia="宋体" w:cs="宋体"/>
          <w:sz w:val="24"/>
          <w:szCs w:val="24"/>
          <w:lang w:val="en-US" w:eastAsia="zh-CN"/>
        </w:rPr>
        <w:t>他人</w:t>
      </w:r>
      <w:r>
        <w:rPr>
          <w:rFonts w:hint="eastAsia" w:ascii="宋体" w:hAnsi="宋体" w:eastAsia="宋体" w:cs="宋体"/>
          <w:sz w:val="24"/>
          <w:szCs w:val="24"/>
        </w:rPr>
        <w:t>名义磋商或者以其他方式弄虚作假骗取成交；供应商不得以任何方式干扰、影响评审工作。</w:t>
      </w:r>
    </w:p>
    <w:p w14:paraId="78E4B351">
      <w:pPr>
        <w:spacing w:before="100" w:after="100" w:line="360" w:lineRule="auto"/>
        <w:ind w:firstLine="482" w:firstLineChars="200"/>
        <w:jc w:val="both"/>
        <w:rPr>
          <w:rFonts w:hint="eastAsia" w:ascii="宋体" w:hAnsi="宋体" w:cs="宋体"/>
          <w:b/>
          <w:bCs/>
          <w:sz w:val="24"/>
          <w:szCs w:val="24"/>
          <w:lang w:val="en-US" w:eastAsia="zh-CN"/>
        </w:rPr>
      </w:pPr>
      <w:bookmarkStart w:id="162" w:name="_Toc152042353"/>
      <w:bookmarkStart w:id="163" w:name="_Toc179632595"/>
      <w:bookmarkStart w:id="164" w:name="_Toc152045577"/>
      <w:bookmarkStart w:id="165" w:name="_Toc144974545"/>
      <w:r>
        <w:rPr>
          <w:rFonts w:hint="eastAsia" w:ascii="宋体" w:hAnsi="宋体" w:cs="宋体"/>
          <w:b/>
          <w:bCs/>
          <w:sz w:val="24"/>
          <w:szCs w:val="24"/>
          <w:lang w:val="en-US" w:eastAsia="zh-CN"/>
        </w:rPr>
        <w:t>38、对磋商小组成员的纪律要求</w:t>
      </w:r>
      <w:bookmarkEnd w:id="162"/>
      <w:bookmarkEnd w:id="163"/>
      <w:bookmarkEnd w:id="164"/>
      <w:bookmarkEnd w:id="165"/>
    </w:p>
    <w:p w14:paraId="78A21D9A">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磋商小组成员不得收受他人的财物或者其他好处，不得向他人透漏对竞争性磋商响应文件的评审和比较、成交人候选人的推荐情况以及评审有关的其他情况。在评审活动中，磋商小组成员不得擅离职守，影响评审程序正常进行，不得使用“评审办法”没有规定的评审因素和标准进行评审。</w:t>
      </w:r>
    </w:p>
    <w:p w14:paraId="34A109AE">
      <w:pPr>
        <w:spacing w:before="100" w:after="100" w:line="360" w:lineRule="auto"/>
        <w:ind w:firstLine="482" w:firstLineChars="200"/>
        <w:jc w:val="both"/>
        <w:rPr>
          <w:rFonts w:hint="eastAsia" w:ascii="宋体" w:hAnsi="宋体" w:cs="宋体"/>
          <w:b/>
          <w:bCs/>
          <w:sz w:val="24"/>
          <w:szCs w:val="24"/>
          <w:lang w:val="en-US" w:eastAsia="zh-CN"/>
        </w:rPr>
      </w:pPr>
      <w:bookmarkStart w:id="166" w:name="_Toc152042354"/>
      <w:bookmarkStart w:id="167" w:name="_Toc179632596"/>
      <w:bookmarkStart w:id="168" w:name="_Toc152045578"/>
      <w:bookmarkStart w:id="169" w:name="_Toc144974546"/>
      <w:r>
        <w:rPr>
          <w:rFonts w:hint="eastAsia" w:ascii="宋体" w:hAnsi="宋体" w:cs="宋体"/>
          <w:b/>
          <w:bCs/>
          <w:sz w:val="24"/>
          <w:szCs w:val="24"/>
          <w:lang w:val="en-US" w:eastAsia="zh-CN"/>
        </w:rPr>
        <w:t>39、 对与评审活动有关的工作人员的纪律要求</w:t>
      </w:r>
      <w:bookmarkEnd w:id="166"/>
      <w:bookmarkEnd w:id="167"/>
      <w:bookmarkEnd w:id="168"/>
    </w:p>
    <w:p w14:paraId="06AC01A1">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4"/>
          <w:szCs w:val="24"/>
        </w:rPr>
      </w:pPr>
      <w:bookmarkStart w:id="170" w:name="_Toc152042355"/>
      <w:r>
        <w:rPr>
          <w:rFonts w:hint="eastAsia" w:ascii="宋体" w:hAnsi="宋体" w:eastAsia="宋体" w:cs="宋体"/>
          <w:sz w:val="24"/>
          <w:szCs w:val="24"/>
        </w:rPr>
        <w:t>与评审活动有关的工作人员不得收受他人的财物或者其他好处，不得向他人透漏对竞争性磋商响应文件的评审和比较、成交人候选人的推荐情况以及评审有关的其他情况。在评审活动中，与评审活动有关的工作人员不得擅离职守，影响评审程序正常进行。</w:t>
      </w:r>
      <w:bookmarkEnd w:id="170"/>
    </w:p>
    <w:p w14:paraId="28734BD3">
      <w:pPr>
        <w:pStyle w:val="51"/>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cs="宋体"/>
          <w:b/>
          <w:bCs/>
          <w:sz w:val="24"/>
          <w:szCs w:val="24"/>
          <w:lang w:val="en-US" w:eastAsia="zh-CN"/>
        </w:rPr>
      </w:pPr>
      <w:bookmarkStart w:id="171" w:name="_Toc152042356"/>
      <w:bookmarkStart w:id="172" w:name="_Toc179632597"/>
      <w:bookmarkStart w:id="173" w:name="_Toc152045579"/>
      <w:r>
        <w:rPr>
          <w:rFonts w:hint="eastAsia" w:ascii="宋体" w:hAnsi="宋体" w:cs="宋体"/>
          <w:b/>
          <w:bCs/>
          <w:sz w:val="24"/>
          <w:szCs w:val="24"/>
          <w:lang w:val="en-US" w:eastAsia="zh-CN"/>
        </w:rPr>
        <w:t>40、 投诉</w:t>
      </w:r>
      <w:bookmarkEnd w:id="169"/>
      <w:bookmarkEnd w:id="171"/>
      <w:bookmarkEnd w:id="172"/>
      <w:bookmarkEnd w:id="173"/>
    </w:p>
    <w:bookmarkEnd w:id="8"/>
    <w:bookmarkEnd w:id="9"/>
    <w:p w14:paraId="100B8244">
      <w:pPr>
        <w:spacing w:line="360" w:lineRule="auto"/>
        <w:ind w:firstLine="420" w:firstLineChars="200"/>
        <w:rPr>
          <w:rFonts w:hint="eastAsia" w:ascii="宋体" w:hAnsi="宋体" w:cs="宋体"/>
          <w:kern w:val="0"/>
          <w:szCs w:val="24"/>
        </w:rPr>
      </w:pPr>
      <w:bookmarkStart w:id="174" w:name="_Toc511146529"/>
      <w:bookmarkStart w:id="175" w:name="_Toc31487"/>
      <w:bookmarkStart w:id="176" w:name="_Toc504605093"/>
      <w:r>
        <w:rPr>
          <w:rFonts w:hint="eastAsia" w:ascii="宋体" w:hAnsi="宋体" w:cs="宋体"/>
          <w:kern w:val="0"/>
          <w:szCs w:val="24"/>
        </w:rPr>
        <w:t>质疑</w:t>
      </w:r>
      <w:r>
        <w:rPr>
          <w:rFonts w:hint="eastAsia" w:ascii="宋体" w:hAnsi="宋体" w:cs="宋体"/>
          <w:kern w:val="0"/>
          <w:szCs w:val="24"/>
          <w:lang w:eastAsia="zh-CN"/>
        </w:rPr>
        <w:t>供应商</w:t>
      </w:r>
      <w:r>
        <w:rPr>
          <w:rFonts w:hint="eastAsia" w:ascii="宋体" w:hAnsi="宋体" w:cs="宋体"/>
          <w:kern w:val="0"/>
          <w:szCs w:val="24"/>
        </w:rPr>
        <w:t>对采购人、采购代理机构的答复不满意或者采购人、采购代理机构未在规定的时间内作出答复的，可按《政府采购法》第55条和</w:t>
      </w:r>
      <w:r>
        <w:rPr>
          <w:rFonts w:hint="eastAsia" w:ascii="宋体" w:hAnsi="宋体"/>
          <w:szCs w:val="24"/>
        </w:rPr>
        <w:t>《政府采购质疑和投诉办法》（财政部令第94号）第17条</w:t>
      </w:r>
      <w:r>
        <w:rPr>
          <w:rFonts w:hint="eastAsia" w:ascii="宋体" w:hAnsi="宋体" w:cs="宋体"/>
          <w:kern w:val="0"/>
          <w:szCs w:val="24"/>
        </w:rPr>
        <w:t>等有关规定执行。</w:t>
      </w:r>
    </w:p>
    <w:p w14:paraId="436364FE">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31.7对捏造事实、提供虚假材料进行质疑、投诉的行为予以严肃处理。</w:t>
      </w:r>
    </w:p>
    <w:p w14:paraId="16E2A644">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①《中华人民共和国政府采购法》《中华人民共和国政府采购法实施条例》《政府采购质疑和投诉办法》等法律法规的规定，投标人质疑、投诉应当有明确的请求和必要的证明材料。</w:t>
      </w:r>
    </w:p>
    <w:p w14:paraId="082E5685">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②投诉人在全国范围内十二个月内三次以上投诉查无实据的，由财政部门列入不良行为记录名单。</w:t>
      </w:r>
    </w:p>
    <w:p w14:paraId="46BD644B">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③捏造事实、提供虚假材料或者以非法手段取得证明材料的投诉将被驳回，并将提出投诉的投标人列入不良行为记录名单，禁止其一至三年内参加政府采购活动。</w:t>
      </w:r>
    </w:p>
    <w:p w14:paraId="4E958B49">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cs="宋体"/>
          <w:color w:val="auto"/>
          <w:kern w:val="2"/>
          <w:sz w:val="24"/>
          <w:szCs w:val="24"/>
          <w:highlight w:val="none"/>
          <w:lang w:val="en-US" w:eastAsia="zh-CN" w:bidi="ar"/>
        </w:rPr>
        <w:t>31.8</w:t>
      </w:r>
      <w:r>
        <w:rPr>
          <w:rFonts w:hint="eastAsia" w:ascii="宋体" w:hAnsi="宋体" w:eastAsia="宋体" w:cs="宋体"/>
          <w:color w:val="auto"/>
          <w:kern w:val="2"/>
          <w:sz w:val="24"/>
          <w:szCs w:val="24"/>
          <w:highlight w:val="none"/>
          <w:lang w:val="en-US" w:eastAsia="zh-CN" w:bidi="ar"/>
        </w:rPr>
        <w:t>依法严惩捏造事实诬告陷害、诽谤他人的行为。</w:t>
      </w:r>
    </w:p>
    <w:p w14:paraId="7EEC8231">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①《中华人民共和国刑法》第 243 条【诬告陷害罪】捏造事实诬告陷害他人，意图使他人受刑事追究，情节严重的，处三年以下有期徒刑、拘役或者管制；造成严重后果的，处三年以上十年以下有期徒刑。</w:t>
      </w:r>
    </w:p>
    <w:p w14:paraId="51749A09">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Times New Roman"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②《中华人民共和国刑法》第 246 条【侮辱罪、诽谤罪】以暴力或者其他方法公然侮辱他</w:t>
      </w:r>
      <w:r>
        <w:rPr>
          <w:rFonts w:hint="eastAsia" w:ascii="Times New Roman" w:hAnsi="宋体" w:eastAsia="宋体" w:cs="宋体"/>
          <w:color w:val="auto"/>
          <w:kern w:val="2"/>
          <w:sz w:val="24"/>
          <w:szCs w:val="24"/>
          <w:highlight w:val="none"/>
          <w:lang w:val="en-US" w:eastAsia="zh-CN" w:bidi="ar"/>
        </w:rPr>
        <w:t>人或者捏造事实诽谤他人，情节严重的，处三年以下有期徒刑、拘役、管制或者剥夺政治权利终身。</w:t>
      </w:r>
    </w:p>
    <w:p w14:paraId="1C351BE5">
      <w:pPr>
        <w:spacing w:before="100" w:after="100" w:line="360" w:lineRule="auto"/>
        <w:ind w:firstLine="480" w:firstLineChars="200"/>
        <w:jc w:val="both"/>
        <w:rPr>
          <w:rFonts w:hint="eastAsia" w:ascii="Times New Roman"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投标人和其他利害关系人认为本次招标活动违反法律、法规和规章规定的，有权向</w:t>
      </w:r>
      <w:r>
        <w:rPr>
          <w:rFonts w:hint="eastAsia" w:ascii="Times New Roman" w:hAnsi="宋体" w:eastAsia="宋体" w:cs="宋体"/>
          <w:color w:val="auto"/>
          <w:kern w:val="2"/>
          <w:sz w:val="24"/>
          <w:szCs w:val="24"/>
          <w:highlight w:val="none"/>
          <w:lang w:val="en-US" w:eastAsia="zh-CN" w:bidi="ar"/>
        </w:rPr>
        <w:t>当地财政局提出投诉，质疑是投诉的前置条件。</w:t>
      </w:r>
    </w:p>
    <w:p w14:paraId="31FCD2E5">
      <w:pPr>
        <w:spacing w:before="100" w:after="100" w:line="360" w:lineRule="auto"/>
        <w:ind w:firstLine="482" w:firstLineChars="200"/>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41、其他</w:t>
      </w:r>
    </w:p>
    <w:p w14:paraId="4B244F88">
      <w:pPr>
        <w:spacing w:line="360" w:lineRule="auto"/>
        <w:ind w:firstLine="480" w:firstLineChars="200"/>
        <w:rPr>
          <w:rFonts w:hint="eastAsia" w:ascii="宋体" w:hAnsi="宋体" w:eastAsia="宋体" w:cs="宋体"/>
          <w:sz w:val="24"/>
        </w:rPr>
      </w:pPr>
      <w:r>
        <w:rPr>
          <w:rFonts w:hint="eastAsia" w:ascii="宋体" w:hAnsi="宋体" w:eastAsia="宋体" w:cs="宋体"/>
          <w:sz w:val="24"/>
        </w:rPr>
        <w:t>1、依据陕财办采资〔2018〕26号文件的规定，采用竞争性磋商采购方式的货物、服务项目，参加采购活动或符合采购需求的供应商只有一家，经磋商小组审核认为竞争性磋商文件没有倾向性、歧视性条款，采购人不改变采购需求，且同意转为单一来源方式采购，可以现场自行决定采用，不再进行公示。</w:t>
      </w:r>
    </w:p>
    <w:p w14:paraId="7C20DB6F">
      <w:pPr>
        <w:spacing w:line="360" w:lineRule="auto"/>
        <w:ind w:firstLine="480" w:firstLineChars="200"/>
        <w:rPr>
          <w:rFonts w:hint="eastAsia" w:ascii="宋体" w:hAnsi="宋体" w:eastAsia="宋体" w:cs="宋体"/>
          <w:sz w:val="24"/>
        </w:rPr>
      </w:pPr>
      <w:r>
        <w:rPr>
          <w:rFonts w:hint="eastAsia" w:ascii="宋体" w:hAnsi="宋体" w:eastAsia="宋体" w:cs="宋体"/>
          <w:sz w:val="24"/>
        </w:rPr>
        <w:t>2、转变为单一来源采购方式后，实行多轮报价，磋商报价为一次报价，如采购需求没有实质性变化，供应商报价应逐次降低，本次报价超过上次报价为无效报价，出现相同报价的，可再次报价。</w:t>
      </w:r>
    </w:p>
    <w:p w14:paraId="0D14BE2B">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w:t>
      </w:r>
      <w:r>
        <w:rPr>
          <w:rFonts w:hint="eastAsia" w:ascii="宋体" w:hAnsi="宋体" w:eastAsia="宋体" w:cs="宋体"/>
          <w:sz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w:t>
      </w:r>
      <w:r>
        <w:rPr>
          <w:rFonts w:hint="eastAsia" w:ascii="宋体" w:hAnsi="宋体" w:eastAsia="宋体" w:cs="宋体"/>
          <w:sz w:val="24"/>
          <w:lang w:val="en-US" w:eastAsia="zh-CN"/>
        </w:rPr>
        <w:t>管理</w:t>
      </w:r>
      <w:r>
        <w:rPr>
          <w:rFonts w:hint="eastAsia" w:ascii="宋体" w:hAnsi="宋体" w:eastAsia="宋体" w:cs="宋体"/>
          <w:sz w:val="24"/>
        </w:rPr>
        <w:t>办法》（财库〔20</w:t>
      </w:r>
      <w:r>
        <w:rPr>
          <w:rFonts w:hint="eastAsia" w:ascii="宋体" w:hAnsi="宋体" w:eastAsia="宋体" w:cs="宋体"/>
          <w:sz w:val="24"/>
          <w:lang w:val="en-US" w:eastAsia="zh-CN"/>
        </w:rPr>
        <w:t>20</w:t>
      </w:r>
      <w:r>
        <w:rPr>
          <w:rFonts w:hint="eastAsia" w:ascii="宋体" w:hAnsi="宋体" w:eastAsia="宋体" w:cs="宋体"/>
          <w:sz w:val="24"/>
        </w:rPr>
        <w:t>〕</w:t>
      </w:r>
      <w:r>
        <w:rPr>
          <w:rFonts w:hint="eastAsia" w:ascii="宋体" w:hAnsi="宋体" w:eastAsia="宋体" w:cs="宋体"/>
          <w:sz w:val="24"/>
          <w:lang w:val="en-US" w:eastAsia="zh-CN"/>
        </w:rPr>
        <w:t>46</w:t>
      </w:r>
      <w:r>
        <w:rPr>
          <w:rFonts w:hint="eastAsia" w:ascii="宋体" w:hAnsi="宋体" w:eastAsia="宋体" w:cs="宋体"/>
          <w:sz w:val="24"/>
        </w:rPr>
        <w:t>号）</w:t>
      </w:r>
      <w:r>
        <w:rPr>
          <w:rFonts w:hint="eastAsia" w:ascii="宋体" w:hAnsi="宋体" w:eastAsia="宋体" w:cs="宋体"/>
          <w:b/>
          <w:bCs/>
          <w:sz w:val="24"/>
          <w:lang w:val="en-US" w:eastAsia="zh-CN"/>
        </w:rPr>
        <w:t>（第七条：采购限额标准以上，200 万元以下的货物和服务采购项目、400 万元以下的工程采购项目，适宜由中小企业提供的，采购人应当专门面向中小企业采购）</w:t>
      </w:r>
      <w:r>
        <w:rPr>
          <w:rFonts w:hint="eastAsia" w:ascii="宋体" w:hAnsi="宋体" w:eastAsia="宋体" w:cs="宋体"/>
          <w:sz w:val="24"/>
        </w:rPr>
        <w:t>、《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288299FF">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4、政采贷业务 为了进一步推动金融支持政策更好适应市场主体的需要，扎实落 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 作的通知》(陕财办采〔2020〕15号)、《陕西省财政厅中国人 民银行西安分行关于深入推进政府采购信用融资业务的通知》(陕财办采〔2023〕5号)等有关规定，按照政府引导、市场运作、银企自愿、风险自担的原则，中标(成交)供应商可根据自身资金需求，登录陕西省政府采购信用融资平台(http://www.ccgp-shaanxi.gov.cn/zcdservice/zcd/shanxi/)或中征平台(https  ://www.crcrfsp.com)在线申请，依法参加政府采购信用融资活动。</w:t>
      </w:r>
    </w:p>
    <w:p w14:paraId="4E91D614">
      <w:pPr>
        <w:spacing w:line="360" w:lineRule="auto"/>
        <w:ind w:firstLine="480" w:firstLineChars="200"/>
        <w:rPr>
          <w:rFonts w:hint="eastAsia" w:ascii="宋体" w:hAnsi="宋体" w:eastAsia="宋体" w:cs="宋体"/>
          <w:sz w:val="24"/>
        </w:rPr>
      </w:pPr>
    </w:p>
    <w:p w14:paraId="521D3FD7">
      <w:pPr>
        <w:pStyle w:val="9"/>
        <w:spacing w:line="360" w:lineRule="auto"/>
        <w:jc w:val="center"/>
        <w:rPr>
          <w:rFonts w:hint="eastAsia" w:ascii="宋体" w:hAnsi="宋体" w:eastAsia="宋体" w:cs="宋体"/>
          <w:i w:val="0"/>
          <w:iCs w:val="0"/>
          <w:color w:val="000000"/>
          <w:kern w:val="0"/>
          <w:sz w:val="28"/>
          <w:szCs w:val="28"/>
          <w:u w:val="none"/>
          <w:lang w:val="en-US" w:eastAsia="zh-CN" w:bidi="ar"/>
        </w:rPr>
      </w:pPr>
    </w:p>
    <w:p w14:paraId="79751968">
      <w:pPr>
        <w:pStyle w:val="9"/>
        <w:spacing w:line="360" w:lineRule="auto"/>
        <w:jc w:val="both"/>
        <w:rPr>
          <w:rFonts w:hint="eastAsia" w:ascii="宋体" w:hAnsi="宋体" w:eastAsia="宋体" w:cs="宋体"/>
          <w:i w:val="0"/>
          <w:iCs w:val="0"/>
          <w:color w:val="000000"/>
          <w:kern w:val="0"/>
          <w:sz w:val="28"/>
          <w:szCs w:val="28"/>
          <w:u w:val="none"/>
          <w:lang w:val="en-US" w:eastAsia="zh-CN" w:bidi="ar"/>
        </w:rPr>
        <w:sectPr>
          <w:pgSz w:w="11906" w:h="16838"/>
          <w:pgMar w:top="1440" w:right="1531" w:bottom="1440" w:left="1531" w:header="720" w:footer="720" w:gutter="0"/>
          <w:pgNumType w:fmt="decimal"/>
          <w:cols w:space="720" w:num="1"/>
          <w:docGrid w:type="lines" w:linePitch="312" w:charSpace="0"/>
        </w:sectPr>
      </w:pPr>
    </w:p>
    <w:p w14:paraId="3A67118D">
      <w:pPr>
        <w:pStyle w:val="9"/>
        <w:spacing w:line="360" w:lineRule="auto"/>
        <w:jc w:val="center"/>
        <w:rPr>
          <w:rFonts w:hint="eastAsia"/>
          <w:b/>
          <w:bCs/>
        </w:rPr>
      </w:pPr>
      <w:r>
        <w:rPr>
          <w:rFonts w:hint="eastAsia" w:ascii="宋体" w:hAnsi="宋体" w:eastAsia="宋体" w:cs="宋体"/>
          <w:b/>
          <w:bCs/>
          <w:i w:val="0"/>
          <w:iCs w:val="0"/>
          <w:color w:val="000000"/>
          <w:kern w:val="0"/>
          <w:sz w:val="28"/>
          <w:szCs w:val="28"/>
          <w:u w:val="none"/>
          <w:lang w:val="en-US" w:eastAsia="zh-CN" w:bidi="ar"/>
        </w:rPr>
        <w:t>榆林市“政采贷”业务办理银行联系表</w:t>
      </w:r>
    </w:p>
    <w:tbl>
      <w:tblPr>
        <w:tblStyle w:val="26"/>
        <w:tblW w:w="52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5"/>
        <w:gridCol w:w="1311"/>
        <w:gridCol w:w="1051"/>
        <w:gridCol w:w="1124"/>
        <w:gridCol w:w="1087"/>
        <w:gridCol w:w="1524"/>
        <w:gridCol w:w="1051"/>
        <w:gridCol w:w="1524"/>
      </w:tblGrid>
      <w:tr w14:paraId="7B1D0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15" w:type="pct"/>
            <w:noWrap w:val="0"/>
            <w:vAlign w:val="center"/>
          </w:tcPr>
          <w:p w14:paraId="793A02B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序号</w:t>
            </w:r>
          </w:p>
        </w:tc>
        <w:tc>
          <w:tcPr>
            <w:tcW w:w="693" w:type="pct"/>
            <w:noWrap w:val="0"/>
            <w:vAlign w:val="center"/>
          </w:tcPr>
          <w:p w14:paraId="7325CD5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银行名称</w:t>
            </w:r>
          </w:p>
        </w:tc>
        <w:tc>
          <w:tcPr>
            <w:tcW w:w="555" w:type="pct"/>
            <w:noWrap w:val="0"/>
            <w:vAlign w:val="center"/>
          </w:tcPr>
          <w:p w14:paraId="7DC9F7F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产品名称</w:t>
            </w:r>
          </w:p>
        </w:tc>
        <w:tc>
          <w:tcPr>
            <w:tcW w:w="594" w:type="pct"/>
            <w:noWrap w:val="0"/>
            <w:vAlign w:val="center"/>
          </w:tcPr>
          <w:p w14:paraId="43E89B4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贷款额度</w:t>
            </w:r>
          </w:p>
        </w:tc>
        <w:tc>
          <w:tcPr>
            <w:tcW w:w="574" w:type="pct"/>
            <w:noWrap w:val="0"/>
            <w:vAlign w:val="center"/>
          </w:tcPr>
          <w:p w14:paraId="379450E2">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贷款期限</w:t>
            </w:r>
          </w:p>
        </w:tc>
        <w:tc>
          <w:tcPr>
            <w:tcW w:w="805" w:type="pct"/>
            <w:noWrap w:val="0"/>
            <w:vAlign w:val="center"/>
          </w:tcPr>
          <w:p w14:paraId="43FA4E4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贷款利率</w:t>
            </w:r>
          </w:p>
        </w:tc>
        <w:tc>
          <w:tcPr>
            <w:tcW w:w="555" w:type="pct"/>
            <w:noWrap w:val="0"/>
            <w:vAlign w:val="center"/>
          </w:tcPr>
          <w:p w14:paraId="026FD9D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办理时效</w:t>
            </w:r>
          </w:p>
        </w:tc>
        <w:tc>
          <w:tcPr>
            <w:tcW w:w="805" w:type="pct"/>
            <w:noWrap w:val="0"/>
            <w:vAlign w:val="center"/>
          </w:tcPr>
          <w:p w14:paraId="38C67E6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联系人</w:t>
            </w:r>
          </w:p>
        </w:tc>
      </w:tr>
      <w:tr w14:paraId="04253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15" w:type="pct"/>
            <w:noWrap w:val="0"/>
            <w:vAlign w:val="center"/>
          </w:tcPr>
          <w:p w14:paraId="37BFE2C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693" w:type="pct"/>
            <w:noWrap w:val="0"/>
            <w:vAlign w:val="center"/>
          </w:tcPr>
          <w:p w14:paraId="6F1F0B6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长安银行</w:t>
            </w:r>
          </w:p>
        </w:tc>
        <w:tc>
          <w:tcPr>
            <w:tcW w:w="555" w:type="pct"/>
            <w:noWrap w:val="0"/>
            <w:vAlign w:val="center"/>
          </w:tcPr>
          <w:p w14:paraId="3C9CE5E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政采贷</w:t>
            </w:r>
          </w:p>
        </w:tc>
        <w:tc>
          <w:tcPr>
            <w:tcW w:w="594" w:type="pct"/>
            <w:noWrap w:val="0"/>
            <w:vAlign w:val="center"/>
          </w:tcPr>
          <w:p w14:paraId="2837F6A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1000万元</w:t>
            </w:r>
          </w:p>
        </w:tc>
        <w:tc>
          <w:tcPr>
            <w:tcW w:w="574" w:type="pct"/>
            <w:noWrap w:val="0"/>
            <w:vAlign w:val="center"/>
          </w:tcPr>
          <w:p w14:paraId="50380B6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1-3年</w:t>
            </w:r>
          </w:p>
        </w:tc>
        <w:tc>
          <w:tcPr>
            <w:tcW w:w="805" w:type="pct"/>
            <w:noWrap w:val="0"/>
            <w:vAlign w:val="center"/>
          </w:tcPr>
          <w:p w14:paraId="0AA8C6A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3.45%</w:t>
            </w:r>
          </w:p>
        </w:tc>
        <w:tc>
          <w:tcPr>
            <w:tcW w:w="555" w:type="pct"/>
            <w:noWrap w:val="0"/>
            <w:vAlign w:val="center"/>
          </w:tcPr>
          <w:p w14:paraId="3C3CA6D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72小时</w:t>
            </w:r>
          </w:p>
        </w:tc>
        <w:tc>
          <w:tcPr>
            <w:tcW w:w="805" w:type="pct"/>
            <w:noWrap w:val="0"/>
            <w:vAlign w:val="center"/>
          </w:tcPr>
          <w:p w14:paraId="23F85CF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魏  众15109123951</w:t>
            </w:r>
          </w:p>
        </w:tc>
      </w:tr>
      <w:tr w14:paraId="32B48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15" w:type="pct"/>
            <w:noWrap w:val="0"/>
            <w:vAlign w:val="center"/>
          </w:tcPr>
          <w:p w14:paraId="7F923CD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693" w:type="pct"/>
            <w:noWrap w:val="0"/>
            <w:vAlign w:val="center"/>
          </w:tcPr>
          <w:p w14:paraId="6BF76CC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中信银行</w:t>
            </w:r>
          </w:p>
        </w:tc>
        <w:tc>
          <w:tcPr>
            <w:tcW w:w="555" w:type="pct"/>
            <w:noWrap w:val="0"/>
            <w:vAlign w:val="center"/>
          </w:tcPr>
          <w:p w14:paraId="2EF9F71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政采E贷</w:t>
            </w:r>
          </w:p>
        </w:tc>
        <w:tc>
          <w:tcPr>
            <w:tcW w:w="594" w:type="pct"/>
            <w:noWrap w:val="0"/>
            <w:vAlign w:val="center"/>
          </w:tcPr>
          <w:p w14:paraId="414D992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1000万元</w:t>
            </w:r>
          </w:p>
        </w:tc>
        <w:tc>
          <w:tcPr>
            <w:tcW w:w="574" w:type="pct"/>
            <w:noWrap w:val="0"/>
            <w:vAlign w:val="center"/>
          </w:tcPr>
          <w:p w14:paraId="262C571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1-3年</w:t>
            </w:r>
          </w:p>
        </w:tc>
        <w:tc>
          <w:tcPr>
            <w:tcW w:w="805" w:type="pct"/>
            <w:noWrap w:val="0"/>
            <w:vAlign w:val="center"/>
          </w:tcPr>
          <w:p w14:paraId="52E7837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3.45%起</w:t>
            </w:r>
          </w:p>
        </w:tc>
        <w:tc>
          <w:tcPr>
            <w:tcW w:w="555" w:type="pct"/>
            <w:noWrap w:val="0"/>
            <w:vAlign w:val="center"/>
          </w:tcPr>
          <w:p w14:paraId="278FBD6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24小时</w:t>
            </w:r>
          </w:p>
        </w:tc>
        <w:tc>
          <w:tcPr>
            <w:tcW w:w="805" w:type="pct"/>
            <w:noWrap w:val="0"/>
            <w:vAlign w:val="center"/>
          </w:tcPr>
          <w:p w14:paraId="2F0B828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  靖15509125117</w:t>
            </w:r>
          </w:p>
        </w:tc>
      </w:tr>
      <w:tr w14:paraId="2CC66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15" w:type="pct"/>
            <w:noWrap w:val="0"/>
            <w:vAlign w:val="center"/>
          </w:tcPr>
          <w:p w14:paraId="54F4EB6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693" w:type="pct"/>
            <w:noWrap w:val="0"/>
            <w:vAlign w:val="center"/>
          </w:tcPr>
          <w:p w14:paraId="66DE610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光大银行</w:t>
            </w:r>
          </w:p>
        </w:tc>
        <w:tc>
          <w:tcPr>
            <w:tcW w:w="555" w:type="pct"/>
            <w:noWrap w:val="0"/>
            <w:vAlign w:val="center"/>
          </w:tcPr>
          <w:p w14:paraId="2BC61E3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政采贷</w:t>
            </w:r>
          </w:p>
        </w:tc>
        <w:tc>
          <w:tcPr>
            <w:tcW w:w="594" w:type="pct"/>
            <w:noWrap w:val="0"/>
            <w:vAlign w:val="center"/>
          </w:tcPr>
          <w:p w14:paraId="5AEB7BA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1000万元</w:t>
            </w:r>
          </w:p>
        </w:tc>
        <w:tc>
          <w:tcPr>
            <w:tcW w:w="574" w:type="pct"/>
            <w:noWrap w:val="0"/>
            <w:vAlign w:val="center"/>
          </w:tcPr>
          <w:p w14:paraId="33039E8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1-3年</w:t>
            </w:r>
          </w:p>
        </w:tc>
        <w:tc>
          <w:tcPr>
            <w:tcW w:w="805" w:type="pct"/>
            <w:noWrap w:val="0"/>
            <w:vAlign w:val="center"/>
          </w:tcPr>
          <w:p w14:paraId="5C698AF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3.45%</w:t>
            </w:r>
          </w:p>
        </w:tc>
        <w:tc>
          <w:tcPr>
            <w:tcW w:w="555" w:type="pct"/>
            <w:noWrap w:val="0"/>
            <w:vAlign w:val="center"/>
          </w:tcPr>
          <w:p w14:paraId="7A968F9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72小时</w:t>
            </w:r>
          </w:p>
        </w:tc>
        <w:tc>
          <w:tcPr>
            <w:tcW w:w="805" w:type="pct"/>
            <w:noWrap w:val="0"/>
            <w:vAlign w:val="center"/>
          </w:tcPr>
          <w:p w14:paraId="20B1CC2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刘  波18809125468</w:t>
            </w:r>
          </w:p>
        </w:tc>
      </w:tr>
      <w:tr w14:paraId="19D22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15" w:type="pct"/>
            <w:noWrap w:val="0"/>
            <w:vAlign w:val="center"/>
          </w:tcPr>
          <w:p w14:paraId="1A9A5EC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93" w:type="pct"/>
            <w:noWrap w:val="0"/>
            <w:vAlign w:val="center"/>
          </w:tcPr>
          <w:p w14:paraId="131398E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交通银行</w:t>
            </w:r>
          </w:p>
        </w:tc>
        <w:tc>
          <w:tcPr>
            <w:tcW w:w="555" w:type="pct"/>
            <w:noWrap w:val="0"/>
            <w:vAlign w:val="center"/>
          </w:tcPr>
          <w:p w14:paraId="2E2B700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秦政贷</w:t>
            </w:r>
          </w:p>
        </w:tc>
        <w:tc>
          <w:tcPr>
            <w:tcW w:w="594" w:type="pct"/>
            <w:noWrap w:val="0"/>
            <w:vAlign w:val="center"/>
          </w:tcPr>
          <w:p w14:paraId="761070A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1000万元</w:t>
            </w:r>
          </w:p>
        </w:tc>
        <w:tc>
          <w:tcPr>
            <w:tcW w:w="574" w:type="pct"/>
            <w:noWrap w:val="0"/>
            <w:vAlign w:val="center"/>
          </w:tcPr>
          <w:p w14:paraId="49E5A77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1年</w:t>
            </w:r>
          </w:p>
        </w:tc>
        <w:tc>
          <w:tcPr>
            <w:tcW w:w="805" w:type="pct"/>
            <w:noWrap w:val="0"/>
            <w:vAlign w:val="center"/>
          </w:tcPr>
          <w:p w14:paraId="5091D1F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3.45%</w:t>
            </w:r>
          </w:p>
        </w:tc>
        <w:tc>
          <w:tcPr>
            <w:tcW w:w="555" w:type="pct"/>
            <w:noWrap w:val="0"/>
            <w:vAlign w:val="center"/>
          </w:tcPr>
          <w:p w14:paraId="0258AE1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24小时</w:t>
            </w:r>
          </w:p>
        </w:tc>
        <w:tc>
          <w:tcPr>
            <w:tcW w:w="805" w:type="pct"/>
            <w:noWrap w:val="0"/>
            <w:vAlign w:val="center"/>
          </w:tcPr>
          <w:p w14:paraId="40FD009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张  飞15291296886</w:t>
            </w:r>
          </w:p>
        </w:tc>
      </w:tr>
      <w:tr w14:paraId="74A76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15" w:type="pct"/>
            <w:noWrap w:val="0"/>
            <w:vAlign w:val="center"/>
          </w:tcPr>
          <w:p w14:paraId="4A05538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693" w:type="pct"/>
            <w:noWrap w:val="0"/>
            <w:vAlign w:val="center"/>
          </w:tcPr>
          <w:p w14:paraId="37D8709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中国银行</w:t>
            </w:r>
          </w:p>
        </w:tc>
        <w:tc>
          <w:tcPr>
            <w:tcW w:w="555" w:type="pct"/>
            <w:noWrap w:val="0"/>
            <w:vAlign w:val="center"/>
          </w:tcPr>
          <w:p w14:paraId="35DB912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政采贷</w:t>
            </w:r>
          </w:p>
        </w:tc>
        <w:tc>
          <w:tcPr>
            <w:tcW w:w="594" w:type="pct"/>
            <w:noWrap w:val="0"/>
            <w:vAlign w:val="center"/>
          </w:tcPr>
          <w:p w14:paraId="45F3055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1000万元</w:t>
            </w:r>
          </w:p>
        </w:tc>
        <w:tc>
          <w:tcPr>
            <w:tcW w:w="574" w:type="pct"/>
            <w:noWrap w:val="0"/>
            <w:vAlign w:val="center"/>
          </w:tcPr>
          <w:p w14:paraId="1855784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1-3年</w:t>
            </w:r>
          </w:p>
        </w:tc>
        <w:tc>
          <w:tcPr>
            <w:tcW w:w="805" w:type="pct"/>
            <w:noWrap w:val="0"/>
            <w:vAlign w:val="center"/>
          </w:tcPr>
          <w:p w14:paraId="0EF1F0E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3.45%</w:t>
            </w:r>
          </w:p>
        </w:tc>
        <w:tc>
          <w:tcPr>
            <w:tcW w:w="555" w:type="pct"/>
            <w:noWrap w:val="0"/>
            <w:vAlign w:val="center"/>
          </w:tcPr>
          <w:p w14:paraId="0571F6F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72小时</w:t>
            </w:r>
          </w:p>
        </w:tc>
        <w:tc>
          <w:tcPr>
            <w:tcW w:w="805" w:type="pct"/>
            <w:noWrap w:val="0"/>
            <w:vAlign w:val="center"/>
          </w:tcPr>
          <w:p w14:paraId="326D6B0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李  浩18691230007</w:t>
            </w:r>
          </w:p>
        </w:tc>
      </w:tr>
      <w:tr w14:paraId="19405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15" w:type="pct"/>
            <w:noWrap w:val="0"/>
            <w:vAlign w:val="center"/>
          </w:tcPr>
          <w:p w14:paraId="1E858A0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693" w:type="pct"/>
            <w:noWrap w:val="0"/>
            <w:vAlign w:val="center"/>
          </w:tcPr>
          <w:p w14:paraId="0637E32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招商银行</w:t>
            </w:r>
          </w:p>
        </w:tc>
        <w:tc>
          <w:tcPr>
            <w:tcW w:w="555" w:type="pct"/>
            <w:noWrap w:val="0"/>
            <w:vAlign w:val="center"/>
          </w:tcPr>
          <w:p w14:paraId="4C9BAB2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政采贷</w:t>
            </w:r>
          </w:p>
        </w:tc>
        <w:tc>
          <w:tcPr>
            <w:tcW w:w="594" w:type="pct"/>
            <w:noWrap w:val="0"/>
            <w:vAlign w:val="center"/>
          </w:tcPr>
          <w:p w14:paraId="0E01E8F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3000万元</w:t>
            </w:r>
          </w:p>
        </w:tc>
        <w:tc>
          <w:tcPr>
            <w:tcW w:w="574" w:type="pct"/>
            <w:noWrap w:val="0"/>
            <w:vAlign w:val="center"/>
          </w:tcPr>
          <w:p w14:paraId="05B048F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1-3年</w:t>
            </w:r>
          </w:p>
        </w:tc>
        <w:tc>
          <w:tcPr>
            <w:tcW w:w="805" w:type="pct"/>
            <w:noWrap w:val="0"/>
            <w:vAlign w:val="center"/>
          </w:tcPr>
          <w:p w14:paraId="50E488F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3.45%起</w:t>
            </w:r>
          </w:p>
        </w:tc>
        <w:tc>
          <w:tcPr>
            <w:tcW w:w="555" w:type="pct"/>
            <w:noWrap w:val="0"/>
            <w:vAlign w:val="center"/>
          </w:tcPr>
          <w:p w14:paraId="20E322C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24小时</w:t>
            </w:r>
          </w:p>
        </w:tc>
        <w:tc>
          <w:tcPr>
            <w:tcW w:w="805" w:type="pct"/>
            <w:noWrap w:val="0"/>
            <w:vAlign w:val="center"/>
          </w:tcPr>
          <w:p w14:paraId="0FB3CE5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马  烨15596100007</w:t>
            </w:r>
          </w:p>
        </w:tc>
      </w:tr>
      <w:tr w14:paraId="7E93E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15" w:type="pct"/>
            <w:noWrap w:val="0"/>
            <w:vAlign w:val="center"/>
          </w:tcPr>
          <w:p w14:paraId="54F4C76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693" w:type="pct"/>
            <w:noWrap w:val="0"/>
            <w:vAlign w:val="center"/>
          </w:tcPr>
          <w:p w14:paraId="0CB8363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浦发银行</w:t>
            </w:r>
          </w:p>
        </w:tc>
        <w:tc>
          <w:tcPr>
            <w:tcW w:w="555" w:type="pct"/>
            <w:noWrap w:val="0"/>
            <w:vAlign w:val="center"/>
          </w:tcPr>
          <w:p w14:paraId="0BB7C3B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政采E贷</w:t>
            </w:r>
          </w:p>
        </w:tc>
        <w:tc>
          <w:tcPr>
            <w:tcW w:w="594" w:type="pct"/>
            <w:noWrap w:val="0"/>
            <w:vAlign w:val="center"/>
          </w:tcPr>
          <w:p w14:paraId="16A6BF5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2000万元</w:t>
            </w:r>
          </w:p>
        </w:tc>
        <w:tc>
          <w:tcPr>
            <w:tcW w:w="574" w:type="pct"/>
            <w:noWrap w:val="0"/>
            <w:vAlign w:val="center"/>
          </w:tcPr>
          <w:p w14:paraId="27E5238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1年</w:t>
            </w:r>
          </w:p>
        </w:tc>
        <w:tc>
          <w:tcPr>
            <w:tcW w:w="805" w:type="pct"/>
            <w:noWrap w:val="0"/>
            <w:vAlign w:val="center"/>
          </w:tcPr>
          <w:p w14:paraId="67BCA11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3.8%</w:t>
            </w:r>
          </w:p>
        </w:tc>
        <w:tc>
          <w:tcPr>
            <w:tcW w:w="555" w:type="pct"/>
            <w:noWrap w:val="0"/>
            <w:vAlign w:val="center"/>
          </w:tcPr>
          <w:p w14:paraId="4E61C79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72小时</w:t>
            </w:r>
          </w:p>
        </w:tc>
        <w:tc>
          <w:tcPr>
            <w:tcW w:w="805" w:type="pct"/>
            <w:noWrap w:val="0"/>
            <w:vAlign w:val="center"/>
          </w:tcPr>
          <w:p w14:paraId="1FA2837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朱  君15629169158</w:t>
            </w:r>
          </w:p>
        </w:tc>
      </w:tr>
      <w:tr w14:paraId="53740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15" w:type="pct"/>
            <w:noWrap w:val="0"/>
            <w:vAlign w:val="center"/>
          </w:tcPr>
          <w:p w14:paraId="403287C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693" w:type="pct"/>
            <w:noWrap w:val="0"/>
            <w:vAlign w:val="center"/>
          </w:tcPr>
          <w:p w14:paraId="6D1A757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农商银行</w:t>
            </w:r>
          </w:p>
        </w:tc>
        <w:tc>
          <w:tcPr>
            <w:tcW w:w="555" w:type="pct"/>
            <w:noWrap w:val="0"/>
            <w:vAlign w:val="center"/>
          </w:tcPr>
          <w:p w14:paraId="52F89ED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政采贷</w:t>
            </w:r>
          </w:p>
        </w:tc>
        <w:tc>
          <w:tcPr>
            <w:tcW w:w="594" w:type="pct"/>
            <w:noWrap w:val="0"/>
            <w:vAlign w:val="center"/>
          </w:tcPr>
          <w:p w14:paraId="571BAB7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1000万元</w:t>
            </w:r>
          </w:p>
        </w:tc>
        <w:tc>
          <w:tcPr>
            <w:tcW w:w="574" w:type="pct"/>
            <w:noWrap w:val="0"/>
            <w:vAlign w:val="center"/>
          </w:tcPr>
          <w:p w14:paraId="66FD377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1-2年</w:t>
            </w:r>
          </w:p>
        </w:tc>
        <w:tc>
          <w:tcPr>
            <w:tcW w:w="805" w:type="pct"/>
            <w:noWrap w:val="0"/>
            <w:vAlign w:val="center"/>
          </w:tcPr>
          <w:p w14:paraId="0C5A5E2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3.45%-5.8%</w:t>
            </w:r>
          </w:p>
        </w:tc>
        <w:tc>
          <w:tcPr>
            <w:tcW w:w="555" w:type="pct"/>
            <w:noWrap w:val="0"/>
            <w:vAlign w:val="center"/>
          </w:tcPr>
          <w:p w14:paraId="5007626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24小时</w:t>
            </w:r>
          </w:p>
        </w:tc>
        <w:tc>
          <w:tcPr>
            <w:tcW w:w="805" w:type="pct"/>
            <w:noWrap w:val="0"/>
            <w:vAlign w:val="center"/>
          </w:tcPr>
          <w:p w14:paraId="513C1D6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王  璐15529875056</w:t>
            </w:r>
          </w:p>
        </w:tc>
      </w:tr>
      <w:tr w14:paraId="65AAD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15" w:type="pct"/>
            <w:noWrap w:val="0"/>
            <w:vAlign w:val="center"/>
          </w:tcPr>
          <w:p w14:paraId="4FF9A1B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693" w:type="pct"/>
            <w:noWrap w:val="0"/>
            <w:vAlign w:val="center"/>
          </w:tcPr>
          <w:p w14:paraId="78EF22E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农业银行</w:t>
            </w:r>
          </w:p>
        </w:tc>
        <w:tc>
          <w:tcPr>
            <w:tcW w:w="555" w:type="pct"/>
            <w:noWrap w:val="0"/>
            <w:vAlign w:val="center"/>
          </w:tcPr>
          <w:p w14:paraId="5526CED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政采贷</w:t>
            </w:r>
          </w:p>
        </w:tc>
        <w:tc>
          <w:tcPr>
            <w:tcW w:w="594" w:type="pct"/>
            <w:noWrap w:val="0"/>
            <w:vAlign w:val="center"/>
          </w:tcPr>
          <w:p w14:paraId="093A5D5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3000万元</w:t>
            </w:r>
          </w:p>
        </w:tc>
        <w:tc>
          <w:tcPr>
            <w:tcW w:w="574" w:type="pct"/>
            <w:noWrap w:val="0"/>
            <w:vAlign w:val="center"/>
          </w:tcPr>
          <w:p w14:paraId="66442FB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1年</w:t>
            </w:r>
          </w:p>
        </w:tc>
        <w:tc>
          <w:tcPr>
            <w:tcW w:w="805" w:type="pct"/>
            <w:noWrap w:val="0"/>
            <w:vAlign w:val="center"/>
          </w:tcPr>
          <w:p w14:paraId="3D73B1F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3.45%-3.85%</w:t>
            </w:r>
          </w:p>
        </w:tc>
        <w:tc>
          <w:tcPr>
            <w:tcW w:w="555" w:type="pct"/>
            <w:noWrap w:val="0"/>
            <w:vAlign w:val="center"/>
          </w:tcPr>
          <w:p w14:paraId="35E91E4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24小时</w:t>
            </w:r>
          </w:p>
        </w:tc>
        <w:tc>
          <w:tcPr>
            <w:tcW w:w="805" w:type="pct"/>
            <w:noWrap w:val="0"/>
            <w:vAlign w:val="center"/>
          </w:tcPr>
          <w:p w14:paraId="1932593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杨  尧13325409313</w:t>
            </w:r>
          </w:p>
        </w:tc>
      </w:tr>
      <w:tr w14:paraId="6A4A3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5" w:type="pct"/>
            <w:noWrap w:val="0"/>
            <w:vAlign w:val="center"/>
          </w:tcPr>
          <w:p w14:paraId="36DBC91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693" w:type="pct"/>
            <w:noWrap w:val="0"/>
            <w:vAlign w:val="center"/>
          </w:tcPr>
          <w:p w14:paraId="5B56A44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民生银行</w:t>
            </w:r>
          </w:p>
        </w:tc>
        <w:tc>
          <w:tcPr>
            <w:tcW w:w="555" w:type="pct"/>
            <w:noWrap w:val="0"/>
            <w:vAlign w:val="center"/>
          </w:tcPr>
          <w:p w14:paraId="458C38C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政采E贷</w:t>
            </w:r>
          </w:p>
        </w:tc>
        <w:tc>
          <w:tcPr>
            <w:tcW w:w="594" w:type="pct"/>
            <w:noWrap w:val="0"/>
            <w:vAlign w:val="center"/>
          </w:tcPr>
          <w:p w14:paraId="1B24223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3000万元</w:t>
            </w:r>
          </w:p>
        </w:tc>
        <w:tc>
          <w:tcPr>
            <w:tcW w:w="574" w:type="pct"/>
            <w:noWrap w:val="0"/>
            <w:vAlign w:val="center"/>
          </w:tcPr>
          <w:p w14:paraId="455BD9E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1年</w:t>
            </w:r>
          </w:p>
        </w:tc>
        <w:tc>
          <w:tcPr>
            <w:tcW w:w="805" w:type="pct"/>
            <w:noWrap w:val="0"/>
            <w:vAlign w:val="center"/>
          </w:tcPr>
          <w:p w14:paraId="7C9D26D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3.45%起</w:t>
            </w:r>
          </w:p>
        </w:tc>
        <w:tc>
          <w:tcPr>
            <w:tcW w:w="555" w:type="pct"/>
            <w:noWrap w:val="0"/>
            <w:vAlign w:val="center"/>
          </w:tcPr>
          <w:p w14:paraId="52EE905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24小时</w:t>
            </w:r>
          </w:p>
        </w:tc>
        <w:tc>
          <w:tcPr>
            <w:tcW w:w="805" w:type="pct"/>
            <w:noWrap w:val="0"/>
            <w:vAlign w:val="center"/>
          </w:tcPr>
          <w:p w14:paraId="7D6F6BF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郝双双15991225850</w:t>
            </w:r>
          </w:p>
        </w:tc>
      </w:tr>
    </w:tbl>
    <w:p w14:paraId="62019248">
      <w:pPr>
        <w:pStyle w:val="1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2"/>
          <w:sz w:val="24"/>
          <w:lang w:val="en-US" w:eastAsia="zh-CN" w:bidi="ar-SA"/>
        </w:rPr>
      </w:pPr>
      <w:r>
        <w:rPr>
          <w:rFonts w:hint="eastAsia" w:ascii="宋体" w:hAnsi="宋体" w:cs="宋体"/>
          <w:kern w:val="2"/>
          <w:sz w:val="24"/>
          <w:lang w:val="en-US" w:eastAsia="zh-CN" w:bidi="ar-SA"/>
        </w:rPr>
        <w:t>5</w:t>
      </w:r>
      <w:r>
        <w:rPr>
          <w:rFonts w:hint="eastAsia" w:ascii="宋体" w:hAnsi="宋体" w:eastAsia="宋体" w:cs="宋体"/>
          <w:kern w:val="2"/>
          <w:sz w:val="24"/>
          <w:lang w:val="en-US" w:eastAsia="zh-CN" w:bidi="ar-SA"/>
        </w:rPr>
        <w:t>、根据榆政财采函(2021]14号  榆林市财政局关于优化营商环境推进政府采购公开透明有关注意事项的通知  市级各部门各单位、市级政府采购中心、各政府采购代理机构:</w:t>
      </w:r>
    </w:p>
    <w:p w14:paraId="55A2E251">
      <w:pPr>
        <w:pStyle w:val="15"/>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为了进一步强化公平公正，营造良好的市场竞争环境，根据《中共榆林市委办公室榆林市人民政府办公室关于印发〈榆林市“审批不见面、办事不求人”专项行动方案〉的通知》(榆办发〔2021]6号)精神，现将优化营商环境推进政府采购公开透明有关注意事项通知如下:</w:t>
      </w:r>
    </w:p>
    <w:p w14:paraId="6275AD82">
      <w:pPr>
        <w:pStyle w:val="1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一、提升政府采购的效率，探索推行中标结束后十天内签署合同等举措。</w:t>
      </w:r>
    </w:p>
    <w:p w14:paraId="50955746">
      <w:pPr>
        <w:pStyle w:val="1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二、提升政府采购的透明度，向未中标企业书面告知原因。</w:t>
      </w:r>
    </w:p>
    <w:p w14:paraId="10E84D41">
      <w:pPr>
        <w:pStyle w:val="1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三、加强政府采购领域对中小微企业支持力度，加大价格评审优惠力度，明确对非专门面向中小微企业采购的项目，对小型和微型企业产品的价格按照上限标准的10%给予扣除。</w:t>
      </w:r>
    </w:p>
    <w:p w14:paraId="4C0266BC">
      <w:pPr>
        <w:pStyle w:val="1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四、合理精简供应商证明材料，对于可通过互联网或者相关信息系统查询的信息，供应商无须提供证明材料;对于供应商依照规定提交各类声明函、承诺函的，不得要求再提供相关部门出具的证明文件。</w:t>
      </w:r>
    </w:p>
    <w:p w14:paraId="23113FD0">
      <w:pPr>
        <w:pStyle w:val="1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五、减轻供应商资金压力，采购人不得收取没有法律法规依据的保证金,优化投标保证金收取及退还，鼓励采购人免收、少收投标保证金。</w:t>
      </w:r>
    </w:p>
    <w:p w14:paraId="52104808">
      <w:pPr>
        <w:pStyle w:val="1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六、支持供应商以金融机构、担保机构出具的保函代替履约保证金，减少供应商资金占用。</w:t>
      </w:r>
    </w:p>
    <w:p w14:paraId="67B02067">
      <w:pPr>
        <w:pStyle w:val="51"/>
        <w:keepNext w:val="0"/>
        <w:keepLines w:val="0"/>
        <w:pageBreakBefore w:val="0"/>
        <w:kinsoku/>
        <w:wordWrap/>
        <w:overflowPunct/>
        <w:topLinePunct w:val="0"/>
        <w:autoSpaceDE/>
        <w:autoSpaceDN/>
        <w:bidi w:val="0"/>
        <w:adjustRightInd w:val="0"/>
        <w:snapToGrid w:val="0"/>
        <w:spacing w:line="360" w:lineRule="auto"/>
        <w:ind w:firstLine="480"/>
        <w:jc w:val="center"/>
        <w:textAlignment w:val="auto"/>
        <w:rPr>
          <w:rFonts w:hint="eastAsia" w:ascii="宋体" w:hAnsi="宋体" w:eastAsia="宋体" w:cs="宋体"/>
          <w:b/>
          <w:bCs w:val="0"/>
          <w:kern w:val="2"/>
          <w:sz w:val="36"/>
          <w:szCs w:val="32"/>
          <w:lang w:val="en-US" w:eastAsia="zh-CN" w:bidi="ar-SA"/>
        </w:rPr>
      </w:pPr>
      <w:r>
        <w:rPr>
          <w:rFonts w:hint="eastAsia" w:ascii="宋体" w:hAnsi="宋体" w:eastAsia="宋体" w:cs="宋体"/>
          <w:b/>
          <w:bCs w:val="0"/>
          <w:kern w:val="2"/>
          <w:sz w:val="36"/>
          <w:szCs w:val="32"/>
          <w:lang w:val="en-US" w:eastAsia="zh-CN" w:bidi="ar-SA"/>
        </w:rPr>
        <w:t>H其它事项</w:t>
      </w:r>
    </w:p>
    <w:p w14:paraId="1BBFD665">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磋商步骤为：第一次报价---初步评审---分别磋商---第二次报价---综合评审推荐成交候选人。（以供应商递交的磋商响应文件中的总报价为第一次报价。分别磋商后，供应商现场填报的磋商响应总报价为第二次报价）</w:t>
      </w:r>
    </w:p>
    <w:p w14:paraId="1F4A85AC">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751DC2C4">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采用竞争性磋商采购方式采购的政府购买服务项目（含政府和社会资本合作项目），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6156BFF9">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p>
    <w:p w14:paraId="60DE2424">
      <w:pPr>
        <w:spacing w:line="360" w:lineRule="auto"/>
        <w:ind w:firstLine="480" w:firstLineChars="200"/>
        <w:rPr>
          <w:rFonts w:hint="eastAsia" w:ascii="宋体" w:hAnsi="宋体" w:eastAsia="宋体" w:cs="宋体"/>
          <w:sz w:val="24"/>
        </w:rPr>
      </w:pPr>
    </w:p>
    <w:p w14:paraId="298C51B4">
      <w:pPr>
        <w:spacing w:line="360" w:lineRule="auto"/>
        <w:ind w:firstLine="480" w:firstLineChars="200"/>
        <w:rPr>
          <w:rFonts w:hint="eastAsia" w:ascii="宋体" w:hAnsi="宋体" w:eastAsia="宋体" w:cs="宋体"/>
          <w:sz w:val="24"/>
        </w:rPr>
      </w:pPr>
    </w:p>
    <w:p w14:paraId="50B01472">
      <w:pPr>
        <w:spacing w:line="360" w:lineRule="auto"/>
        <w:ind w:firstLine="480" w:firstLineChars="200"/>
        <w:rPr>
          <w:rFonts w:hint="eastAsia" w:ascii="宋体" w:hAnsi="宋体" w:eastAsia="宋体" w:cs="宋体"/>
          <w:sz w:val="24"/>
        </w:rPr>
      </w:pPr>
    </w:p>
    <w:p w14:paraId="77665E21">
      <w:pPr>
        <w:spacing w:line="360" w:lineRule="auto"/>
        <w:ind w:firstLine="480" w:firstLineChars="200"/>
        <w:rPr>
          <w:rFonts w:hint="eastAsia" w:ascii="宋体" w:hAnsi="宋体" w:eastAsia="宋体" w:cs="宋体"/>
          <w:sz w:val="24"/>
        </w:rPr>
      </w:pPr>
    </w:p>
    <w:p w14:paraId="02E19494">
      <w:pPr>
        <w:spacing w:line="360" w:lineRule="auto"/>
        <w:rPr>
          <w:rFonts w:hint="eastAsia" w:ascii="宋体" w:hAnsi="宋体" w:eastAsia="宋体" w:cs="宋体"/>
          <w:sz w:val="24"/>
        </w:rPr>
      </w:pPr>
    </w:p>
    <w:p w14:paraId="341760DC">
      <w:pPr>
        <w:spacing w:line="360" w:lineRule="auto"/>
        <w:ind w:firstLine="480" w:firstLineChars="200"/>
        <w:rPr>
          <w:rFonts w:hint="eastAsia" w:ascii="宋体" w:hAnsi="宋体" w:eastAsia="宋体" w:cs="宋体"/>
          <w:sz w:val="24"/>
        </w:rPr>
      </w:pPr>
    </w:p>
    <w:p w14:paraId="540D5BE0">
      <w:pPr>
        <w:spacing w:line="360" w:lineRule="auto"/>
        <w:jc w:val="center"/>
        <w:rPr>
          <w:rFonts w:hint="eastAsia" w:ascii="宋体" w:hAnsi="宋体" w:eastAsia="宋体" w:cs="宋体"/>
          <w:b/>
          <w:bCs/>
          <w:sz w:val="40"/>
          <w:szCs w:val="18"/>
        </w:rPr>
        <w:sectPr>
          <w:pgSz w:w="11906" w:h="16838"/>
          <w:pgMar w:top="1440" w:right="1531" w:bottom="1440" w:left="1531" w:header="720" w:footer="720" w:gutter="0"/>
          <w:pgNumType w:fmt="decimal"/>
          <w:cols w:space="720" w:num="1"/>
          <w:docGrid w:type="lines" w:linePitch="312" w:charSpace="0"/>
        </w:sectPr>
      </w:pPr>
    </w:p>
    <w:p w14:paraId="7B0F5D52">
      <w:pPr>
        <w:pStyle w:val="2"/>
        <w:keepNext/>
        <w:keepLines w:val="0"/>
        <w:pageBreakBefore w:val="0"/>
        <w:widowControl w:val="0"/>
        <w:kinsoku/>
        <w:wordWrap/>
        <w:overflowPunct/>
        <w:topLinePunct w:val="0"/>
        <w:autoSpaceDE/>
        <w:autoSpaceDN/>
        <w:bidi w:val="0"/>
        <w:adjustRightInd w:val="0"/>
        <w:snapToGrid w:val="0"/>
        <w:spacing w:after="313" w:afterLines="100" w:line="360" w:lineRule="auto"/>
        <w:textAlignment w:val="auto"/>
        <w:rPr>
          <w:rFonts w:hint="eastAsia" w:ascii="宋体" w:hAnsi="宋体" w:eastAsia="宋体" w:cs="宋体"/>
          <w:sz w:val="36"/>
          <w:szCs w:val="36"/>
        </w:rPr>
      </w:pPr>
      <w:bookmarkStart w:id="177" w:name="_Toc21681"/>
      <w:r>
        <w:rPr>
          <w:rFonts w:hint="eastAsia" w:ascii="宋体" w:hAnsi="宋体" w:eastAsia="宋体" w:cs="宋体"/>
          <w:sz w:val="36"/>
          <w:szCs w:val="36"/>
        </w:rPr>
        <w:t>第三章  评标方法和标准</w:t>
      </w:r>
      <w:bookmarkEnd w:id="177"/>
    </w:p>
    <w:p w14:paraId="2BB1A7DC">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spacing w:val="4"/>
          <w:sz w:val="24"/>
          <w:szCs w:val="24"/>
        </w:rPr>
      </w:pPr>
      <w:bookmarkStart w:id="178" w:name="_Toc12968"/>
      <w:bookmarkStart w:id="179" w:name="_Toc27296"/>
      <w:bookmarkStart w:id="180" w:name="_Toc14686"/>
      <w:bookmarkStart w:id="181" w:name="_Toc27784"/>
      <w:bookmarkStart w:id="182" w:name="_Toc24206"/>
      <w:bookmarkStart w:id="183" w:name="_Toc753"/>
      <w:bookmarkStart w:id="184" w:name="_Toc32218"/>
      <w:bookmarkStart w:id="185" w:name="_Toc27869"/>
      <w:bookmarkStart w:id="186" w:name="_Toc1244"/>
      <w:bookmarkStart w:id="187" w:name="_Toc12457"/>
      <w:bookmarkStart w:id="188" w:name="_Toc30418"/>
      <w:bookmarkStart w:id="189" w:name="_Toc580"/>
      <w:bookmarkStart w:id="190" w:name="_Toc6303"/>
      <w:bookmarkStart w:id="191" w:name="_Toc20094"/>
      <w:bookmarkStart w:id="192" w:name="_Toc10051"/>
      <w:bookmarkStart w:id="193" w:name="_Toc4221"/>
      <w:bookmarkStart w:id="194" w:name="_Toc12396"/>
      <w:bookmarkStart w:id="195" w:name="_Toc10389"/>
      <w:bookmarkStart w:id="196" w:name="_Toc31752"/>
      <w:bookmarkStart w:id="197" w:name="_Toc21605"/>
      <w:bookmarkStart w:id="198" w:name="_Toc2880"/>
      <w:bookmarkStart w:id="199" w:name="_Toc9917"/>
      <w:bookmarkStart w:id="200" w:name="_Toc23576"/>
      <w:bookmarkStart w:id="201" w:name="_Toc8617"/>
      <w:bookmarkStart w:id="202" w:name="_Toc7925"/>
      <w:r>
        <w:rPr>
          <w:rFonts w:hint="eastAsia" w:ascii="宋体" w:hAnsi="宋体" w:eastAsia="宋体" w:cs="宋体"/>
          <w:b/>
          <w:spacing w:val="4"/>
          <w:sz w:val="24"/>
          <w:szCs w:val="24"/>
        </w:rPr>
        <w:t>一．评审方法</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06D991EA">
      <w:pPr>
        <w:keepNext w:val="0"/>
        <w:keepLines w:val="0"/>
        <w:pageBreakBefore w:val="0"/>
        <w:widowControl w:val="0"/>
        <w:kinsoku/>
        <w:wordWrap/>
        <w:overflowPunct/>
        <w:topLinePunct w:val="0"/>
        <w:autoSpaceDE/>
        <w:autoSpaceDN/>
        <w:bidi w:val="0"/>
        <w:adjustRightInd/>
        <w:snapToGrid/>
        <w:spacing w:line="360" w:lineRule="auto"/>
        <w:ind w:firstLine="496" w:firstLineChars="200"/>
        <w:textAlignment w:val="auto"/>
        <w:rPr>
          <w:rFonts w:hint="eastAsia" w:ascii="宋体" w:hAnsi="宋体" w:eastAsia="宋体" w:cs="宋体"/>
          <w:sz w:val="24"/>
          <w:szCs w:val="24"/>
        </w:rPr>
      </w:pPr>
      <w:r>
        <w:rPr>
          <w:rFonts w:hint="eastAsia" w:ascii="宋体" w:hAnsi="宋体" w:eastAsia="宋体" w:cs="宋体"/>
          <w:spacing w:val="4"/>
          <w:sz w:val="24"/>
          <w:szCs w:val="24"/>
        </w:rPr>
        <w:t>按照</w:t>
      </w:r>
      <w:r>
        <w:rPr>
          <w:rFonts w:hint="eastAsia" w:ascii="宋体" w:hAnsi="宋体" w:eastAsia="宋体" w:cs="宋体"/>
          <w:sz w:val="24"/>
          <w:szCs w:val="24"/>
        </w:rPr>
        <w:t>中华人民共和国</w:t>
      </w:r>
      <w:r>
        <w:rPr>
          <w:rFonts w:hint="eastAsia" w:ascii="宋体" w:hAnsi="宋体" w:eastAsia="宋体" w:cs="宋体"/>
          <w:sz w:val="24"/>
          <w:szCs w:val="24"/>
          <w:lang w:eastAsia="zh-CN"/>
        </w:rPr>
        <w:t>财政部</w:t>
      </w:r>
      <w:r>
        <w:rPr>
          <w:rFonts w:hint="eastAsia" w:ascii="宋体" w:hAnsi="宋体" w:eastAsia="宋体" w:cs="宋体"/>
          <w:sz w:val="24"/>
          <w:szCs w:val="24"/>
          <w:lang w:val="en-US" w:eastAsia="zh-CN"/>
        </w:rPr>
        <w:t>--</w:t>
      </w:r>
      <w:r>
        <w:rPr>
          <w:rFonts w:hint="eastAsia" w:ascii="宋体" w:hAnsi="宋体" w:eastAsia="宋体" w:cs="宋体"/>
          <w:sz w:val="24"/>
          <w:szCs w:val="24"/>
        </w:rPr>
        <w:t>财库〔2014〕214号印发《政府采购竞争性磋商采购方式管理暂行办法</w:t>
      </w:r>
      <w:r>
        <w:rPr>
          <w:rFonts w:hint="eastAsia" w:ascii="宋体" w:hAnsi="宋体" w:eastAsia="宋体" w:cs="宋体"/>
          <w:sz w:val="24"/>
          <w:szCs w:val="24"/>
          <w:lang w:eastAsia="zh-CN"/>
        </w:rPr>
        <w:t>》</w:t>
      </w:r>
      <w:r>
        <w:rPr>
          <w:rFonts w:hint="eastAsia" w:ascii="宋体" w:hAnsi="宋体" w:eastAsia="宋体" w:cs="宋体"/>
          <w:spacing w:val="4"/>
          <w:sz w:val="24"/>
          <w:szCs w:val="24"/>
        </w:rPr>
        <w:t>的规定，本次评审采用</w:t>
      </w:r>
      <w:r>
        <w:rPr>
          <w:rFonts w:hint="eastAsia" w:ascii="宋体" w:hAnsi="宋体" w:eastAsia="宋体" w:cs="宋体"/>
          <w:spacing w:val="4"/>
          <w:sz w:val="24"/>
          <w:szCs w:val="24"/>
          <w:lang w:eastAsia="zh-CN"/>
        </w:rPr>
        <w:t>综合评分</w:t>
      </w:r>
      <w:r>
        <w:rPr>
          <w:rFonts w:hint="eastAsia" w:ascii="宋体" w:hAnsi="宋体" w:eastAsia="宋体" w:cs="宋体"/>
          <w:spacing w:val="4"/>
          <w:sz w:val="24"/>
          <w:szCs w:val="24"/>
        </w:rPr>
        <w:t>法，</w:t>
      </w:r>
      <w:r>
        <w:rPr>
          <w:rFonts w:hint="eastAsia" w:ascii="宋体" w:hAnsi="宋体" w:eastAsia="宋体" w:cs="宋体"/>
          <w:sz w:val="24"/>
          <w:szCs w:val="24"/>
        </w:rPr>
        <w:t>即从质量和服务均能满足磋商文件实质性要求前提下的所有磋商响应文件按照磋商文件中规定的各项因素进行综合评标后，以评标总得分由高到低推荐成交候选人。</w:t>
      </w:r>
    </w:p>
    <w:p w14:paraId="7B811982">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spacing w:val="4"/>
          <w:sz w:val="24"/>
          <w:szCs w:val="24"/>
        </w:rPr>
      </w:pPr>
      <w:bookmarkStart w:id="203" w:name="_Toc11349"/>
      <w:bookmarkStart w:id="204" w:name="_Toc28430"/>
      <w:bookmarkStart w:id="205" w:name="_Toc8040"/>
      <w:bookmarkStart w:id="206" w:name="_Toc19473"/>
      <w:bookmarkStart w:id="207" w:name="_Toc26518"/>
      <w:bookmarkStart w:id="208" w:name="_Toc14522"/>
      <w:bookmarkStart w:id="209" w:name="_Toc6931"/>
      <w:bookmarkStart w:id="210" w:name="_Toc370906270"/>
      <w:bookmarkStart w:id="211" w:name="_Toc6439"/>
      <w:bookmarkStart w:id="212" w:name="_Toc23578"/>
      <w:bookmarkStart w:id="213" w:name="_Toc1116"/>
      <w:bookmarkStart w:id="214" w:name="_Toc12343"/>
      <w:bookmarkStart w:id="215" w:name="_Toc7456"/>
      <w:bookmarkStart w:id="216" w:name="_Toc23937"/>
      <w:bookmarkStart w:id="217" w:name="_Toc15882"/>
      <w:bookmarkStart w:id="218" w:name="_Toc25331"/>
      <w:bookmarkStart w:id="219" w:name="_Toc5302"/>
      <w:bookmarkStart w:id="220" w:name="_Toc15585"/>
      <w:bookmarkStart w:id="221" w:name="_Toc30908"/>
      <w:bookmarkStart w:id="222" w:name="_Toc10276"/>
      <w:bookmarkStart w:id="223" w:name="_Toc26060"/>
      <w:bookmarkStart w:id="224" w:name="_Toc11428"/>
      <w:bookmarkStart w:id="225" w:name="_Toc3738"/>
      <w:bookmarkStart w:id="226" w:name="_Toc9001"/>
      <w:bookmarkStart w:id="227" w:name="_Toc20120"/>
      <w:r>
        <w:rPr>
          <w:rFonts w:hint="eastAsia" w:ascii="宋体" w:hAnsi="宋体" w:eastAsia="宋体" w:cs="宋体"/>
          <w:b/>
          <w:spacing w:val="4"/>
          <w:sz w:val="24"/>
          <w:szCs w:val="24"/>
        </w:rPr>
        <w:t>二．评审程序</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5A3BF1A6">
      <w:pPr>
        <w:pStyle w:val="19"/>
        <w:keepNext w:val="0"/>
        <w:keepLines w:val="0"/>
        <w:pageBreakBefore w:val="0"/>
        <w:widowControl w:val="0"/>
        <w:kinsoku/>
        <w:wordWrap/>
        <w:overflowPunct/>
        <w:topLinePunct w:val="0"/>
        <w:autoSpaceDE/>
        <w:autoSpaceDN/>
        <w:bidi w:val="0"/>
        <w:adjustRightInd/>
        <w:snapToGrid/>
        <w:spacing w:after="0" w:afterLines="0" w:line="360" w:lineRule="auto"/>
        <w:ind w:left="0" w:leftChars="0" w:firstLine="444"/>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按照</w:t>
      </w:r>
      <w:r>
        <w:rPr>
          <w:rFonts w:hint="eastAsia" w:ascii="宋体" w:hAnsi="宋体" w:eastAsia="宋体" w:cs="宋体"/>
          <w:sz w:val="24"/>
          <w:szCs w:val="24"/>
          <w:lang w:eastAsia="zh-CN"/>
        </w:rPr>
        <w:t>资审、符合性审查</w:t>
      </w:r>
      <w:r>
        <w:rPr>
          <w:rFonts w:hint="eastAsia" w:ascii="宋体" w:hAnsi="宋体" w:eastAsia="宋体" w:cs="宋体"/>
          <w:sz w:val="24"/>
          <w:szCs w:val="24"/>
        </w:rPr>
        <w:t>、</w:t>
      </w:r>
      <w:r>
        <w:rPr>
          <w:rFonts w:hint="eastAsia" w:ascii="宋体" w:hAnsi="宋体" w:eastAsia="宋体" w:cs="宋体"/>
          <w:spacing w:val="4"/>
          <w:kern w:val="2"/>
          <w:sz w:val="24"/>
          <w:szCs w:val="24"/>
          <w:highlight w:val="none"/>
          <w:lang w:val="en-US" w:eastAsia="zh-CN" w:bidi="ar"/>
        </w:rPr>
        <w:t>澄清有关问题、比较与评价、推荐成交候选人名单</w:t>
      </w:r>
      <w:r>
        <w:rPr>
          <w:rFonts w:hint="eastAsia" w:ascii="宋体" w:hAnsi="宋体" w:eastAsia="宋体" w:cs="宋体"/>
          <w:sz w:val="24"/>
          <w:szCs w:val="24"/>
        </w:rPr>
        <w:t>进行评审。在上一步评审中被废标者，不进入下一步的评审。</w:t>
      </w:r>
    </w:p>
    <w:p w14:paraId="6DDDE3B1">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采购人</w:t>
      </w:r>
      <w:r>
        <w:rPr>
          <w:rFonts w:hint="eastAsia" w:ascii="宋体" w:hAnsi="宋体" w:cs="宋体"/>
          <w:sz w:val="24"/>
          <w:szCs w:val="24"/>
          <w:lang w:val="en-US" w:eastAsia="zh-CN"/>
        </w:rPr>
        <w:t>或磋商评审小组</w:t>
      </w:r>
      <w:r>
        <w:rPr>
          <w:rFonts w:hint="eastAsia" w:ascii="宋体" w:hAnsi="宋体" w:eastAsia="宋体" w:cs="宋体"/>
          <w:sz w:val="24"/>
          <w:szCs w:val="24"/>
        </w:rPr>
        <w:t>对各个供应商的响应文件先进行资格审查，磋商小组再进行符合性审查，审查全都合格的供应商才有参加磋商与承诺的资格。</w:t>
      </w:r>
    </w:p>
    <w:p w14:paraId="0B4B79A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1.1资格审查内容为：供应商须知前附表（供应商资质证明文件）</w:t>
      </w:r>
      <w:bookmarkStart w:id="323" w:name="_GoBack"/>
      <w:bookmarkEnd w:id="323"/>
    </w:p>
    <w:p w14:paraId="0C9152AD">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符合性审查内容为：</w:t>
      </w:r>
    </w:p>
    <w:p w14:paraId="28A3159F">
      <w:pPr>
        <w:pStyle w:val="3"/>
        <w:bidi w:val="0"/>
        <w:rPr>
          <w:rFonts w:hint="eastAsia"/>
          <w:lang w:eastAsia="zh-CN"/>
        </w:rPr>
      </w:pPr>
      <w:bookmarkStart w:id="228" w:name="_Toc15663"/>
      <w:bookmarkStart w:id="229" w:name="_Toc20447"/>
      <w:bookmarkStart w:id="230" w:name="_Toc24014"/>
      <w:r>
        <w:rPr>
          <w:rFonts w:hint="eastAsia"/>
          <w:lang w:eastAsia="zh-CN"/>
        </w:rPr>
        <w:t>符合性审查表</w:t>
      </w:r>
      <w:bookmarkEnd w:id="228"/>
      <w:bookmarkEnd w:id="229"/>
      <w:bookmarkEnd w:id="230"/>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2782"/>
        <w:gridCol w:w="5425"/>
      </w:tblGrid>
      <w:tr w14:paraId="3877D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220A1C43">
            <w:pPr>
              <w:spacing w:line="320" w:lineRule="exact"/>
              <w:jc w:val="center"/>
              <w:rPr>
                <w:rFonts w:hint="eastAsia" w:ascii="宋体" w:hAnsi="宋体" w:eastAsia="宋体" w:cs="宋体"/>
                <w:b/>
                <w:kern w:val="0"/>
                <w:sz w:val="24"/>
                <w:szCs w:val="24"/>
              </w:rPr>
            </w:pPr>
            <w:r>
              <w:rPr>
                <w:rFonts w:hint="eastAsia" w:ascii="宋体" w:hAnsi="宋体" w:eastAsia="宋体" w:cs="宋体"/>
                <w:b/>
                <w:kern w:val="0"/>
                <w:sz w:val="24"/>
                <w:szCs w:val="24"/>
              </w:rPr>
              <w:t>序号</w:t>
            </w:r>
          </w:p>
        </w:tc>
        <w:tc>
          <w:tcPr>
            <w:tcW w:w="1535"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16B53D55">
            <w:pPr>
              <w:spacing w:line="320" w:lineRule="exact"/>
              <w:jc w:val="center"/>
              <w:rPr>
                <w:rFonts w:hint="eastAsia" w:ascii="宋体" w:hAnsi="宋体" w:eastAsia="宋体" w:cs="宋体"/>
                <w:b/>
                <w:kern w:val="0"/>
                <w:sz w:val="24"/>
                <w:szCs w:val="24"/>
              </w:rPr>
            </w:pPr>
            <w:r>
              <w:rPr>
                <w:rFonts w:hint="eastAsia" w:ascii="宋体" w:hAnsi="宋体" w:eastAsia="宋体" w:cs="宋体"/>
                <w:b/>
                <w:kern w:val="0"/>
                <w:sz w:val="24"/>
                <w:szCs w:val="24"/>
              </w:rPr>
              <w:t>符合性审查项</w:t>
            </w:r>
          </w:p>
        </w:tc>
        <w:tc>
          <w:tcPr>
            <w:tcW w:w="2993"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3E0D0A5E">
            <w:pPr>
              <w:spacing w:line="320" w:lineRule="exact"/>
              <w:jc w:val="center"/>
              <w:rPr>
                <w:rFonts w:hint="eastAsia" w:ascii="宋体" w:hAnsi="宋体" w:eastAsia="宋体" w:cs="宋体"/>
                <w:b/>
                <w:kern w:val="0"/>
                <w:sz w:val="24"/>
                <w:szCs w:val="24"/>
              </w:rPr>
            </w:pPr>
            <w:r>
              <w:rPr>
                <w:rFonts w:hint="eastAsia" w:ascii="宋体" w:hAnsi="宋体" w:eastAsia="宋体" w:cs="宋体"/>
                <w:b/>
                <w:kern w:val="0"/>
                <w:sz w:val="24"/>
                <w:szCs w:val="24"/>
              </w:rPr>
              <w:t>通过条件</w:t>
            </w:r>
          </w:p>
        </w:tc>
      </w:tr>
      <w:tr w14:paraId="4131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471" w:type="pct"/>
            <w:tcBorders>
              <w:top w:val="single" w:color="auto" w:sz="4" w:space="0"/>
              <w:left w:val="single" w:color="auto" w:sz="4" w:space="0"/>
              <w:bottom w:val="single" w:color="auto" w:sz="4" w:space="0"/>
              <w:right w:val="single" w:color="auto" w:sz="4" w:space="0"/>
            </w:tcBorders>
            <w:noWrap w:val="0"/>
            <w:vAlign w:val="center"/>
          </w:tcPr>
          <w:p w14:paraId="7EC92929">
            <w:pPr>
              <w:spacing w:line="320" w:lineRule="exact"/>
              <w:jc w:val="cente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1</w:t>
            </w:r>
          </w:p>
        </w:tc>
        <w:tc>
          <w:tcPr>
            <w:tcW w:w="1535" w:type="pct"/>
            <w:tcBorders>
              <w:top w:val="single" w:color="auto" w:sz="4" w:space="0"/>
              <w:left w:val="single" w:color="auto" w:sz="4" w:space="0"/>
              <w:bottom w:val="single" w:color="auto" w:sz="4" w:space="0"/>
              <w:right w:val="single" w:color="auto" w:sz="4" w:space="0"/>
            </w:tcBorders>
            <w:noWrap w:val="0"/>
            <w:vAlign w:val="center"/>
          </w:tcPr>
          <w:p w14:paraId="48F85523">
            <w:pPr>
              <w:spacing w:line="320" w:lineRule="exact"/>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磋商</w:t>
            </w:r>
            <w:r>
              <w:rPr>
                <w:rFonts w:hint="eastAsia" w:ascii="宋体" w:hAnsi="宋体" w:eastAsia="宋体" w:cs="宋体"/>
                <w:bCs/>
                <w:kern w:val="0"/>
                <w:sz w:val="24"/>
                <w:szCs w:val="24"/>
              </w:rPr>
              <w:t>响应文件项目名称、项目编号、标段（未划分标段的除外）</w:t>
            </w:r>
          </w:p>
        </w:tc>
        <w:tc>
          <w:tcPr>
            <w:tcW w:w="2993" w:type="pct"/>
            <w:tcBorders>
              <w:top w:val="single" w:color="auto" w:sz="4" w:space="0"/>
              <w:left w:val="single" w:color="auto" w:sz="4" w:space="0"/>
              <w:bottom w:val="single" w:color="auto" w:sz="4" w:space="0"/>
              <w:right w:val="single" w:color="auto" w:sz="4" w:space="0"/>
            </w:tcBorders>
            <w:noWrap w:val="0"/>
            <w:vAlign w:val="center"/>
          </w:tcPr>
          <w:p w14:paraId="37D3A9F1">
            <w:pPr>
              <w:spacing w:line="32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磋商响应文件中的项目名称、项目编号与本项目完全一致，且无遗漏。</w:t>
            </w:r>
          </w:p>
          <w:p w14:paraId="0AE58600">
            <w:pPr>
              <w:spacing w:line="32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（1）封面；</w:t>
            </w:r>
          </w:p>
          <w:p w14:paraId="537B8B43">
            <w:pPr>
              <w:spacing w:line="32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（2）响应函；</w:t>
            </w:r>
          </w:p>
          <w:p w14:paraId="61B1214F">
            <w:pPr>
              <w:spacing w:line="320" w:lineRule="exact"/>
              <w:rPr>
                <w:rFonts w:hint="eastAsia" w:ascii="宋体" w:hAnsi="宋体" w:eastAsia="宋体" w:cs="宋体"/>
                <w:bCs/>
                <w:kern w:val="0"/>
                <w:sz w:val="24"/>
                <w:szCs w:val="24"/>
                <w:lang w:eastAsia="zh-CN"/>
              </w:rPr>
            </w:pPr>
            <w:r>
              <w:rPr>
                <w:rFonts w:hint="eastAsia" w:ascii="宋体" w:hAnsi="宋体" w:eastAsia="宋体" w:cs="宋体"/>
                <w:sz w:val="24"/>
                <w:szCs w:val="24"/>
                <w:lang w:eastAsia="zh-CN"/>
              </w:rPr>
              <w:t>（3）法定代表人委托授权书。</w:t>
            </w:r>
          </w:p>
        </w:tc>
      </w:tr>
      <w:tr w14:paraId="4FC9C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471" w:type="pct"/>
            <w:tcBorders>
              <w:top w:val="single" w:color="auto" w:sz="4" w:space="0"/>
              <w:left w:val="single" w:color="auto" w:sz="4" w:space="0"/>
              <w:bottom w:val="single" w:color="auto" w:sz="4" w:space="0"/>
              <w:right w:val="single" w:color="auto" w:sz="4" w:space="0"/>
            </w:tcBorders>
            <w:noWrap w:val="0"/>
            <w:vAlign w:val="center"/>
          </w:tcPr>
          <w:p w14:paraId="720CEE4A">
            <w:pPr>
              <w:spacing w:line="320" w:lineRule="exact"/>
              <w:jc w:val="cente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2</w:t>
            </w:r>
          </w:p>
        </w:tc>
        <w:tc>
          <w:tcPr>
            <w:tcW w:w="1535" w:type="pct"/>
            <w:tcBorders>
              <w:top w:val="single" w:color="auto" w:sz="4" w:space="0"/>
              <w:left w:val="single" w:color="auto" w:sz="4" w:space="0"/>
              <w:bottom w:val="single" w:color="auto" w:sz="4" w:space="0"/>
              <w:right w:val="single" w:color="auto" w:sz="4" w:space="0"/>
            </w:tcBorders>
            <w:noWrap w:val="0"/>
            <w:vAlign w:val="center"/>
          </w:tcPr>
          <w:p w14:paraId="6E87EECA">
            <w:pPr>
              <w:spacing w:line="320" w:lineRule="exact"/>
              <w:rPr>
                <w:rFonts w:hint="eastAsia" w:ascii="宋体" w:hAnsi="宋体" w:eastAsia="宋体" w:cs="宋体"/>
                <w:bCs/>
                <w:kern w:val="0"/>
                <w:sz w:val="24"/>
                <w:szCs w:val="24"/>
              </w:rPr>
            </w:pPr>
            <w:r>
              <w:rPr>
                <w:rFonts w:hint="eastAsia" w:ascii="宋体" w:hAnsi="宋体" w:eastAsia="宋体" w:cs="宋体"/>
                <w:bCs/>
                <w:kern w:val="0"/>
                <w:sz w:val="24"/>
                <w:szCs w:val="24"/>
              </w:rPr>
              <w:t>响应文件组成</w:t>
            </w:r>
          </w:p>
        </w:tc>
        <w:tc>
          <w:tcPr>
            <w:tcW w:w="2993" w:type="pct"/>
            <w:tcBorders>
              <w:top w:val="single" w:color="auto" w:sz="4" w:space="0"/>
              <w:left w:val="single" w:color="auto" w:sz="4" w:space="0"/>
              <w:bottom w:val="single" w:color="auto" w:sz="4" w:space="0"/>
              <w:right w:val="single" w:color="auto" w:sz="4" w:space="0"/>
            </w:tcBorders>
            <w:noWrap w:val="0"/>
            <w:vAlign w:val="center"/>
          </w:tcPr>
          <w:p w14:paraId="73AA5B51">
            <w:pPr>
              <w:spacing w:line="320" w:lineRule="exact"/>
              <w:rPr>
                <w:rFonts w:hint="eastAsia" w:ascii="宋体" w:hAnsi="宋体" w:eastAsia="宋体" w:cs="宋体"/>
                <w:bCs/>
                <w:kern w:val="0"/>
                <w:sz w:val="24"/>
                <w:szCs w:val="24"/>
                <w:lang w:val="en-US"/>
              </w:rPr>
            </w:pPr>
            <w:r>
              <w:rPr>
                <w:rFonts w:hint="eastAsia" w:ascii="宋体" w:hAnsi="宋体" w:eastAsia="宋体" w:cs="宋体"/>
                <w:sz w:val="24"/>
                <w:szCs w:val="24"/>
                <w:lang w:val="en-US" w:eastAsia="zh-CN"/>
              </w:rPr>
              <w:t>符合磋商文件要求</w:t>
            </w:r>
          </w:p>
        </w:tc>
      </w:tr>
      <w:tr w14:paraId="076AD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noWrap w:val="0"/>
            <w:vAlign w:val="center"/>
          </w:tcPr>
          <w:p w14:paraId="6091F62F">
            <w:pPr>
              <w:spacing w:line="320" w:lineRule="exact"/>
              <w:jc w:val="cente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3</w:t>
            </w:r>
          </w:p>
        </w:tc>
        <w:tc>
          <w:tcPr>
            <w:tcW w:w="1535" w:type="pct"/>
            <w:tcBorders>
              <w:top w:val="single" w:color="auto" w:sz="4" w:space="0"/>
              <w:left w:val="single" w:color="auto" w:sz="4" w:space="0"/>
              <w:bottom w:val="single" w:color="auto" w:sz="4" w:space="0"/>
              <w:right w:val="single" w:color="auto" w:sz="4" w:space="0"/>
            </w:tcBorders>
            <w:noWrap w:val="0"/>
            <w:vAlign w:val="center"/>
          </w:tcPr>
          <w:p w14:paraId="6EAC4F08">
            <w:pPr>
              <w:spacing w:line="320" w:lineRule="exact"/>
              <w:rPr>
                <w:rFonts w:hint="eastAsia" w:ascii="宋体" w:hAnsi="宋体" w:eastAsia="宋体" w:cs="宋体"/>
                <w:bCs/>
                <w:kern w:val="0"/>
                <w:sz w:val="24"/>
                <w:szCs w:val="24"/>
              </w:rPr>
            </w:pPr>
            <w:r>
              <w:rPr>
                <w:rFonts w:hint="eastAsia" w:ascii="宋体" w:hAnsi="宋体" w:eastAsia="宋体" w:cs="宋体"/>
                <w:bCs/>
                <w:kern w:val="0"/>
                <w:sz w:val="24"/>
                <w:szCs w:val="24"/>
              </w:rPr>
              <w:t>响应文件签署、盖章</w:t>
            </w:r>
          </w:p>
        </w:tc>
        <w:tc>
          <w:tcPr>
            <w:tcW w:w="2993" w:type="pct"/>
            <w:tcBorders>
              <w:top w:val="single" w:color="auto" w:sz="4" w:space="0"/>
              <w:left w:val="single" w:color="auto" w:sz="4" w:space="0"/>
              <w:bottom w:val="single" w:color="auto" w:sz="4" w:space="0"/>
              <w:right w:val="single" w:color="auto" w:sz="4" w:space="0"/>
            </w:tcBorders>
            <w:noWrap w:val="0"/>
            <w:vAlign w:val="center"/>
          </w:tcPr>
          <w:p w14:paraId="115F2E4A">
            <w:pPr>
              <w:spacing w:line="320" w:lineRule="exact"/>
              <w:rPr>
                <w:rFonts w:hint="eastAsia" w:ascii="宋体" w:hAnsi="宋体" w:eastAsia="宋体" w:cs="宋体"/>
                <w:sz w:val="24"/>
                <w:szCs w:val="24"/>
              </w:rPr>
            </w:pPr>
            <w:r>
              <w:rPr>
                <w:rFonts w:hint="eastAsia" w:ascii="宋体" w:hAnsi="宋体" w:eastAsia="宋体" w:cs="宋体"/>
                <w:sz w:val="24"/>
                <w:szCs w:val="24"/>
              </w:rPr>
              <w:t>签署、盖章符合</w:t>
            </w:r>
            <w:r>
              <w:rPr>
                <w:rFonts w:hint="eastAsia" w:ascii="宋体" w:hAnsi="宋体" w:eastAsia="宋体" w:cs="宋体"/>
                <w:sz w:val="24"/>
                <w:szCs w:val="24"/>
                <w:lang w:eastAsia="zh-CN"/>
              </w:rPr>
              <w:t>竞争性磋商</w:t>
            </w:r>
            <w:r>
              <w:rPr>
                <w:rFonts w:hint="eastAsia" w:ascii="宋体" w:hAnsi="宋体" w:eastAsia="宋体" w:cs="宋体"/>
                <w:sz w:val="24"/>
                <w:szCs w:val="24"/>
              </w:rPr>
              <w:t>文件要求，且无遗漏。</w:t>
            </w:r>
          </w:p>
        </w:tc>
      </w:tr>
      <w:tr w14:paraId="271AB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noWrap w:val="0"/>
            <w:vAlign w:val="center"/>
          </w:tcPr>
          <w:p w14:paraId="16A55AE1">
            <w:pPr>
              <w:spacing w:line="320" w:lineRule="exact"/>
              <w:jc w:val="center"/>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4</w:t>
            </w:r>
          </w:p>
        </w:tc>
        <w:tc>
          <w:tcPr>
            <w:tcW w:w="1535" w:type="pct"/>
            <w:tcBorders>
              <w:top w:val="single" w:color="auto" w:sz="4" w:space="0"/>
              <w:left w:val="single" w:color="auto" w:sz="4" w:space="0"/>
              <w:bottom w:val="single" w:color="auto" w:sz="4" w:space="0"/>
              <w:right w:val="single" w:color="auto" w:sz="4" w:space="0"/>
            </w:tcBorders>
            <w:noWrap w:val="0"/>
            <w:vAlign w:val="center"/>
          </w:tcPr>
          <w:p w14:paraId="50AF3C12">
            <w:pPr>
              <w:spacing w:line="320" w:lineRule="exact"/>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磋商</w:t>
            </w:r>
            <w:r>
              <w:rPr>
                <w:rFonts w:hint="eastAsia" w:ascii="宋体" w:hAnsi="宋体" w:eastAsia="宋体" w:cs="宋体"/>
                <w:bCs/>
                <w:kern w:val="0"/>
                <w:sz w:val="24"/>
                <w:szCs w:val="24"/>
              </w:rPr>
              <w:t>响应文件有效期</w:t>
            </w:r>
          </w:p>
        </w:tc>
        <w:tc>
          <w:tcPr>
            <w:tcW w:w="2993" w:type="pct"/>
            <w:tcBorders>
              <w:top w:val="single" w:color="auto" w:sz="4" w:space="0"/>
              <w:left w:val="single" w:color="auto" w:sz="4" w:space="0"/>
              <w:bottom w:val="single" w:color="auto" w:sz="4" w:space="0"/>
              <w:right w:val="single" w:color="auto" w:sz="4" w:space="0"/>
            </w:tcBorders>
            <w:noWrap w:val="0"/>
            <w:vAlign w:val="center"/>
          </w:tcPr>
          <w:p w14:paraId="6C531808">
            <w:pPr>
              <w:spacing w:line="320" w:lineRule="exact"/>
              <w:rPr>
                <w:rFonts w:hint="eastAsia" w:ascii="宋体" w:hAnsi="宋体" w:eastAsia="宋体" w:cs="宋体"/>
                <w:bCs/>
                <w:kern w:val="0"/>
                <w:sz w:val="24"/>
                <w:szCs w:val="24"/>
              </w:rPr>
            </w:pPr>
            <w:r>
              <w:rPr>
                <w:rFonts w:hint="eastAsia" w:ascii="宋体" w:hAnsi="宋体" w:eastAsia="宋体" w:cs="宋体"/>
                <w:bCs/>
                <w:kern w:val="0"/>
                <w:sz w:val="24"/>
                <w:szCs w:val="24"/>
              </w:rPr>
              <w:t>符合竞争性</w:t>
            </w:r>
            <w:r>
              <w:rPr>
                <w:rFonts w:hint="eastAsia" w:ascii="宋体" w:hAnsi="宋体" w:eastAsia="宋体" w:cs="宋体"/>
                <w:bCs/>
                <w:kern w:val="0"/>
                <w:sz w:val="24"/>
                <w:szCs w:val="24"/>
                <w:lang w:eastAsia="zh-CN"/>
              </w:rPr>
              <w:t>磋商</w:t>
            </w:r>
            <w:r>
              <w:rPr>
                <w:rFonts w:hint="eastAsia" w:ascii="宋体" w:hAnsi="宋体" w:eastAsia="宋体" w:cs="宋体"/>
                <w:bCs/>
                <w:kern w:val="0"/>
                <w:sz w:val="24"/>
                <w:szCs w:val="24"/>
              </w:rPr>
              <w:t>文件的要求。</w:t>
            </w:r>
          </w:p>
        </w:tc>
      </w:tr>
      <w:tr w14:paraId="294B0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5" w:hRule="atLeast"/>
          <w:jc w:val="center"/>
        </w:trPr>
        <w:tc>
          <w:tcPr>
            <w:tcW w:w="471" w:type="pct"/>
            <w:tcBorders>
              <w:top w:val="single" w:color="auto" w:sz="4" w:space="0"/>
              <w:left w:val="single" w:color="auto" w:sz="4" w:space="0"/>
              <w:bottom w:val="single" w:color="auto" w:sz="4" w:space="0"/>
              <w:right w:val="single" w:color="auto" w:sz="4" w:space="0"/>
            </w:tcBorders>
            <w:noWrap w:val="0"/>
            <w:vAlign w:val="center"/>
          </w:tcPr>
          <w:p w14:paraId="143D0F88">
            <w:pPr>
              <w:spacing w:line="320" w:lineRule="exact"/>
              <w:jc w:val="cente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5</w:t>
            </w:r>
          </w:p>
        </w:tc>
        <w:tc>
          <w:tcPr>
            <w:tcW w:w="1535" w:type="pct"/>
            <w:tcBorders>
              <w:top w:val="single" w:color="auto" w:sz="4" w:space="0"/>
              <w:left w:val="single" w:color="auto" w:sz="4" w:space="0"/>
              <w:bottom w:val="single" w:color="auto" w:sz="4" w:space="0"/>
              <w:right w:val="single" w:color="auto" w:sz="4" w:space="0"/>
            </w:tcBorders>
            <w:noWrap w:val="0"/>
            <w:vAlign w:val="center"/>
          </w:tcPr>
          <w:p w14:paraId="0956D902">
            <w:pPr>
              <w:spacing w:line="320" w:lineRule="exact"/>
              <w:rPr>
                <w:rFonts w:hint="eastAsia" w:ascii="宋体" w:hAnsi="宋体" w:eastAsia="宋体" w:cs="宋体"/>
                <w:bCs/>
                <w:kern w:val="0"/>
                <w:sz w:val="24"/>
                <w:szCs w:val="24"/>
              </w:rPr>
            </w:pPr>
            <w:r>
              <w:rPr>
                <w:rFonts w:hint="eastAsia" w:ascii="宋体" w:hAnsi="宋体" w:eastAsia="宋体" w:cs="宋体"/>
                <w:bCs/>
                <w:kern w:val="0"/>
                <w:sz w:val="24"/>
                <w:szCs w:val="24"/>
                <w:lang w:eastAsia="zh-CN"/>
              </w:rPr>
              <w:t>磋商</w:t>
            </w:r>
            <w:r>
              <w:rPr>
                <w:rFonts w:hint="eastAsia" w:ascii="宋体" w:hAnsi="宋体" w:eastAsia="宋体" w:cs="宋体"/>
                <w:bCs/>
                <w:kern w:val="0"/>
                <w:sz w:val="24"/>
                <w:szCs w:val="24"/>
              </w:rPr>
              <w:t>报价</w:t>
            </w:r>
          </w:p>
        </w:tc>
        <w:tc>
          <w:tcPr>
            <w:tcW w:w="2993" w:type="pct"/>
            <w:tcBorders>
              <w:top w:val="single" w:color="auto" w:sz="4" w:space="0"/>
              <w:left w:val="single" w:color="auto" w:sz="4" w:space="0"/>
              <w:bottom w:val="single" w:color="auto" w:sz="4" w:space="0"/>
              <w:right w:val="single" w:color="auto" w:sz="4" w:space="0"/>
            </w:tcBorders>
            <w:noWrap w:val="0"/>
            <w:vAlign w:val="center"/>
          </w:tcPr>
          <w:p w14:paraId="2EDE9DE1">
            <w:pPr>
              <w:spacing w:line="320" w:lineRule="exact"/>
              <w:rPr>
                <w:rFonts w:hint="eastAsia" w:ascii="宋体" w:hAnsi="宋体" w:eastAsia="宋体" w:cs="宋体"/>
                <w:bCs/>
                <w:kern w:val="0"/>
                <w:sz w:val="24"/>
                <w:szCs w:val="24"/>
              </w:rPr>
            </w:pPr>
            <w:r>
              <w:rPr>
                <w:rFonts w:hint="eastAsia" w:ascii="宋体" w:hAnsi="宋体" w:eastAsia="宋体" w:cs="宋体"/>
                <w:bCs/>
                <w:kern w:val="0"/>
                <w:sz w:val="24"/>
                <w:szCs w:val="24"/>
              </w:rPr>
              <w:t>同时满足以下条款：</w:t>
            </w:r>
          </w:p>
          <w:p w14:paraId="7E37C443">
            <w:pPr>
              <w:spacing w:line="320" w:lineRule="exact"/>
              <w:rPr>
                <w:rFonts w:hint="eastAsia" w:ascii="宋体" w:hAnsi="宋体" w:eastAsia="宋体" w:cs="宋体"/>
                <w:bCs/>
                <w:kern w:val="0"/>
                <w:sz w:val="24"/>
                <w:szCs w:val="24"/>
              </w:rPr>
            </w:pPr>
            <w:r>
              <w:rPr>
                <w:rFonts w:hint="eastAsia" w:ascii="宋体" w:hAnsi="宋体" w:eastAsia="宋体" w:cs="宋体"/>
                <w:bCs/>
                <w:kern w:val="0"/>
                <w:sz w:val="24"/>
                <w:szCs w:val="24"/>
              </w:rPr>
              <w:t>（1）</w:t>
            </w:r>
            <w:r>
              <w:rPr>
                <w:rFonts w:hint="eastAsia" w:ascii="宋体" w:hAnsi="宋体" w:eastAsia="宋体" w:cs="宋体"/>
                <w:bCs/>
                <w:kern w:val="0"/>
                <w:sz w:val="24"/>
                <w:szCs w:val="24"/>
                <w:lang w:eastAsia="zh-CN"/>
              </w:rPr>
              <w:t>磋商</w:t>
            </w:r>
            <w:r>
              <w:rPr>
                <w:rFonts w:hint="eastAsia" w:ascii="宋体" w:hAnsi="宋体" w:eastAsia="宋体" w:cs="宋体"/>
                <w:bCs/>
                <w:kern w:val="0"/>
                <w:sz w:val="24"/>
                <w:szCs w:val="24"/>
              </w:rPr>
              <w:t>报价符合唯一性要求；</w:t>
            </w:r>
          </w:p>
          <w:p w14:paraId="55C90A73">
            <w:pPr>
              <w:spacing w:line="320" w:lineRule="exact"/>
              <w:rPr>
                <w:rFonts w:hint="eastAsia" w:ascii="宋体" w:hAnsi="宋体" w:eastAsia="宋体" w:cs="宋体"/>
                <w:bCs/>
                <w:kern w:val="0"/>
                <w:sz w:val="24"/>
                <w:szCs w:val="24"/>
              </w:rPr>
            </w:pPr>
            <w:r>
              <w:rPr>
                <w:rFonts w:hint="eastAsia" w:ascii="宋体" w:hAnsi="宋体" w:eastAsia="宋体" w:cs="宋体"/>
                <w:bCs/>
                <w:kern w:val="0"/>
                <w:sz w:val="24"/>
                <w:szCs w:val="24"/>
              </w:rPr>
              <w:t>（2）第一次</w:t>
            </w:r>
            <w:r>
              <w:rPr>
                <w:rFonts w:hint="eastAsia" w:ascii="宋体" w:hAnsi="宋体" w:eastAsia="宋体" w:cs="宋体"/>
                <w:bCs/>
                <w:kern w:val="0"/>
                <w:sz w:val="24"/>
                <w:szCs w:val="24"/>
                <w:lang w:eastAsia="zh-CN"/>
              </w:rPr>
              <w:t>磋商</w:t>
            </w:r>
            <w:r>
              <w:rPr>
                <w:rFonts w:hint="eastAsia" w:ascii="宋体" w:hAnsi="宋体" w:eastAsia="宋体" w:cs="宋体"/>
                <w:bCs/>
                <w:kern w:val="0"/>
                <w:sz w:val="24"/>
                <w:szCs w:val="24"/>
              </w:rPr>
              <w:t>报价表填写符合要求；</w:t>
            </w:r>
          </w:p>
          <w:p w14:paraId="6C67FBF9">
            <w:pPr>
              <w:spacing w:line="320" w:lineRule="exact"/>
              <w:rPr>
                <w:rFonts w:hint="eastAsia" w:ascii="宋体" w:hAnsi="宋体" w:eastAsia="宋体" w:cs="宋体"/>
                <w:bCs/>
                <w:kern w:val="0"/>
                <w:sz w:val="24"/>
                <w:szCs w:val="24"/>
              </w:rPr>
            </w:pPr>
            <w:r>
              <w:rPr>
                <w:rFonts w:hint="eastAsia" w:ascii="宋体" w:hAnsi="宋体" w:eastAsia="宋体" w:cs="宋体"/>
                <w:bCs/>
                <w:kern w:val="0"/>
                <w:sz w:val="24"/>
                <w:szCs w:val="24"/>
              </w:rPr>
              <w:t>（3）报价货币符合</w:t>
            </w:r>
            <w:r>
              <w:rPr>
                <w:rFonts w:hint="eastAsia" w:ascii="宋体" w:hAnsi="宋体" w:eastAsia="宋体" w:cs="宋体"/>
                <w:sz w:val="24"/>
                <w:szCs w:val="24"/>
                <w:lang w:eastAsia="zh-CN"/>
              </w:rPr>
              <w:t>竞争性</w:t>
            </w:r>
            <w:r>
              <w:rPr>
                <w:rFonts w:hint="eastAsia" w:ascii="宋体" w:hAnsi="宋体" w:eastAsia="宋体" w:cs="宋体"/>
                <w:bCs/>
                <w:kern w:val="0"/>
                <w:sz w:val="24"/>
                <w:szCs w:val="24"/>
                <w:lang w:eastAsia="zh-CN"/>
              </w:rPr>
              <w:t>磋商</w:t>
            </w:r>
            <w:r>
              <w:rPr>
                <w:rFonts w:hint="eastAsia" w:ascii="宋体" w:hAnsi="宋体" w:eastAsia="宋体" w:cs="宋体"/>
                <w:bCs/>
                <w:kern w:val="0"/>
                <w:sz w:val="24"/>
                <w:szCs w:val="24"/>
              </w:rPr>
              <w:t>文件要求；</w:t>
            </w:r>
          </w:p>
          <w:p w14:paraId="2C1752C5">
            <w:pPr>
              <w:spacing w:line="320" w:lineRule="exact"/>
              <w:rPr>
                <w:rFonts w:hint="eastAsia" w:ascii="宋体" w:hAnsi="宋体" w:eastAsia="宋体" w:cs="宋体"/>
                <w:bCs/>
                <w:kern w:val="0"/>
                <w:sz w:val="24"/>
                <w:szCs w:val="24"/>
                <w:lang w:eastAsia="zh-CN"/>
              </w:rPr>
            </w:pPr>
            <w:r>
              <w:rPr>
                <w:rFonts w:hint="eastAsia" w:ascii="宋体" w:hAnsi="宋体" w:eastAsia="宋体" w:cs="宋体"/>
                <w:bCs/>
                <w:kern w:val="0"/>
                <w:sz w:val="24"/>
                <w:szCs w:val="24"/>
              </w:rPr>
              <w:t>（4）未超出采购预算或</w:t>
            </w:r>
            <w:r>
              <w:rPr>
                <w:rFonts w:hint="eastAsia" w:ascii="宋体" w:hAnsi="宋体" w:eastAsia="宋体" w:cs="宋体"/>
                <w:sz w:val="24"/>
                <w:szCs w:val="24"/>
                <w:lang w:eastAsia="zh-CN"/>
              </w:rPr>
              <w:t>竞争性</w:t>
            </w:r>
            <w:r>
              <w:rPr>
                <w:rFonts w:hint="eastAsia" w:ascii="宋体" w:hAnsi="宋体" w:eastAsia="宋体" w:cs="宋体"/>
                <w:bCs/>
                <w:kern w:val="0"/>
                <w:sz w:val="24"/>
                <w:szCs w:val="24"/>
                <w:lang w:eastAsia="zh-CN"/>
              </w:rPr>
              <w:t>磋商</w:t>
            </w:r>
            <w:r>
              <w:rPr>
                <w:rFonts w:hint="eastAsia" w:ascii="宋体" w:hAnsi="宋体" w:eastAsia="宋体" w:cs="宋体"/>
                <w:bCs/>
                <w:kern w:val="0"/>
                <w:sz w:val="24"/>
                <w:szCs w:val="24"/>
              </w:rPr>
              <w:t>文件规定的最高限价</w:t>
            </w:r>
            <w:r>
              <w:rPr>
                <w:rFonts w:hint="eastAsia" w:ascii="宋体" w:hAnsi="宋体" w:eastAsia="宋体" w:cs="宋体"/>
                <w:bCs/>
                <w:kern w:val="0"/>
                <w:sz w:val="24"/>
                <w:szCs w:val="24"/>
                <w:lang w:eastAsia="zh-CN"/>
              </w:rPr>
              <w:t>。</w:t>
            </w:r>
          </w:p>
        </w:tc>
      </w:tr>
      <w:tr w14:paraId="2CC23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471" w:type="pct"/>
            <w:tcBorders>
              <w:top w:val="single" w:color="auto" w:sz="4" w:space="0"/>
              <w:left w:val="single" w:color="auto" w:sz="4" w:space="0"/>
              <w:bottom w:val="single" w:color="auto" w:sz="4" w:space="0"/>
              <w:right w:val="single" w:color="auto" w:sz="4" w:space="0"/>
            </w:tcBorders>
            <w:noWrap w:val="0"/>
            <w:vAlign w:val="center"/>
          </w:tcPr>
          <w:p w14:paraId="51CFE170">
            <w:pPr>
              <w:spacing w:line="320" w:lineRule="exact"/>
              <w:jc w:val="cente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6</w:t>
            </w:r>
          </w:p>
        </w:tc>
        <w:tc>
          <w:tcPr>
            <w:tcW w:w="1535" w:type="pct"/>
            <w:tcBorders>
              <w:top w:val="single" w:color="auto" w:sz="4" w:space="0"/>
              <w:left w:val="single" w:color="auto" w:sz="4" w:space="0"/>
              <w:bottom w:val="single" w:color="auto" w:sz="4" w:space="0"/>
              <w:right w:val="single" w:color="auto" w:sz="4" w:space="0"/>
            </w:tcBorders>
            <w:noWrap w:val="0"/>
            <w:vAlign w:val="center"/>
          </w:tcPr>
          <w:p w14:paraId="31857DA0">
            <w:pPr>
              <w:spacing w:line="320" w:lineRule="exact"/>
              <w:rPr>
                <w:rFonts w:hint="eastAsia" w:ascii="宋体" w:hAnsi="宋体" w:eastAsia="宋体" w:cs="宋体"/>
                <w:sz w:val="24"/>
                <w:szCs w:val="24"/>
              </w:rPr>
            </w:pPr>
            <w:r>
              <w:rPr>
                <w:rFonts w:hint="eastAsia" w:ascii="宋体" w:hAnsi="宋体" w:eastAsia="宋体" w:cs="宋体"/>
                <w:sz w:val="24"/>
                <w:szCs w:val="24"/>
              </w:rPr>
              <w:t>实质性条款响应</w:t>
            </w:r>
          </w:p>
        </w:tc>
        <w:tc>
          <w:tcPr>
            <w:tcW w:w="2993" w:type="pct"/>
            <w:tcBorders>
              <w:top w:val="single" w:color="auto" w:sz="4" w:space="0"/>
              <w:left w:val="single" w:color="auto" w:sz="4" w:space="0"/>
              <w:bottom w:val="single" w:color="auto" w:sz="4" w:space="0"/>
              <w:right w:val="single" w:color="auto" w:sz="4" w:space="0"/>
            </w:tcBorders>
            <w:noWrap w:val="0"/>
            <w:vAlign w:val="center"/>
          </w:tcPr>
          <w:p w14:paraId="58F50A6C">
            <w:pPr>
              <w:spacing w:line="320" w:lineRule="exact"/>
              <w:rPr>
                <w:rFonts w:hint="eastAsia" w:ascii="宋体" w:hAnsi="宋体" w:eastAsia="宋体" w:cs="宋体"/>
                <w:sz w:val="24"/>
                <w:szCs w:val="24"/>
                <w:lang w:val="en-US" w:eastAsia="zh-CN"/>
              </w:rPr>
            </w:pPr>
            <w:r>
              <w:rPr>
                <w:rFonts w:hint="eastAsia" w:ascii="宋体" w:hAnsi="宋体" w:eastAsia="宋体" w:cs="宋体"/>
                <w:sz w:val="24"/>
                <w:szCs w:val="24"/>
              </w:rPr>
              <w:t>完全响应磋商文件要求的各项技术/服务/商务实质性条款。</w:t>
            </w:r>
            <w:r>
              <w:rPr>
                <w:rFonts w:hint="eastAsia" w:ascii="宋体" w:hAnsi="宋体" w:eastAsia="宋体" w:cs="宋体"/>
                <w:sz w:val="24"/>
                <w:szCs w:val="24"/>
                <w:lang w:val="en-US" w:eastAsia="zh-CN"/>
              </w:rPr>
              <w:t>无竞争性磋商文件中规定的无效投标情形。</w:t>
            </w:r>
            <w:r>
              <w:rPr>
                <w:rFonts w:hint="eastAsia" w:ascii="宋体" w:hAnsi="宋体" w:eastAsia="宋体" w:cs="宋体"/>
                <w:color w:val="auto"/>
                <w:sz w:val="24"/>
                <w:szCs w:val="24"/>
              </w:rPr>
              <w:t>没有重大缺项漏项,无明显不符合技术规格、技术标准的要求的。</w:t>
            </w:r>
          </w:p>
        </w:tc>
      </w:tr>
      <w:tr w14:paraId="0B0BD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noWrap w:val="0"/>
            <w:vAlign w:val="center"/>
          </w:tcPr>
          <w:p w14:paraId="7EE36808">
            <w:pPr>
              <w:spacing w:line="320" w:lineRule="exact"/>
              <w:jc w:val="cente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7</w:t>
            </w:r>
          </w:p>
        </w:tc>
        <w:tc>
          <w:tcPr>
            <w:tcW w:w="1535" w:type="pct"/>
            <w:tcBorders>
              <w:top w:val="single" w:color="auto" w:sz="4" w:space="0"/>
              <w:left w:val="single" w:color="auto" w:sz="4" w:space="0"/>
              <w:bottom w:val="single" w:color="auto" w:sz="4" w:space="0"/>
              <w:right w:val="single" w:color="auto" w:sz="4" w:space="0"/>
            </w:tcBorders>
            <w:noWrap w:val="0"/>
            <w:vAlign w:val="center"/>
          </w:tcPr>
          <w:p w14:paraId="27265DAB">
            <w:pPr>
              <w:spacing w:line="320" w:lineRule="exact"/>
              <w:rPr>
                <w:rFonts w:hint="eastAsia" w:ascii="宋体" w:hAnsi="宋体" w:eastAsia="宋体" w:cs="宋体"/>
                <w:sz w:val="24"/>
                <w:szCs w:val="24"/>
              </w:rPr>
            </w:pPr>
            <w:r>
              <w:rPr>
                <w:rFonts w:hint="eastAsia" w:ascii="宋体" w:hAnsi="宋体" w:eastAsia="宋体" w:cs="宋体"/>
                <w:sz w:val="24"/>
                <w:szCs w:val="24"/>
              </w:rPr>
              <w:t>合同条款</w:t>
            </w:r>
          </w:p>
        </w:tc>
        <w:tc>
          <w:tcPr>
            <w:tcW w:w="2993" w:type="pct"/>
            <w:tcBorders>
              <w:top w:val="single" w:color="auto" w:sz="4" w:space="0"/>
              <w:left w:val="single" w:color="auto" w:sz="4" w:space="0"/>
              <w:bottom w:val="single" w:color="auto" w:sz="4" w:space="0"/>
              <w:right w:val="single" w:color="auto" w:sz="4" w:space="0"/>
            </w:tcBorders>
            <w:noWrap w:val="0"/>
            <w:vAlign w:val="center"/>
          </w:tcPr>
          <w:p w14:paraId="37B6DCC9">
            <w:pPr>
              <w:spacing w:line="320" w:lineRule="exact"/>
              <w:rPr>
                <w:rFonts w:hint="eastAsia" w:ascii="宋体" w:hAnsi="宋体" w:eastAsia="宋体" w:cs="宋体"/>
                <w:sz w:val="24"/>
                <w:szCs w:val="24"/>
                <w:lang w:eastAsia="zh-CN"/>
              </w:rPr>
            </w:pPr>
            <w:r>
              <w:rPr>
                <w:rFonts w:hint="eastAsia" w:ascii="宋体" w:hAnsi="宋体" w:eastAsia="宋体" w:cs="宋体"/>
                <w:sz w:val="24"/>
                <w:szCs w:val="24"/>
              </w:rPr>
              <w:t>完全理解并接受</w:t>
            </w:r>
            <w:r>
              <w:rPr>
                <w:rFonts w:hint="eastAsia" w:ascii="宋体" w:hAnsi="宋体" w:eastAsia="宋体" w:cs="宋体"/>
                <w:sz w:val="24"/>
                <w:szCs w:val="24"/>
                <w:lang w:eastAsia="zh-CN"/>
              </w:rPr>
              <w:t>竞争性磋商</w:t>
            </w:r>
            <w:r>
              <w:rPr>
                <w:rFonts w:hint="eastAsia" w:ascii="宋体" w:hAnsi="宋体" w:eastAsia="宋体" w:cs="宋体"/>
                <w:sz w:val="24"/>
                <w:szCs w:val="24"/>
              </w:rPr>
              <w:t>文件合同条款的要求</w:t>
            </w:r>
            <w:r>
              <w:rPr>
                <w:rFonts w:hint="eastAsia" w:ascii="宋体" w:hAnsi="宋体" w:eastAsia="宋体" w:cs="宋体"/>
                <w:sz w:val="24"/>
                <w:szCs w:val="24"/>
                <w:lang w:eastAsia="zh-CN"/>
              </w:rPr>
              <w:t>。</w:t>
            </w:r>
          </w:p>
        </w:tc>
      </w:tr>
      <w:tr w14:paraId="0C45F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noWrap w:val="0"/>
            <w:vAlign w:val="center"/>
          </w:tcPr>
          <w:p w14:paraId="3FA4AE9F">
            <w:pPr>
              <w:spacing w:line="320" w:lineRule="exact"/>
              <w:jc w:val="center"/>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8</w:t>
            </w:r>
          </w:p>
        </w:tc>
        <w:tc>
          <w:tcPr>
            <w:tcW w:w="1535" w:type="pct"/>
            <w:tcBorders>
              <w:top w:val="single" w:color="auto" w:sz="4" w:space="0"/>
              <w:left w:val="single" w:color="auto" w:sz="4" w:space="0"/>
              <w:bottom w:val="single" w:color="auto" w:sz="4" w:space="0"/>
              <w:right w:val="single" w:color="auto" w:sz="4" w:space="0"/>
            </w:tcBorders>
            <w:noWrap w:val="0"/>
            <w:vAlign w:val="center"/>
          </w:tcPr>
          <w:p w14:paraId="3D554CDB">
            <w:pPr>
              <w:spacing w:line="320" w:lineRule="exact"/>
              <w:rPr>
                <w:rFonts w:hint="eastAsia" w:ascii="宋体" w:hAnsi="宋体" w:eastAsia="宋体" w:cs="宋体"/>
                <w:sz w:val="24"/>
                <w:szCs w:val="24"/>
              </w:rPr>
            </w:pPr>
            <w:r>
              <w:rPr>
                <w:rFonts w:hint="eastAsia" w:ascii="宋体" w:hAnsi="宋体" w:eastAsia="宋体" w:cs="宋体"/>
                <w:sz w:val="24"/>
                <w:szCs w:val="24"/>
              </w:rPr>
              <w:t>其他</w:t>
            </w:r>
          </w:p>
        </w:tc>
        <w:tc>
          <w:tcPr>
            <w:tcW w:w="2993" w:type="pct"/>
            <w:tcBorders>
              <w:top w:val="single" w:color="auto" w:sz="4" w:space="0"/>
              <w:left w:val="single" w:color="auto" w:sz="4" w:space="0"/>
              <w:bottom w:val="single" w:color="auto" w:sz="4" w:space="0"/>
              <w:right w:val="single" w:color="auto" w:sz="4" w:space="0"/>
            </w:tcBorders>
            <w:noWrap w:val="0"/>
            <w:vAlign w:val="center"/>
          </w:tcPr>
          <w:p w14:paraId="55F9FD36">
            <w:pPr>
              <w:spacing w:line="320" w:lineRule="exact"/>
              <w:rPr>
                <w:rFonts w:hint="eastAsia" w:ascii="宋体" w:hAnsi="宋体" w:eastAsia="宋体" w:cs="宋体"/>
                <w:sz w:val="24"/>
                <w:szCs w:val="24"/>
              </w:rPr>
            </w:pPr>
            <w:r>
              <w:rPr>
                <w:rFonts w:hint="eastAsia" w:ascii="宋体" w:hAnsi="宋体" w:eastAsia="宋体" w:cs="宋体"/>
                <w:sz w:val="24"/>
                <w:szCs w:val="24"/>
              </w:rPr>
              <w:t>完全理解并接受法律法规和</w:t>
            </w:r>
            <w:r>
              <w:rPr>
                <w:rFonts w:hint="eastAsia" w:ascii="宋体" w:hAnsi="宋体" w:eastAsia="宋体" w:cs="宋体"/>
                <w:sz w:val="24"/>
                <w:szCs w:val="24"/>
                <w:lang w:val="en-US" w:eastAsia="zh-CN"/>
              </w:rPr>
              <w:t>竞争性</w:t>
            </w:r>
            <w:r>
              <w:rPr>
                <w:rFonts w:hint="eastAsia" w:ascii="宋体" w:hAnsi="宋体" w:eastAsia="宋体" w:cs="宋体"/>
                <w:sz w:val="24"/>
                <w:szCs w:val="24"/>
                <w:lang w:eastAsia="zh-CN"/>
              </w:rPr>
              <w:t>磋商</w:t>
            </w:r>
            <w:r>
              <w:rPr>
                <w:rFonts w:hint="eastAsia" w:ascii="宋体" w:hAnsi="宋体" w:eastAsia="宋体" w:cs="宋体"/>
                <w:sz w:val="24"/>
                <w:szCs w:val="24"/>
              </w:rPr>
              <w:t>文件对供应商的各项须知、规约要求和责任义务，没有出现法律法规或</w:t>
            </w:r>
            <w:r>
              <w:rPr>
                <w:rFonts w:hint="eastAsia" w:ascii="宋体" w:hAnsi="宋体" w:eastAsia="宋体" w:cs="宋体"/>
                <w:sz w:val="24"/>
                <w:szCs w:val="24"/>
                <w:lang w:val="en-US" w:eastAsia="zh-CN"/>
              </w:rPr>
              <w:t>竞争性</w:t>
            </w:r>
            <w:r>
              <w:rPr>
                <w:rFonts w:hint="eastAsia" w:ascii="宋体" w:hAnsi="宋体" w:eastAsia="宋体" w:cs="宋体"/>
                <w:sz w:val="24"/>
                <w:szCs w:val="24"/>
                <w:lang w:eastAsia="zh-CN"/>
              </w:rPr>
              <w:t>磋商</w:t>
            </w:r>
            <w:r>
              <w:rPr>
                <w:rFonts w:hint="eastAsia" w:ascii="宋体" w:hAnsi="宋体" w:eastAsia="宋体" w:cs="宋体"/>
                <w:sz w:val="24"/>
                <w:szCs w:val="24"/>
              </w:rPr>
              <w:t>文件明确规定的其他被视为“无效响应”的情形。</w:t>
            </w:r>
            <w:r>
              <w:rPr>
                <w:rFonts w:hint="eastAsia" w:ascii="宋体" w:hAnsi="宋体" w:eastAsia="宋体" w:cs="宋体"/>
                <w:color w:val="auto"/>
                <w:sz w:val="24"/>
                <w:szCs w:val="24"/>
              </w:rPr>
              <w:t>未提供虚假证明（包括第三方提供的虚假证明），未开具虚假资质，未出现虚假应答。</w:t>
            </w:r>
          </w:p>
        </w:tc>
      </w:tr>
    </w:tbl>
    <w:p w14:paraId="0DE57EF3">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对响应文件含义不明确、同类问题表述不一致或者有明显文字和计算错误的内容，磋商小组可以要求供应商在规定的时间内做出必要的澄清、说明或者纠正。供应商的澄清、说明或者补正应当采用书面形式，有其授权的代表签字，并不得超出磋商响应文件的范围或者改变响应文件的实质性内容。</w:t>
      </w:r>
    </w:p>
    <w:p w14:paraId="03738217">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.1澄清文件将作为响应文件的一部分。</w:t>
      </w:r>
    </w:p>
    <w:p w14:paraId="61B33722">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.2算术错误将按以下方法更正：</w:t>
      </w:r>
    </w:p>
    <w:p w14:paraId="78E3AA3F">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.2.1响应文件的大写金额和小写金额不一致的，以大写金额为准；</w:t>
      </w:r>
    </w:p>
    <w:p w14:paraId="745DA491">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.2.2总价金额与按单价汇总金额不一致的，以单价金额计算结果为准；</w:t>
      </w:r>
    </w:p>
    <w:p w14:paraId="5B137D1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.2.3单价金额小数点有明显错位的，应当以总价为准，并修改单价；</w:t>
      </w:r>
    </w:p>
    <w:p w14:paraId="6EB21600">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2.2.4对不同文字文本磋商响应文件的解释发生异议的，以中文文本为准；</w:t>
      </w:r>
    </w:p>
    <w:p w14:paraId="6F82D23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.2.5对于供应商不接受对其错误的更改，其磋商属于无效磋商情形。</w:t>
      </w:r>
    </w:p>
    <w:p w14:paraId="109E376C">
      <w:pPr>
        <w:spacing w:line="360" w:lineRule="auto"/>
        <w:rPr>
          <w:rFonts w:hint="eastAsia" w:ascii="宋体" w:hAnsi="宋体" w:eastAsia="宋体" w:cs="宋体"/>
          <w:b/>
          <w:bCs/>
          <w:spacing w:val="4"/>
          <w:sz w:val="24"/>
          <w:szCs w:val="24"/>
          <w:lang w:val="en-US" w:eastAsia="zh-CN"/>
        </w:rPr>
      </w:pPr>
      <w:r>
        <w:rPr>
          <w:rFonts w:hint="eastAsia" w:ascii="宋体" w:hAnsi="宋体" w:eastAsia="宋体" w:cs="宋体"/>
          <w:b/>
          <w:bCs/>
          <w:spacing w:val="4"/>
          <w:sz w:val="24"/>
          <w:szCs w:val="24"/>
          <w:lang w:val="en-US" w:eastAsia="zh-CN"/>
        </w:rPr>
        <w:t>三、享受的政府采购政策</w:t>
      </w:r>
    </w:p>
    <w:p w14:paraId="70EF46B0">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落实政府采购政策：落实</w:t>
      </w:r>
      <w:r>
        <w:rPr>
          <w:rFonts w:hint="eastAsia" w:ascii="宋体" w:hAnsi="宋体" w:eastAsia="宋体" w:cs="宋体"/>
          <w:sz w:val="24"/>
          <w:szCs w:val="24"/>
        </w:rPr>
        <w:t>促进支持中小企业、监狱企业、残疾人福利性单位发展、脱贫攻坚工作的政策</w:t>
      </w:r>
      <w:r>
        <w:rPr>
          <w:rFonts w:hint="eastAsia" w:ascii="宋体" w:hAnsi="宋体" w:eastAsia="宋体" w:cs="宋体"/>
          <w:sz w:val="24"/>
          <w:szCs w:val="24"/>
          <w:lang w:eastAsia="zh-CN"/>
        </w:rPr>
        <w:t>。</w:t>
      </w:r>
    </w:p>
    <w:p w14:paraId="314FD795">
      <w:pPr>
        <w:keepLines w:val="0"/>
        <w:pageBreakBefore w:val="0"/>
        <w:numPr>
          <w:ilvl w:val="0"/>
          <w:numId w:val="0"/>
        </w:numPr>
        <w:overflowPunct/>
        <w:topLinePunct w:val="0"/>
        <w:autoSpaceDE/>
        <w:autoSpaceDN/>
        <w:bidi w:val="0"/>
        <w:adjustRightInd/>
        <w:snapToGrid/>
        <w:spacing w:line="360" w:lineRule="auto"/>
        <w:ind w:firstLine="496" w:firstLineChars="200"/>
        <w:textAlignment w:val="auto"/>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1.1针对中小型企业的说明：</w:t>
      </w:r>
    </w:p>
    <w:p w14:paraId="597C715D">
      <w:pPr>
        <w:keepLines w:val="0"/>
        <w:pageBreakBefore w:val="0"/>
        <w:numPr>
          <w:ilvl w:val="0"/>
          <w:numId w:val="0"/>
        </w:numPr>
        <w:overflowPunct/>
        <w:topLinePunct w:val="0"/>
        <w:autoSpaceDE/>
        <w:autoSpaceDN/>
        <w:bidi w:val="0"/>
        <w:adjustRightInd/>
        <w:snapToGrid/>
        <w:spacing w:line="360" w:lineRule="auto"/>
        <w:ind w:firstLine="496" w:firstLineChars="200"/>
        <w:textAlignment w:val="auto"/>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根据《政府采购促进中小企业发展管理办法》（财库〔2020〕46号）及《中小企业划型标准规定》（工信部联企业〔2011〕300号）</w:t>
      </w:r>
      <w:r>
        <w:rPr>
          <w:rFonts w:hint="eastAsia" w:ascii="宋体" w:hAnsi="宋体" w:eastAsia="宋体" w:cs="宋体"/>
          <w:b/>
          <w:bCs/>
          <w:spacing w:val="4"/>
          <w:sz w:val="24"/>
          <w:szCs w:val="24"/>
          <w:lang w:val="en-US" w:eastAsia="zh-CN"/>
        </w:rPr>
        <w:t>。</w:t>
      </w:r>
      <w:r>
        <w:rPr>
          <w:rFonts w:hint="eastAsia" w:ascii="宋体" w:hAnsi="宋体" w:eastAsia="宋体" w:cs="宋体"/>
          <w:spacing w:val="4"/>
          <w:sz w:val="24"/>
          <w:szCs w:val="24"/>
          <w:lang w:val="en-US" w:eastAsia="zh-CN"/>
        </w:rPr>
        <w:t>不允许大型及以上企业参与投标,响应单位不再享受价格分优惠。中小微企业在响应文件中,必须提供《中小企业声明函》。未在响应文件中提供《中小企业声明函》,其响应文件为不实质响应采购文件,为无效响应。</w:t>
      </w:r>
    </w:p>
    <w:p w14:paraId="7FEF36BF">
      <w:pPr>
        <w:keepLines w:val="0"/>
        <w:pageBreakBefore w:val="0"/>
        <w:numPr>
          <w:ilvl w:val="0"/>
          <w:numId w:val="0"/>
        </w:numPr>
        <w:overflowPunct/>
        <w:topLinePunct w:val="0"/>
        <w:autoSpaceDE/>
        <w:autoSpaceDN/>
        <w:bidi w:val="0"/>
        <w:adjustRightInd/>
        <w:snapToGrid/>
        <w:spacing w:line="360" w:lineRule="auto"/>
        <w:ind w:firstLine="496" w:firstLineChars="200"/>
        <w:textAlignment w:val="auto"/>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p>
    <w:p w14:paraId="7BCC71E2">
      <w:pPr>
        <w:keepLines w:val="0"/>
        <w:pageBreakBefore w:val="0"/>
        <w:numPr>
          <w:ilvl w:val="0"/>
          <w:numId w:val="0"/>
        </w:numPr>
        <w:overflowPunct/>
        <w:topLinePunct w:val="0"/>
        <w:autoSpaceDE/>
        <w:autoSpaceDN/>
        <w:bidi w:val="0"/>
        <w:adjustRightInd/>
        <w:snapToGrid/>
        <w:spacing w:line="360" w:lineRule="auto"/>
        <w:ind w:firstLine="496" w:firstLineChars="200"/>
        <w:textAlignment w:val="auto"/>
        <w:rPr>
          <w:rFonts w:hint="eastAsia" w:ascii="宋体" w:hAnsi="宋体" w:eastAsia="宋体" w:cs="宋体"/>
          <w:sz w:val="24"/>
          <w:szCs w:val="24"/>
          <w:lang w:val="en-US" w:eastAsia="zh-CN"/>
        </w:rPr>
      </w:pPr>
      <w:r>
        <w:rPr>
          <w:rFonts w:hint="eastAsia" w:ascii="宋体" w:hAnsi="宋体" w:eastAsia="宋体" w:cs="宋体"/>
          <w:spacing w:val="4"/>
          <w:sz w:val="24"/>
          <w:szCs w:val="24"/>
          <w:lang w:val="en-US" w:eastAsia="zh-CN"/>
        </w:rPr>
        <w:t>如投标人提供虚假材料，将按“政府采购法”相关规定处理并由政府监管部门给予严肃处理。</w:t>
      </w:r>
    </w:p>
    <w:p w14:paraId="48D60B43">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1.2、</w:t>
      </w:r>
      <w:r>
        <w:rPr>
          <w:rFonts w:hint="eastAsia" w:ascii="宋体" w:hAnsi="宋体" w:eastAsia="宋体" w:cs="宋体"/>
          <w:color w:val="000000"/>
          <w:sz w:val="24"/>
          <w:szCs w:val="24"/>
        </w:rPr>
        <w:t>落实政府采购政策：落实</w:t>
      </w:r>
      <w:r>
        <w:rPr>
          <w:rFonts w:hint="eastAsia" w:ascii="宋体" w:hAnsi="宋体" w:eastAsia="宋体" w:cs="宋体"/>
          <w:sz w:val="24"/>
          <w:szCs w:val="24"/>
        </w:rPr>
        <w:t>促进支持中小企业、监狱企业、残疾人福利性单位发展、脱贫攻坚工作的政策(</w:t>
      </w:r>
      <w:r>
        <w:rPr>
          <w:rFonts w:hint="eastAsia" w:ascii="宋体" w:hAnsi="宋体" w:eastAsia="宋体" w:cs="宋体"/>
          <w:b/>
          <w:bCs/>
          <w:sz w:val="24"/>
          <w:szCs w:val="24"/>
          <w:lang w:eastAsia="zh-CN"/>
        </w:rPr>
        <w:t>不</w:t>
      </w:r>
      <w:r>
        <w:rPr>
          <w:rFonts w:hint="eastAsia" w:ascii="宋体" w:hAnsi="宋体" w:eastAsia="宋体" w:cs="宋体"/>
          <w:b/>
          <w:bCs/>
          <w:sz w:val="24"/>
          <w:szCs w:val="24"/>
        </w:rPr>
        <w:t>专门面向中小企业的采购项目（或采购包），执行</w:t>
      </w:r>
      <w:r>
        <w:rPr>
          <w:rFonts w:hint="eastAsia" w:ascii="宋体" w:hAnsi="宋体" w:eastAsia="宋体" w:cs="宋体"/>
          <w:b/>
          <w:bCs/>
          <w:sz w:val="24"/>
          <w:szCs w:val="24"/>
          <w:lang w:eastAsia="zh-CN"/>
        </w:rPr>
        <w:t>以下</w:t>
      </w:r>
      <w:r>
        <w:rPr>
          <w:rFonts w:hint="eastAsia" w:ascii="宋体" w:hAnsi="宋体" w:eastAsia="宋体" w:cs="宋体"/>
          <w:b/>
          <w:bCs/>
          <w:sz w:val="24"/>
          <w:szCs w:val="24"/>
        </w:rPr>
        <w:t>条款</w:t>
      </w:r>
      <w:r>
        <w:rPr>
          <w:rFonts w:hint="eastAsia" w:ascii="宋体" w:hAnsi="宋体" w:eastAsia="宋体" w:cs="宋体"/>
          <w:sz w:val="24"/>
          <w:szCs w:val="24"/>
        </w:rPr>
        <w:t>)</w:t>
      </w:r>
      <w:r>
        <w:rPr>
          <w:rFonts w:hint="eastAsia" w:ascii="宋体" w:hAnsi="宋体" w:eastAsia="宋体" w:cs="宋体"/>
          <w:b/>
          <w:bCs/>
          <w:sz w:val="24"/>
          <w:szCs w:val="24"/>
          <w:lang w:eastAsia="zh-CN"/>
        </w:rPr>
        <w:t>。</w:t>
      </w:r>
    </w:p>
    <w:p w14:paraId="465D17D6">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1.2.1</w:t>
      </w:r>
      <w:r>
        <w:rPr>
          <w:rFonts w:hint="eastAsia" w:ascii="宋体" w:hAnsi="宋体" w:eastAsia="宋体" w:cs="宋体"/>
          <w:sz w:val="24"/>
          <w:szCs w:val="24"/>
        </w:rPr>
        <w:t>《政府采购促进中小企业发展管理办法》（财库〔2020〕46号）</w:t>
      </w:r>
    </w:p>
    <w:p w14:paraId="48C25D96">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在政府采购活动中，供应商提供的货物、工程或者服务符合下列情形的，享受《办法》规定的中小企业扶持政策:</w:t>
      </w:r>
    </w:p>
    <w:p w14:paraId="2D01A41C">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(一)在货物采购项目中，货物由中小企业制造，即货物由中小企业生产且使用该中小企业商号或者注册商标；</w:t>
      </w:r>
    </w:p>
    <w:p w14:paraId="04C01318">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(二)在工程采购项目中，工程由中小企业承建，即工程施工单位为中小企业；</w:t>
      </w:r>
    </w:p>
    <w:p w14:paraId="707C5BDE">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(三)在服务采购项目中，服务由中小企业承接，即提供服务的人员为中小企业依照《中华人民共和国民法典》订立劳动合同的从业人员。</w:t>
      </w:r>
    </w:p>
    <w:p w14:paraId="76076CB7">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在货物采购项目中，供应商提供的货物既有中小企业制造货物，也有大型企业制造货物的，不享受《办法》规定的中小企业扶持政策。</w:t>
      </w:r>
    </w:p>
    <w:p w14:paraId="349B8AEB">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14:paraId="592EFFDA">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依据《办法》规定享受扶持政策获得政府采购合同的，小微企业不得将合同分包给大中型企业，中型企业不得将合同分包给大型企业。</w:t>
      </w:r>
    </w:p>
    <w:p w14:paraId="2014AA29">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的通知（财库〔2020〕46号）规定，参加政府采购活动的中小企业应当提供《中小企业声明函》。供应商提供的《中小企业声明函》原件必须真实，否则，按照有关规定予以处理。</w:t>
      </w:r>
    </w:p>
    <w:p w14:paraId="46910862">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根据《政府采购促进中小企业发展管理办法》（财库〔2020〕46号）及《关于进一步加大政府采购支持中小企业力度的通知》财库〔2022〕19号的相关规定，</w:t>
      </w:r>
      <w:r>
        <w:rPr>
          <w:rFonts w:hint="eastAsia" w:ascii="宋体" w:hAnsi="宋体" w:eastAsia="宋体" w:cs="宋体"/>
          <w:sz w:val="24"/>
          <w:szCs w:val="24"/>
          <w:lang w:eastAsia="zh-CN"/>
        </w:rPr>
        <w:t>货物服务</w:t>
      </w:r>
      <w:r>
        <w:rPr>
          <w:rFonts w:hint="eastAsia" w:ascii="宋体" w:hAnsi="宋体" w:eastAsia="宋体" w:cs="宋体"/>
          <w:sz w:val="24"/>
          <w:szCs w:val="24"/>
        </w:rPr>
        <w:t>小微企业报价给予</w:t>
      </w:r>
      <w:r>
        <w:rPr>
          <w:rFonts w:hint="eastAsia" w:ascii="宋体" w:hAnsi="宋体" w:eastAsia="宋体" w:cs="宋体"/>
          <w:sz w:val="24"/>
          <w:szCs w:val="24"/>
          <w:lang w:val="en-US" w:eastAsia="zh-CN"/>
        </w:rPr>
        <w:t>2</w:t>
      </w:r>
      <w:r>
        <w:rPr>
          <w:rFonts w:hint="eastAsia" w:ascii="宋体" w:hAnsi="宋体" w:eastAsia="宋体" w:cs="宋体"/>
          <w:sz w:val="24"/>
          <w:szCs w:val="24"/>
        </w:rPr>
        <w:t>0%的扣除，用扣除后的价格参加评审。适用招标投标法的政府采购工程建设项目，采用综合评分法但未采用低价优先法计算价格分的，评标时应当在采用原报价进行评分的基础上增加其价格得分的3%作为其价格分。</w:t>
      </w:r>
    </w:p>
    <w:p w14:paraId="3B983086">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sz w:val="24"/>
          <w:szCs w:val="24"/>
          <w:lang w:val="en-US" w:eastAsia="zh-CN"/>
        </w:rPr>
        <w:t>6</w:t>
      </w:r>
      <w:r>
        <w:rPr>
          <w:rFonts w:hint="eastAsia" w:ascii="宋体" w:hAnsi="宋体" w:eastAsia="宋体" w:cs="宋体"/>
          <w:sz w:val="24"/>
          <w:szCs w:val="24"/>
        </w:rPr>
        <w:t>%(工程项目为1%)的扣除，用扣除后的价格参加评审。适用招标投标法的政府采购工程建设项目，采用综合评分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1D755852">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1.2.2</w:t>
      </w:r>
      <w:r>
        <w:rPr>
          <w:rFonts w:hint="eastAsia" w:ascii="宋体" w:hAnsi="宋体" w:eastAsia="宋体" w:cs="宋体"/>
          <w:sz w:val="24"/>
          <w:szCs w:val="24"/>
        </w:rPr>
        <w:t>《财政部 司法部关于政府采购支持监狱企业发展有关问题的通知》（财库〔2014〕68号）</w:t>
      </w:r>
    </w:p>
    <w:p w14:paraId="2BC204CA">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监狱企业参加政府采购活动时，应当提供由省级以上监狱管理局、戒毒管理局（含新疆生产建设兵团）出具的属于监狱企业的证明文件。在政府采购活动中，监狱企业视同小型、微型企业。</w:t>
      </w:r>
    </w:p>
    <w:p w14:paraId="0D75DA2A">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1.2.3</w:t>
      </w:r>
      <w:r>
        <w:rPr>
          <w:rFonts w:hint="eastAsia" w:ascii="宋体" w:hAnsi="宋体" w:eastAsia="宋体" w:cs="宋体"/>
          <w:sz w:val="24"/>
          <w:szCs w:val="24"/>
        </w:rPr>
        <w:t>《三部门联合发布关于促进残疾人就业政府采购政策的通知》（财库〔2017〕141号）；</w:t>
      </w:r>
    </w:p>
    <w:p w14:paraId="4C826131">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符合条件的残疾人福利性单位在参加政府采购活动时，应当提供本通知规定的《残疾人福利性单位声明函》，并对声明的真实性负责。在政府采购活动中，残疾人福利性单位视同小型、微型企业，享受预留份额。  </w:t>
      </w:r>
    </w:p>
    <w:p w14:paraId="500FB01F">
      <w:pPr>
        <w:keepLines w:val="0"/>
        <w:pageBreakBefore w:val="0"/>
        <w:tabs>
          <w:tab w:val="left" w:pos="7665"/>
        </w:tabs>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残疾人福利性单位属于小型、微型企业的，不重复享受政策。</w:t>
      </w:r>
    </w:p>
    <w:p w14:paraId="7149A40F">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落实优先采购节能、环保产品的政策（所投产品满足以下文件要求中任意一条（及以上），其价格给予3%的扣除，用扣除后价格参与评审。</w:t>
      </w:r>
    </w:p>
    <w:p w14:paraId="73432D07">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 根据《财政部 国家发展改革委关于印发〈节能产品政府采购实施意见〉的通知》（财库〔2004〕185号）规定“政府采购属于节能产品品目清单的，在技术、服务等指标同等条件下，应当优先采购节能品目清单的节能产品。”</w:t>
      </w:r>
    </w:p>
    <w:p w14:paraId="2BBDD2BE">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 根据《财政部环保总局关于环境标志产品政府采购实施的意见》（财库〔2006〕90号）规定“采购人采购的产品属于环境标志产品政府采购清单中品目的，在性能、技术、服务等指标同等条件下，应当优先采购清单中的产品”。</w:t>
      </w:r>
    </w:p>
    <w:p w14:paraId="0E427B1D">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3642D876">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2.4根据《财政部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A14E41A">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2.5 所有投标产品进入 “节能产品政府采购品目清单”的，应提供相关证书复印件，相关证书的颁发机构应来自《参与实施政府采购节能产品认证机构名录》。</w:t>
      </w:r>
    </w:p>
    <w:p w14:paraId="0C4658A9">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2.6 所有投标产品进入“环境标志产品政府采购品目清单”的，应提供相关证书复印件，相关证书的颁发机构应来自《参与实施政府采购环境标志产品认证机构名录》。</w:t>
      </w:r>
    </w:p>
    <w:p w14:paraId="70583265">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2.7对于已列入品目清单的产品类别，采购人可在采购需求中提出更高的节约资源和保护环境要求，对符合条件的获证产品给予优先待遇。</w:t>
      </w:r>
    </w:p>
    <w:p w14:paraId="09491949">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2.8投标供应商在</w:t>
      </w:r>
      <w:r>
        <w:rPr>
          <w:rFonts w:hint="eastAsia" w:ascii="宋体" w:hAnsi="宋体" w:eastAsia="宋体" w:cs="宋体"/>
          <w:sz w:val="24"/>
          <w:szCs w:val="24"/>
          <w:lang w:eastAsia="zh-CN"/>
        </w:rPr>
        <w:t>投标文件</w:t>
      </w:r>
      <w:r>
        <w:rPr>
          <w:rFonts w:hint="eastAsia" w:ascii="宋体" w:hAnsi="宋体" w:eastAsia="宋体" w:cs="宋体"/>
          <w:sz w:val="24"/>
          <w:szCs w:val="24"/>
        </w:rPr>
        <w:t>中对所投标产品为节能、环保、环境标志产品清单中的产品，在投标报价时必须对此类产品单独分项报价，计算出小计金额。未提供节能、环保、环境标志产品计分明细表的不给予计分。</w:t>
      </w:r>
    </w:p>
    <w:p w14:paraId="37023017">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2.9若节能、环保、环境标志清单内的产品仅是构成投标产品的部件、组件或零件的，则该投标产品不享受鼓励优惠政策。</w:t>
      </w:r>
    </w:p>
    <w:p w14:paraId="329183D2">
      <w:pPr>
        <w:keepLines w:val="0"/>
        <w:pageBreakBefore w:val="0"/>
        <w:tabs>
          <w:tab w:val="left" w:pos="7665"/>
        </w:tabs>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2.10同一标段的节能、环保、环境标志产品部分计分只对属于清单内的非强制类产品进行计分，强制类产品不给予计分。</w:t>
      </w:r>
    </w:p>
    <w:p w14:paraId="2F79157A">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2.11节能、环保、环境标志产品不重复计分；同时列入国家级清单和省级清单的产品不重复计分。</w:t>
      </w:r>
    </w:p>
    <w:p w14:paraId="5C4E795E">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四</w:t>
      </w:r>
      <w:r>
        <w:rPr>
          <w:rFonts w:hint="eastAsia" w:ascii="宋体" w:hAnsi="宋体" w:eastAsia="宋体" w:cs="宋体"/>
          <w:b/>
          <w:bCs/>
          <w:sz w:val="24"/>
          <w:szCs w:val="24"/>
        </w:rPr>
        <w:t>、磋商</w:t>
      </w:r>
    </w:p>
    <w:p w14:paraId="5E42ADE5">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磋商小组根据各磋商供应商响应文件响应情况决定是否与各供应商进行磋商，磋商方式为磋商小组所有成员集中与单一供应商分别进行磋商，并给与参加磋商的供应商平等的磋商机会。</w:t>
      </w:r>
    </w:p>
    <w:p w14:paraId="682DBB02">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经磋商小组评审，质量和服务均能满足磋商文件实质性响应要求的供应商才具有最后报价的机会。供应商应按磋商小组规定的时间进行最后报价，并由法定代表人或其授权人签字，最后报价现场不公布。该磋商报价为不可更改价格，作为磋商小组推荐成交候选人的依据。</w:t>
      </w:r>
    </w:p>
    <w:p w14:paraId="09FF2599">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w:t>
      </w:r>
    </w:p>
    <w:p w14:paraId="7A46C2D7">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val="0"/>
          <w:sz w:val="24"/>
          <w:szCs w:val="24"/>
        </w:rPr>
      </w:pPr>
      <w:r>
        <w:rPr>
          <w:rFonts w:hint="eastAsia" w:ascii="宋体" w:hAnsi="宋体" w:eastAsia="宋体" w:cs="宋体"/>
          <w:b/>
          <w:bCs w:val="0"/>
          <w:spacing w:val="4"/>
          <w:sz w:val="24"/>
          <w:szCs w:val="24"/>
          <w:lang w:val="en-US" w:eastAsia="zh-CN"/>
        </w:rPr>
        <w:t>五</w:t>
      </w:r>
      <w:r>
        <w:rPr>
          <w:rFonts w:hint="eastAsia" w:ascii="宋体" w:hAnsi="宋体" w:eastAsia="宋体" w:cs="宋体"/>
          <w:b/>
          <w:bCs w:val="0"/>
          <w:spacing w:val="4"/>
          <w:sz w:val="24"/>
          <w:szCs w:val="24"/>
        </w:rPr>
        <w:t>、</w:t>
      </w:r>
      <w:r>
        <w:rPr>
          <w:rFonts w:hint="eastAsia" w:ascii="宋体" w:hAnsi="宋体" w:eastAsia="宋体" w:cs="宋体"/>
          <w:b/>
          <w:bCs w:val="0"/>
          <w:sz w:val="24"/>
          <w:szCs w:val="24"/>
        </w:rPr>
        <w:t>评审方法</w:t>
      </w:r>
    </w:p>
    <w:p w14:paraId="3D336EA0">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磋商小组从质量和服务均能满足磋商文件实质性响应要求的供应商中，按照最后得分由高到低的顺序提出成交候选人。</w:t>
      </w:r>
    </w:p>
    <w:p w14:paraId="1085E37C">
      <w:pPr>
        <w:rPr>
          <w:rFonts w:hint="eastAsia" w:ascii="宋体" w:hAnsi="宋体" w:eastAsia="宋体" w:cs="宋体"/>
          <w:b/>
          <w:snapToGrid w:val="0"/>
          <w:sz w:val="24"/>
          <w:szCs w:val="24"/>
        </w:rPr>
      </w:pPr>
      <w:r>
        <w:rPr>
          <w:rFonts w:hint="eastAsia" w:ascii="宋体" w:hAnsi="宋体" w:eastAsia="宋体" w:cs="宋体"/>
          <w:b/>
          <w:snapToGrid w:val="0"/>
          <w:sz w:val="24"/>
          <w:szCs w:val="24"/>
        </w:rPr>
        <w:br w:type="page"/>
      </w:r>
    </w:p>
    <w:p w14:paraId="6E12EE8B">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sz w:val="24"/>
          <w:szCs w:val="24"/>
        </w:rPr>
      </w:pPr>
      <w:r>
        <w:rPr>
          <w:rFonts w:hint="eastAsia" w:ascii="宋体" w:hAnsi="宋体" w:eastAsia="宋体" w:cs="宋体"/>
          <w:b/>
          <w:snapToGrid w:val="0"/>
          <w:sz w:val="24"/>
          <w:szCs w:val="24"/>
        </w:rPr>
        <w:t>评分内容和评分方式</w:t>
      </w:r>
    </w:p>
    <w:p w14:paraId="3370079D">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yellow"/>
        </w:rPr>
      </w:pPr>
      <w:r>
        <w:rPr>
          <w:rFonts w:hint="eastAsia" w:ascii="宋体" w:hAnsi="宋体" w:eastAsia="宋体" w:cs="宋体"/>
          <w:sz w:val="24"/>
          <w:szCs w:val="24"/>
        </w:rPr>
        <w:t>总分100分，每个供应商每项评分因素得分汇总即为最后得分，各项评分因素具体内容及打分标准如下：</w:t>
      </w:r>
    </w:p>
    <w:bookmarkEnd w:id="174"/>
    <w:bookmarkEnd w:id="175"/>
    <w:tbl>
      <w:tblPr>
        <w:tblStyle w:val="25"/>
        <w:tblW w:w="9714" w:type="dxa"/>
        <w:jc w:val="center"/>
        <w:tblLayout w:type="fixed"/>
        <w:tblCellMar>
          <w:top w:w="0" w:type="dxa"/>
          <w:left w:w="108" w:type="dxa"/>
          <w:bottom w:w="0" w:type="dxa"/>
          <w:right w:w="108" w:type="dxa"/>
        </w:tblCellMar>
      </w:tblPr>
      <w:tblGrid>
        <w:gridCol w:w="2163"/>
        <w:gridCol w:w="1327"/>
        <w:gridCol w:w="6224"/>
      </w:tblGrid>
      <w:tr w14:paraId="13E2CE92">
        <w:tblPrEx>
          <w:tblCellMar>
            <w:top w:w="0" w:type="dxa"/>
            <w:left w:w="108" w:type="dxa"/>
            <w:bottom w:w="0" w:type="dxa"/>
            <w:right w:w="108" w:type="dxa"/>
          </w:tblCellMar>
        </w:tblPrEx>
        <w:trPr>
          <w:trHeight w:val="439"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1E698D6A">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类别</w:t>
            </w:r>
          </w:p>
        </w:tc>
        <w:tc>
          <w:tcPr>
            <w:tcW w:w="1327" w:type="dxa"/>
            <w:tcBorders>
              <w:top w:val="single" w:color="auto" w:sz="4" w:space="0"/>
              <w:left w:val="single" w:color="auto" w:sz="4" w:space="0"/>
              <w:bottom w:val="single" w:color="auto" w:sz="4" w:space="0"/>
              <w:right w:val="single" w:color="auto" w:sz="4" w:space="0"/>
            </w:tcBorders>
            <w:noWrap w:val="0"/>
            <w:vAlign w:val="center"/>
          </w:tcPr>
          <w:p w14:paraId="15A2BDA1">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评审因素及分值</w:t>
            </w:r>
          </w:p>
        </w:tc>
        <w:tc>
          <w:tcPr>
            <w:tcW w:w="6224" w:type="dxa"/>
            <w:tcBorders>
              <w:top w:val="single" w:color="auto" w:sz="4" w:space="0"/>
              <w:left w:val="single" w:color="auto" w:sz="4" w:space="0"/>
              <w:bottom w:val="single" w:color="auto" w:sz="4" w:space="0"/>
              <w:right w:val="single" w:color="auto" w:sz="4" w:space="0"/>
            </w:tcBorders>
            <w:noWrap w:val="0"/>
            <w:vAlign w:val="center"/>
          </w:tcPr>
          <w:p w14:paraId="56DEBE05">
            <w:pPr>
              <w:spacing w:line="240" w:lineRule="auto"/>
              <w:ind w:firstLine="480" w:firstLineChars="2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评分细则</w:t>
            </w:r>
          </w:p>
        </w:tc>
      </w:tr>
      <w:tr w14:paraId="57476231">
        <w:tblPrEx>
          <w:tblCellMar>
            <w:top w:w="0" w:type="dxa"/>
            <w:left w:w="108" w:type="dxa"/>
            <w:bottom w:w="0" w:type="dxa"/>
            <w:right w:w="108" w:type="dxa"/>
          </w:tblCellMar>
        </w:tblPrEx>
        <w:trPr>
          <w:trHeight w:val="1032"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45EDEB93">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磋商报价</w:t>
            </w:r>
          </w:p>
          <w:p w14:paraId="1A4FDB39">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（满分</w:t>
            </w:r>
            <w:r>
              <w:rPr>
                <w:rFonts w:hint="eastAsia" w:ascii="宋体" w:hAnsi="宋体" w:eastAsia="宋体" w:cs="宋体"/>
                <w:color w:val="000000"/>
                <w:sz w:val="24"/>
                <w:szCs w:val="24"/>
                <w:lang w:val="en-US" w:eastAsia="zh-CN"/>
              </w:rPr>
              <w:t>15</w:t>
            </w:r>
            <w:r>
              <w:rPr>
                <w:rFonts w:hint="eastAsia" w:ascii="宋体" w:hAnsi="宋体" w:eastAsia="宋体" w:cs="宋体"/>
                <w:color w:val="000000"/>
                <w:sz w:val="24"/>
                <w:szCs w:val="24"/>
              </w:rPr>
              <w:t>分）</w:t>
            </w:r>
          </w:p>
        </w:tc>
        <w:tc>
          <w:tcPr>
            <w:tcW w:w="1327" w:type="dxa"/>
            <w:tcBorders>
              <w:top w:val="single" w:color="auto" w:sz="4" w:space="0"/>
              <w:left w:val="single" w:color="auto" w:sz="4" w:space="0"/>
              <w:bottom w:val="single" w:color="auto" w:sz="4" w:space="0"/>
              <w:right w:val="single" w:color="auto" w:sz="4" w:space="0"/>
            </w:tcBorders>
            <w:noWrap w:val="0"/>
            <w:vAlign w:val="center"/>
          </w:tcPr>
          <w:p w14:paraId="5405FEF8">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磋商报价</w:t>
            </w:r>
          </w:p>
          <w:p w14:paraId="548E54B5">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（满分</w:t>
            </w:r>
            <w:r>
              <w:rPr>
                <w:rFonts w:hint="eastAsia" w:ascii="宋体" w:hAnsi="宋体" w:eastAsia="宋体" w:cs="宋体"/>
                <w:color w:val="000000"/>
                <w:sz w:val="24"/>
                <w:szCs w:val="24"/>
                <w:lang w:val="en-US" w:eastAsia="zh-CN"/>
              </w:rPr>
              <w:t>15</w:t>
            </w:r>
            <w:r>
              <w:rPr>
                <w:rFonts w:hint="eastAsia" w:ascii="宋体" w:hAnsi="宋体" w:eastAsia="宋体" w:cs="宋体"/>
                <w:color w:val="000000"/>
                <w:sz w:val="24"/>
                <w:szCs w:val="24"/>
              </w:rPr>
              <w:t>分）</w:t>
            </w:r>
          </w:p>
        </w:tc>
        <w:tc>
          <w:tcPr>
            <w:tcW w:w="6224" w:type="dxa"/>
            <w:tcBorders>
              <w:top w:val="single" w:color="auto" w:sz="4" w:space="0"/>
              <w:left w:val="single" w:color="auto" w:sz="4" w:space="0"/>
              <w:bottom w:val="single" w:color="auto" w:sz="4" w:space="0"/>
              <w:right w:val="single" w:color="auto" w:sz="4" w:space="0"/>
            </w:tcBorders>
            <w:noWrap w:val="0"/>
            <w:vAlign w:val="center"/>
          </w:tcPr>
          <w:p w14:paraId="0EDC0BBF">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以满足磋商文件要求的供应商报价的最低价格为评标基准价，其价格分为满分。</w:t>
            </w:r>
          </w:p>
          <w:p w14:paraId="15B18E17">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其他供应商的价格分统一按照下列公式计算：磋商报价得分=（评标基准价/</w:t>
            </w:r>
            <w:r>
              <w:rPr>
                <w:rFonts w:hint="eastAsia" w:ascii="宋体" w:hAnsi="宋体" w:eastAsia="宋体" w:cs="宋体"/>
                <w:color w:val="000000"/>
                <w:sz w:val="24"/>
                <w:szCs w:val="24"/>
                <w:lang w:val="en-US" w:eastAsia="zh-CN"/>
              </w:rPr>
              <w:t>最终</w:t>
            </w:r>
            <w:r>
              <w:rPr>
                <w:rFonts w:hint="eastAsia" w:ascii="宋体" w:hAnsi="宋体" w:eastAsia="宋体" w:cs="宋体"/>
                <w:color w:val="000000"/>
                <w:sz w:val="24"/>
                <w:szCs w:val="24"/>
              </w:rPr>
              <w:t xml:space="preserve">磋商报价）×价格权值 </w:t>
            </w:r>
          </w:p>
        </w:tc>
      </w:tr>
      <w:tr w14:paraId="303BD840">
        <w:tblPrEx>
          <w:tblCellMar>
            <w:top w:w="0" w:type="dxa"/>
            <w:left w:w="108" w:type="dxa"/>
            <w:bottom w:w="0" w:type="dxa"/>
            <w:right w:w="108" w:type="dxa"/>
          </w:tblCellMar>
        </w:tblPrEx>
        <w:trPr>
          <w:trHeight w:val="7031" w:hRule="atLeast"/>
          <w:jc w:val="center"/>
        </w:trPr>
        <w:tc>
          <w:tcPr>
            <w:tcW w:w="2163" w:type="dxa"/>
            <w:vMerge w:val="restart"/>
            <w:tcBorders>
              <w:top w:val="single" w:color="auto" w:sz="4" w:space="0"/>
              <w:left w:val="single" w:color="auto" w:sz="4" w:space="0"/>
              <w:right w:val="single" w:color="auto" w:sz="4" w:space="0"/>
            </w:tcBorders>
            <w:noWrap w:val="0"/>
            <w:vAlign w:val="center"/>
          </w:tcPr>
          <w:p w14:paraId="5D0ADE81">
            <w:pPr>
              <w:spacing w:line="240" w:lineRule="auto"/>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监理方案</w:t>
            </w:r>
          </w:p>
          <w:p w14:paraId="59CDE45B">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（满分</w:t>
            </w:r>
            <w:r>
              <w:rPr>
                <w:rFonts w:hint="eastAsia" w:ascii="宋体" w:hAnsi="宋体" w:cs="宋体"/>
                <w:color w:val="000000"/>
                <w:sz w:val="24"/>
                <w:szCs w:val="24"/>
                <w:lang w:val="en-US" w:eastAsia="zh-CN"/>
              </w:rPr>
              <w:t>62</w:t>
            </w:r>
            <w:r>
              <w:rPr>
                <w:rFonts w:hint="eastAsia" w:ascii="宋体" w:hAnsi="宋体" w:eastAsia="宋体" w:cs="宋体"/>
                <w:color w:val="000000"/>
                <w:sz w:val="24"/>
                <w:szCs w:val="24"/>
              </w:rPr>
              <w:t>分）</w:t>
            </w:r>
          </w:p>
        </w:tc>
        <w:tc>
          <w:tcPr>
            <w:tcW w:w="1327" w:type="dxa"/>
            <w:tcBorders>
              <w:top w:val="single" w:color="auto" w:sz="4" w:space="0"/>
              <w:left w:val="single" w:color="auto" w:sz="4" w:space="0"/>
              <w:bottom w:val="single" w:color="auto" w:sz="4" w:space="0"/>
              <w:right w:val="single" w:color="auto" w:sz="4" w:space="0"/>
            </w:tcBorders>
            <w:noWrap w:val="0"/>
            <w:vAlign w:val="center"/>
          </w:tcPr>
          <w:p w14:paraId="0E2212EF">
            <w:pPr>
              <w:spacing w:line="24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监理服务方案</w:t>
            </w:r>
          </w:p>
          <w:p w14:paraId="16A0D549">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24</w:t>
            </w:r>
            <w:r>
              <w:rPr>
                <w:rFonts w:hint="eastAsia" w:ascii="宋体" w:hAnsi="宋体" w:eastAsia="宋体" w:cs="宋体"/>
                <w:color w:val="000000"/>
                <w:sz w:val="24"/>
                <w:szCs w:val="24"/>
              </w:rPr>
              <w:t>分）</w:t>
            </w:r>
          </w:p>
        </w:tc>
        <w:tc>
          <w:tcPr>
            <w:tcW w:w="6224" w:type="dxa"/>
            <w:tcBorders>
              <w:top w:val="single" w:color="auto" w:sz="4" w:space="0"/>
              <w:left w:val="single" w:color="auto" w:sz="4" w:space="0"/>
              <w:bottom w:val="single" w:color="auto" w:sz="4" w:space="0"/>
              <w:right w:val="single" w:color="auto" w:sz="4" w:space="0"/>
            </w:tcBorders>
            <w:noWrap w:val="0"/>
            <w:vAlign w:val="center"/>
          </w:tcPr>
          <w:p w14:paraId="16BD723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监理服务方案</w:t>
            </w:r>
          </w:p>
          <w:p w14:paraId="5E9D115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 、评审内容</w:t>
            </w:r>
          </w:p>
          <w:p w14:paraId="5CA97EC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针对本项目提出服务方案，内容包括：</w:t>
            </w:r>
          </w:p>
          <w:p w14:paraId="2C49BCF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①监理工作的整体思路</w:t>
            </w:r>
          </w:p>
          <w:p w14:paraId="52B48B7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②监理服务目标及计划安排</w:t>
            </w:r>
          </w:p>
          <w:p w14:paraId="5DA8DFE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③监理服务流程</w:t>
            </w:r>
          </w:p>
          <w:p w14:paraId="774394D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④监理服务质量保障及措施</w:t>
            </w:r>
          </w:p>
          <w:p w14:paraId="3E2BDA5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 、评审标准</w:t>
            </w:r>
          </w:p>
          <w:p w14:paraId="2B1F13E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①完整性：方案须全面，对评审内容中的各项要求有详细描述及说明；</w:t>
            </w:r>
          </w:p>
          <w:p w14:paraId="6B7B726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②可实施性：切合本项目实际情况，实施步骤清晰、合理；</w:t>
            </w:r>
          </w:p>
          <w:p w14:paraId="0878A49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③针对性：方案能够紧扣项目实际情况，内容科学合理，有操作性。</w:t>
            </w:r>
          </w:p>
          <w:p w14:paraId="06AB9FC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 、赋分标准</w:t>
            </w:r>
          </w:p>
          <w:p w14:paraId="2E4F2A2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①监理工作的整体思路：每完全满足一个评审标准得</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lang w:val="en-US" w:eastAsia="zh-CN"/>
              </w:rPr>
              <w:t xml:space="preserve"> 分，满分</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lang w:val="en-US" w:eastAsia="zh-CN"/>
              </w:rPr>
              <w:t>分；</w:t>
            </w:r>
          </w:p>
          <w:p w14:paraId="702FAC0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②监理服务目标及计划安排：每完全满足一个评审标准得 </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lang w:val="en-US" w:eastAsia="zh-CN"/>
              </w:rPr>
              <w:t xml:space="preserve"> 分，满分</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lang w:val="en-US" w:eastAsia="zh-CN"/>
              </w:rPr>
              <w:t>分；</w:t>
            </w:r>
          </w:p>
          <w:p w14:paraId="260D61C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③监理服务流程：每完全满足一个评审标准得</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lang w:val="en-US" w:eastAsia="zh-CN"/>
              </w:rPr>
              <w:t xml:space="preserve">分，满分 </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lang w:val="en-US" w:eastAsia="zh-CN"/>
              </w:rPr>
              <w:t>分；</w:t>
            </w:r>
          </w:p>
          <w:p w14:paraId="4890023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④监理服务质量保障及措施：每完全满足一个评审标准得 </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lang w:val="en-US" w:eastAsia="zh-CN"/>
              </w:rPr>
              <w:t>分，满分</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lang w:val="en-US" w:eastAsia="zh-CN"/>
              </w:rPr>
              <w:t>分。</w:t>
            </w:r>
          </w:p>
        </w:tc>
      </w:tr>
      <w:tr w14:paraId="35C447CE">
        <w:tblPrEx>
          <w:tblCellMar>
            <w:top w:w="0" w:type="dxa"/>
            <w:left w:w="108" w:type="dxa"/>
            <w:bottom w:w="0" w:type="dxa"/>
            <w:right w:w="108" w:type="dxa"/>
          </w:tblCellMar>
        </w:tblPrEx>
        <w:trPr>
          <w:trHeight w:val="597" w:hRule="atLeast"/>
          <w:jc w:val="center"/>
        </w:trPr>
        <w:tc>
          <w:tcPr>
            <w:tcW w:w="2163" w:type="dxa"/>
            <w:vMerge w:val="continue"/>
            <w:tcBorders>
              <w:left w:val="single" w:color="auto" w:sz="4" w:space="0"/>
              <w:right w:val="single" w:color="auto" w:sz="4" w:space="0"/>
            </w:tcBorders>
            <w:noWrap w:val="0"/>
            <w:vAlign w:val="center"/>
          </w:tcPr>
          <w:p w14:paraId="4A0B8993">
            <w:pPr>
              <w:spacing w:line="240" w:lineRule="auto"/>
              <w:jc w:val="center"/>
              <w:rPr>
                <w:rFonts w:hint="eastAsia" w:ascii="宋体" w:hAnsi="宋体" w:eastAsia="宋体" w:cs="宋体"/>
                <w:color w:val="000000"/>
                <w:sz w:val="24"/>
                <w:szCs w:val="24"/>
              </w:rPr>
            </w:pPr>
          </w:p>
        </w:tc>
        <w:tc>
          <w:tcPr>
            <w:tcW w:w="1327" w:type="dxa"/>
            <w:tcBorders>
              <w:top w:val="single" w:color="auto" w:sz="4" w:space="0"/>
              <w:left w:val="single" w:color="auto" w:sz="4" w:space="0"/>
              <w:bottom w:val="single" w:color="auto" w:sz="4" w:space="0"/>
              <w:right w:val="single" w:color="auto" w:sz="4" w:space="0"/>
            </w:tcBorders>
            <w:noWrap w:val="0"/>
            <w:vAlign w:val="center"/>
          </w:tcPr>
          <w:p w14:paraId="72B54FFD">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项目管理方案</w:t>
            </w:r>
          </w:p>
          <w:p w14:paraId="4826FF7A">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18</w:t>
            </w:r>
            <w:r>
              <w:rPr>
                <w:rFonts w:hint="eastAsia" w:ascii="宋体" w:hAnsi="宋体" w:eastAsia="宋体" w:cs="宋体"/>
                <w:color w:val="000000"/>
                <w:sz w:val="24"/>
                <w:szCs w:val="24"/>
              </w:rPr>
              <w:t>分）</w:t>
            </w:r>
          </w:p>
        </w:tc>
        <w:tc>
          <w:tcPr>
            <w:tcW w:w="6224" w:type="dxa"/>
            <w:tcBorders>
              <w:top w:val="single" w:color="auto" w:sz="4" w:space="0"/>
              <w:left w:val="single" w:color="auto" w:sz="4" w:space="0"/>
              <w:bottom w:val="single" w:color="auto" w:sz="4" w:space="0"/>
              <w:right w:val="single" w:color="auto" w:sz="4" w:space="0"/>
            </w:tcBorders>
            <w:noWrap w:val="0"/>
            <w:vAlign w:val="center"/>
          </w:tcPr>
          <w:p w14:paraId="4F2F549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项目管理方案</w:t>
            </w:r>
          </w:p>
          <w:p w14:paraId="385956A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1、评审内容</w:t>
            </w:r>
          </w:p>
          <w:p w14:paraId="44E2D7F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针对本项目制定详细可行的管理方案，内容包括：</w:t>
            </w:r>
          </w:p>
          <w:p w14:paraId="40B4D33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①项目的岗位设置</w:t>
            </w:r>
          </w:p>
          <w:p w14:paraId="071A46E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②员工管理制度</w:t>
            </w:r>
          </w:p>
          <w:p w14:paraId="13E9EE3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③档案管理制度</w:t>
            </w:r>
          </w:p>
          <w:p w14:paraId="43378B3E">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rPr>
            </w:pPr>
            <w:r>
              <w:rPr>
                <w:rFonts w:hint="eastAsia" w:ascii="宋体" w:hAnsi="宋体" w:eastAsia="宋体" w:cs="宋体"/>
                <w:color w:val="000000"/>
                <w:kern w:val="2"/>
                <w:sz w:val="24"/>
                <w:szCs w:val="24"/>
                <w:lang w:val="en-US" w:eastAsia="zh-CN" w:bidi="ar-SA"/>
              </w:rPr>
              <w:t>2、</w:t>
            </w:r>
            <w:r>
              <w:rPr>
                <w:rFonts w:hint="eastAsia" w:ascii="宋体" w:hAnsi="宋体" w:eastAsia="宋体" w:cs="宋体"/>
                <w:color w:val="000000"/>
                <w:sz w:val="24"/>
                <w:szCs w:val="24"/>
              </w:rPr>
              <w:t>评审标准</w:t>
            </w:r>
          </w:p>
          <w:p w14:paraId="1FA4D4CF">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①完整性：方案必须全面，对评审内容中的各项要求有详细描述；</w:t>
            </w:r>
          </w:p>
          <w:p w14:paraId="26554E8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②可实施性：切合本项目实际情况，提出步骤清晰、合理的方案；</w:t>
            </w:r>
          </w:p>
          <w:p w14:paraId="0FC1B0F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③针对性：方案能够紧扣项目实际情况，内容科学合理，有操作性。</w:t>
            </w:r>
          </w:p>
          <w:p w14:paraId="6FA1984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3、赋分标准</w:t>
            </w:r>
          </w:p>
          <w:p w14:paraId="650B787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①项目的岗位设置：每完全满足一个评审标准得</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分，满分</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rPr>
              <w:t>分；</w:t>
            </w:r>
          </w:p>
          <w:p w14:paraId="079A364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②员工管理制度：每完全满足一个评审标准得</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分，满分</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rPr>
              <w:t xml:space="preserve"> 分；</w:t>
            </w:r>
          </w:p>
          <w:p w14:paraId="3209E0E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③档案管理制度：每完全满足一个评审标准得</w:t>
            </w: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分，满分</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rPr>
              <w:t xml:space="preserve"> 分。</w:t>
            </w:r>
          </w:p>
        </w:tc>
      </w:tr>
      <w:tr w14:paraId="2AB40585">
        <w:tblPrEx>
          <w:tblCellMar>
            <w:top w:w="0" w:type="dxa"/>
            <w:left w:w="108" w:type="dxa"/>
            <w:bottom w:w="0" w:type="dxa"/>
            <w:right w:w="108" w:type="dxa"/>
          </w:tblCellMar>
        </w:tblPrEx>
        <w:trPr>
          <w:trHeight w:val="5826" w:hRule="atLeast"/>
          <w:jc w:val="center"/>
        </w:trPr>
        <w:tc>
          <w:tcPr>
            <w:tcW w:w="2163" w:type="dxa"/>
            <w:vMerge w:val="continue"/>
            <w:tcBorders>
              <w:left w:val="single" w:color="auto" w:sz="4" w:space="0"/>
              <w:right w:val="single" w:color="auto" w:sz="4" w:space="0"/>
            </w:tcBorders>
            <w:noWrap w:val="0"/>
            <w:vAlign w:val="center"/>
          </w:tcPr>
          <w:p w14:paraId="40054F7E">
            <w:pPr>
              <w:spacing w:line="240" w:lineRule="auto"/>
              <w:jc w:val="center"/>
              <w:rPr>
                <w:rFonts w:hint="eastAsia" w:ascii="宋体" w:hAnsi="宋体" w:eastAsia="宋体" w:cs="宋体"/>
                <w:color w:val="000000"/>
                <w:sz w:val="24"/>
                <w:szCs w:val="24"/>
              </w:rPr>
            </w:pPr>
          </w:p>
        </w:tc>
        <w:tc>
          <w:tcPr>
            <w:tcW w:w="1327" w:type="dxa"/>
            <w:tcBorders>
              <w:top w:val="single" w:color="auto" w:sz="4" w:space="0"/>
              <w:left w:val="single" w:color="auto" w:sz="4" w:space="0"/>
              <w:bottom w:val="single" w:color="auto" w:sz="4" w:space="0"/>
              <w:right w:val="single" w:color="auto" w:sz="4" w:space="0"/>
            </w:tcBorders>
            <w:noWrap w:val="0"/>
            <w:vAlign w:val="center"/>
          </w:tcPr>
          <w:p w14:paraId="5AF95BBD">
            <w:pPr>
              <w:spacing w:line="24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风险防控方案</w:t>
            </w:r>
          </w:p>
          <w:p w14:paraId="27B73DF7">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cs="宋体"/>
                <w:color w:val="000000"/>
                <w:sz w:val="24"/>
                <w:szCs w:val="24"/>
                <w:lang w:val="en-US" w:eastAsia="zh-CN"/>
              </w:rPr>
              <w:t>12</w:t>
            </w:r>
            <w:r>
              <w:rPr>
                <w:rFonts w:hint="eastAsia" w:ascii="宋体" w:hAnsi="宋体" w:eastAsia="宋体" w:cs="宋体"/>
                <w:color w:val="000000"/>
                <w:sz w:val="24"/>
                <w:szCs w:val="24"/>
              </w:rPr>
              <w:t>分）</w:t>
            </w:r>
          </w:p>
        </w:tc>
        <w:tc>
          <w:tcPr>
            <w:tcW w:w="6224" w:type="dxa"/>
            <w:tcBorders>
              <w:top w:val="single" w:color="auto" w:sz="4" w:space="0"/>
              <w:left w:val="single" w:color="auto" w:sz="4" w:space="0"/>
              <w:bottom w:val="single" w:color="auto" w:sz="4" w:space="0"/>
              <w:right w:val="single" w:color="auto" w:sz="4" w:space="0"/>
            </w:tcBorders>
            <w:noWrap w:val="0"/>
            <w:vAlign w:val="center"/>
          </w:tcPr>
          <w:p w14:paraId="6F09511B">
            <w:pPr>
              <w:numPr>
                <w:ilvl w:val="0"/>
                <w:numId w:val="0"/>
              </w:num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风险防控方案</w:t>
            </w:r>
          </w:p>
          <w:p w14:paraId="16781D96">
            <w:pPr>
              <w:numPr>
                <w:ilvl w:val="0"/>
                <w:numId w:val="0"/>
              </w:num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1、评审内容</w:t>
            </w:r>
          </w:p>
          <w:p w14:paraId="26C4FC4B">
            <w:pPr>
              <w:numPr>
                <w:ilvl w:val="0"/>
                <w:numId w:val="0"/>
              </w:num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针对本项目制定具体风险防控方案， 内容包括：</w:t>
            </w:r>
          </w:p>
          <w:p w14:paraId="78DC9360">
            <w:pPr>
              <w:numPr>
                <w:ilvl w:val="0"/>
                <w:numId w:val="0"/>
              </w:num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①监理过程中出现的各类风险分析</w:t>
            </w:r>
          </w:p>
          <w:p w14:paraId="62DAE005">
            <w:pPr>
              <w:numPr>
                <w:ilvl w:val="0"/>
                <w:numId w:val="0"/>
              </w:num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②监理工作重难点控制措施</w:t>
            </w:r>
          </w:p>
          <w:p w14:paraId="6D546260">
            <w:pPr>
              <w:numPr>
                <w:ilvl w:val="0"/>
                <w:numId w:val="0"/>
              </w:num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③监理工作重难点控制制度</w:t>
            </w:r>
          </w:p>
          <w:p w14:paraId="4A44DA94">
            <w:pPr>
              <w:numPr>
                <w:ilvl w:val="0"/>
                <w:numId w:val="0"/>
              </w:num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2、评审标准</w:t>
            </w:r>
          </w:p>
          <w:p w14:paraId="4AE5C287">
            <w:pPr>
              <w:numPr>
                <w:ilvl w:val="0"/>
                <w:numId w:val="0"/>
              </w:num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①可实施性：切合本项目实际情况，提出步骤清晰、合理的方案；</w:t>
            </w:r>
          </w:p>
          <w:p w14:paraId="7C209112">
            <w:pPr>
              <w:numPr>
                <w:ilvl w:val="0"/>
                <w:numId w:val="0"/>
              </w:num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②针对性：方案能够紧扣项目实际情况，内容科学合理，有操作性。</w:t>
            </w:r>
          </w:p>
          <w:p w14:paraId="1D33AE26">
            <w:pPr>
              <w:numPr>
                <w:ilvl w:val="0"/>
                <w:numId w:val="0"/>
              </w:num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3、赋分标准</w:t>
            </w:r>
          </w:p>
          <w:p w14:paraId="3E27C370">
            <w:pPr>
              <w:numPr>
                <w:ilvl w:val="0"/>
                <w:numId w:val="0"/>
              </w:num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①监理过程中出现的各类风险分析：每完全满足一个评审标准得 2 分，满分 4 分；</w:t>
            </w:r>
          </w:p>
          <w:p w14:paraId="7717D8E8">
            <w:pPr>
              <w:numPr>
                <w:ilvl w:val="0"/>
                <w:numId w:val="0"/>
              </w:num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②监理工作重难点控制措施：每完全满足一个评审标准得 2 分，满分 4 分；</w:t>
            </w:r>
          </w:p>
          <w:p w14:paraId="5C5EAB4C">
            <w:pPr>
              <w:numPr>
                <w:ilvl w:val="0"/>
                <w:numId w:val="0"/>
              </w:numP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③监理工作重难点控制制度：每完全满足一个评审标准得 2 分，满分 4 分。</w:t>
            </w:r>
          </w:p>
        </w:tc>
      </w:tr>
      <w:tr w14:paraId="568F501D">
        <w:tblPrEx>
          <w:tblCellMar>
            <w:top w:w="0" w:type="dxa"/>
            <w:left w:w="108" w:type="dxa"/>
            <w:bottom w:w="0" w:type="dxa"/>
            <w:right w:w="108" w:type="dxa"/>
          </w:tblCellMar>
        </w:tblPrEx>
        <w:trPr>
          <w:trHeight w:val="1194" w:hRule="atLeast"/>
          <w:jc w:val="center"/>
        </w:trPr>
        <w:tc>
          <w:tcPr>
            <w:tcW w:w="2163" w:type="dxa"/>
            <w:vMerge w:val="continue"/>
            <w:tcBorders>
              <w:left w:val="single" w:color="auto" w:sz="4" w:space="0"/>
              <w:right w:val="single" w:color="auto" w:sz="4" w:space="0"/>
            </w:tcBorders>
            <w:noWrap w:val="0"/>
            <w:vAlign w:val="center"/>
          </w:tcPr>
          <w:p w14:paraId="75881B25">
            <w:pPr>
              <w:spacing w:line="240" w:lineRule="auto"/>
              <w:jc w:val="center"/>
              <w:rPr>
                <w:rFonts w:hint="eastAsia" w:ascii="宋体" w:hAnsi="宋体" w:eastAsia="宋体" w:cs="宋体"/>
                <w:color w:val="000000"/>
                <w:sz w:val="24"/>
                <w:szCs w:val="24"/>
              </w:rPr>
            </w:pPr>
          </w:p>
        </w:tc>
        <w:tc>
          <w:tcPr>
            <w:tcW w:w="1327" w:type="dxa"/>
            <w:tcBorders>
              <w:top w:val="single" w:color="auto" w:sz="4" w:space="0"/>
              <w:left w:val="single" w:color="auto" w:sz="4" w:space="0"/>
              <w:bottom w:val="single" w:color="auto" w:sz="4" w:space="0"/>
              <w:right w:val="single" w:color="auto" w:sz="4" w:space="0"/>
            </w:tcBorders>
            <w:noWrap w:val="0"/>
            <w:vAlign w:val="center"/>
          </w:tcPr>
          <w:p w14:paraId="5DCABA72">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监理保密工作方案</w:t>
            </w:r>
          </w:p>
          <w:p w14:paraId="45A75930">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8</w:t>
            </w:r>
            <w:r>
              <w:rPr>
                <w:rFonts w:hint="eastAsia" w:ascii="宋体" w:hAnsi="宋体" w:eastAsia="宋体" w:cs="宋体"/>
                <w:color w:val="000000"/>
                <w:sz w:val="24"/>
                <w:szCs w:val="24"/>
              </w:rPr>
              <w:t>分）</w:t>
            </w:r>
          </w:p>
        </w:tc>
        <w:tc>
          <w:tcPr>
            <w:tcW w:w="6224" w:type="dxa"/>
            <w:tcBorders>
              <w:top w:val="single" w:color="auto" w:sz="4" w:space="0"/>
              <w:left w:val="single" w:color="auto" w:sz="4" w:space="0"/>
              <w:bottom w:val="single" w:color="auto" w:sz="4" w:space="0"/>
              <w:right w:val="single" w:color="auto" w:sz="4" w:space="0"/>
            </w:tcBorders>
            <w:noWrap w:val="0"/>
            <w:vAlign w:val="center"/>
          </w:tcPr>
          <w:p w14:paraId="26A64CE7">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监理保密工作方案</w:t>
            </w:r>
          </w:p>
          <w:p w14:paraId="5ADE8277">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1、评审内容</w:t>
            </w:r>
          </w:p>
          <w:p w14:paraId="4C639FBB">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针对本项目制定具体监理服务保密方案， 内容包括：</w:t>
            </w:r>
          </w:p>
          <w:p w14:paraId="5E5B2D3F">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①保密防范措施</w:t>
            </w:r>
          </w:p>
          <w:p w14:paraId="5CA2BD56">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②出现泄露秘密情况下的追责制度</w:t>
            </w:r>
          </w:p>
          <w:p w14:paraId="334649BC">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2、评审标准：</w:t>
            </w:r>
          </w:p>
          <w:p w14:paraId="470FA50F">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①可实施性：切合本项目实际情况，提出步骤清晰、合理的审核保密工作方案；</w:t>
            </w:r>
          </w:p>
          <w:p w14:paraId="4BD762E7">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②针对性：方案能够紧扣项目实际情况，内容科学合理，有操作性。</w:t>
            </w:r>
          </w:p>
          <w:p w14:paraId="40F1BD8F">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3、赋分标准</w:t>
            </w:r>
          </w:p>
          <w:p w14:paraId="443FA142">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①保密防范措施：每完全满足一个评审标准得</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分，满分</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p w14:paraId="4FBD65DE">
            <w:pPr>
              <w:spacing w:line="24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②出现泄露秘密情况下的追责制度：每完全满足一个评审标准得</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分，满分</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tc>
      </w:tr>
      <w:tr w14:paraId="5FA4272D">
        <w:tblPrEx>
          <w:tblCellMar>
            <w:top w:w="0" w:type="dxa"/>
            <w:left w:w="108" w:type="dxa"/>
            <w:bottom w:w="0" w:type="dxa"/>
            <w:right w:w="108" w:type="dxa"/>
          </w:tblCellMar>
        </w:tblPrEx>
        <w:trPr>
          <w:trHeight w:val="781" w:hRule="atLeast"/>
          <w:jc w:val="center"/>
        </w:trPr>
        <w:tc>
          <w:tcPr>
            <w:tcW w:w="2163" w:type="dxa"/>
            <w:vMerge w:val="restart"/>
            <w:tcBorders>
              <w:top w:val="single" w:color="auto" w:sz="4" w:space="0"/>
              <w:left w:val="single" w:color="auto" w:sz="4" w:space="0"/>
              <w:right w:val="single" w:color="auto" w:sz="4" w:space="0"/>
            </w:tcBorders>
            <w:noWrap w:val="0"/>
            <w:vAlign w:val="center"/>
          </w:tcPr>
          <w:p w14:paraId="7F73321A">
            <w:pPr>
              <w:spacing w:line="24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人员配备情况</w:t>
            </w:r>
            <w:r>
              <w:rPr>
                <w:rFonts w:hint="eastAsia" w:ascii="宋体" w:hAnsi="宋体" w:cs="宋体"/>
                <w:color w:val="000000"/>
                <w:sz w:val="24"/>
                <w:szCs w:val="24"/>
                <w:lang w:val="en-US" w:eastAsia="zh-CN"/>
              </w:rPr>
              <w:br w:type="textWrapping"/>
            </w:r>
            <w:r>
              <w:rPr>
                <w:rFonts w:hint="eastAsia" w:ascii="宋体" w:hAnsi="宋体" w:cs="宋体"/>
                <w:color w:val="000000"/>
                <w:sz w:val="24"/>
                <w:szCs w:val="24"/>
                <w:lang w:val="en-US" w:eastAsia="zh-CN"/>
              </w:rPr>
              <w:t>（满分17分）</w:t>
            </w:r>
          </w:p>
        </w:tc>
        <w:tc>
          <w:tcPr>
            <w:tcW w:w="1327" w:type="dxa"/>
            <w:tcBorders>
              <w:top w:val="single" w:color="auto" w:sz="4" w:space="0"/>
              <w:left w:val="single" w:color="auto" w:sz="4" w:space="0"/>
              <w:bottom w:val="single" w:color="auto" w:sz="4" w:space="0"/>
              <w:right w:val="single" w:color="auto" w:sz="4" w:space="0"/>
            </w:tcBorders>
            <w:noWrap w:val="0"/>
            <w:vAlign w:val="center"/>
          </w:tcPr>
          <w:p w14:paraId="0204E877">
            <w:pPr>
              <w:spacing w:line="24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年龄</w:t>
            </w:r>
          </w:p>
          <w:p w14:paraId="61B1297F">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 分）</w:t>
            </w:r>
          </w:p>
        </w:tc>
        <w:tc>
          <w:tcPr>
            <w:tcW w:w="6224" w:type="dxa"/>
            <w:tcBorders>
              <w:top w:val="single" w:color="auto" w:sz="4" w:space="0"/>
              <w:left w:val="single" w:color="auto" w:sz="4" w:space="0"/>
              <w:bottom w:val="single" w:color="auto" w:sz="4" w:space="0"/>
              <w:right w:val="single" w:color="auto" w:sz="4" w:space="0"/>
            </w:tcBorders>
            <w:noWrap w:val="0"/>
            <w:vAlign w:val="center"/>
          </w:tcPr>
          <w:p w14:paraId="1C32DEEB">
            <w:pP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年龄在 30 周岁（含）至 55 周岁（含）之间得 2 分，否则本分项不得分；</w:t>
            </w:r>
          </w:p>
        </w:tc>
      </w:tr>
      <w:tr w14:paraId="0F7A2607">
        <w:tblPrEx>
          <w:tblCellMar>
            <w:top w:w="0" w:type="dxa"/>
            <w:left w:w="108" w:type="dxa"/>
            <w:bottom w:w="0" w:type="dxa"/>
            <w:right w:w="108" w:type="dxa"/>
          </w:tblCellMar>
        </w:tblPrEx>
        <w:trPr>
          <w:trHeight w:val="781" w:hRule="atLeast"/>
          <w:jc w:val="center"/>
        </w:trPr>
        <w:tc>
          <w:tcPr>
            <w:tcW w:w="2163" w:type="dxa"/>
            <w:vMerge w:val="continue"/>
            <w:tcBorders>
              <w:left w:val="single" w:color="auto" w:sz="4" w:space="0"/>
              <w:right w:val="single" w:color="auto" w:sz="4" w:space="0"/>
            </w:tcBorders>
            <w:noWrap w:val="0"/>
            <w:vAlign w:val="center"/>
          </w:tcPr>
          <w:p w14:paraId="47C34F77">
            <w:pPr>
              <w:spacing w:line="240" w:lineRule="auto"/>
              <w:jc w:val="center"/>
              <w:rPr>
                <w:rFonts w:hint="eastAsia" w:ascii="宋体" w:hAnsi="宋体" w:eastAsia="宋体" w:cs="宋体"/>
                <w:color w:val="000000"/>
                <w:sz w:val="24"/>
                <w:szCs w:val="24"/>
              </w:rPr>
            </w:pPr>
          </w:p>
        </w:tc>
        <w:tc>
          <w:tcPr>
            <w:tcW w:w="1327" w:type="dxa"/>
            <w:tcBorders>
              <w:top w:val="single" w:color="auto" w:sz="4" w:space="0"/>
              <w:left w:val="single" w:color="auto" w:sz="4" w:space="0"/>
              <w:bottom w:val="single" w:color="auto" w:sz="4" w:space="0"/>
              <w:right w:val="single" w:color="auto" w:sz="4" w:space="0"/>
            </w:tcBorders>
            <w:noWrap w:val="0"/>
            <w:vAlign w:val="center"/>
          </w:tcPr>
          <w:p w14:paraId="5673D19B">
            <w:pPr>
              <w:spacing w:line="24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学历</w:t>
            </w:r>
          </w:p>
          <w:p w14:paraId="582E0B29">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 分）</w:t>
            </w:r>
          </w:p>
        </w:tc>
        <w:tc>
          <w:tcPr>
            <w:tcW w:w="6224" w:type="dxa"/>
            <w:tcBorders>
              <w:top w:val="single" w:color="auto" w:sz="4" w:space="0"/>
              <w:left w:val="single" w:color="auto" w:sz="4" w:space="0"/>
              <w:bottom w:val="single" w:color="auto" w:sz="4" w:space="0"/>
              <w:right w:val="single" w:color="auto" w:sz="4" w:space="0"/>
            </w:tcBorders>
            <w:noWrap w:val="0"/>
            <w:vAlign w:val="center"/>
          </w:tcPr>
          <w:p w14:paraId="2856F0C8">
            <w:pP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学历为大学本科（含） 以上，得 2 分；大学专科，得 1 分，其他不得分；</w:t>
            </w:r>
          </w:p>
        </w:tc>
      </w:tr>
      <w:tr w14:paraId="71208142">
        <w:tblPrEx>
          <w:tblCellMar>
            <w:top w:w="0" w:type="dxa"/>
            <w:left w:w="108" w:type="dxa"/>
            <w:bottom w:w="0" w:type="dxa"/>
            <w:right w:w="108" w:type="dxa"/>
          </w:tblCellMar>
        </w:tblPrEx>
        <w:trPr>
          <w:trHeight w:val="781" w:hRule="atLeast"/>
          <w:jc w:val="center"/>
        </w:trPr>
        <w:tc>
          <w:tcPr>
            <w:tcW w:w="2163" w:type="dxa"/>
            <w:vMerge w:val="continue"/>
            <w:tcBorders>
              <w:left w:val="single" w:color="auto" w:sz="4" w:space="0"/>
              <w:right w:val="single" w:color="auto" w:sz="4" w:space="0"/>
            </w:tcBorders>
            <w:noWrap w:val="0"/>
            <w:vAlign w:val="center"/>
          </w:tcPr>
          <w:p w14:paraId="601EE4E4">
            <w:pPr>
              <w:spacing w:line="240" w:lineRule="auto"/>
              <w:jc w:val="center"/>
              <w:rPr>
                <w:rFonts w:hint="eastAsia" w:ascii="宋体" w:hAnsi="宋体" w:eastAsia="宋体" w:cs="宋体"/>
                <w:color w:val="000000"/>
                <w:sz w:val="24"/>
                <w:szCs w:val="24"/>
              </w:rPr>
            </w:pPr>
          </w:p>
        </w:tc>
        <w:tc>
          <w:tcPr>
            <w:tcW w:w="1327" w:type="dxa"/>
            <w:tcBorders>
              <w:top w:val="single" w:color="auto" w:sz="4" w:space="0"/>
              <w:left w:val="single" w:color="auto" w:sz="4" w:space="0"/>
              <w:bottom w:val="single" w:color="auto" w:sz="4" w:space="0"/>
              <w:right w:val="single" w:color="auto" w:sz="4" w:space="0"/>
            </w:tcBorders>
            <w:noWrap w:val="0"/>
            <w:vAlign w:val="center"/>
          </w:tcPr>
          <w:p w14:paraId="5B508CA1">
            <w:pPr>
              <w:spacing w:line="24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职称</w:t>
            </w:r>
          </w:p>
          <w:p w14:paraId="36A5875B">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 分）</w:t>
            </w:r>
          </w:p>
        </w:tc>
        <w:tc>
          <w:tcPr>
            <w:tcW w:w="6224" w:type="dxa"/>
            <w:tcBorders>
              <w:top w:val="single" w:color="auto" w:sz="4" w:space="0"/>
              <w:left w:val="single" w:color="auto" w:sz="4" w:space="0"/>
              <w:bottom w:val="single" w:color="auto" w:sz="4" w:space="0"/>
              <w:right w:val="single" w:color="auto" w:sz="4" w:space="0"/>
            </w:tcBorders>
            <w:noWrap w:val="0"/>
            <w:vAlign w:val="center"/>
          </w:tcPr>
          <w:p w14:paraId="101CFBB1">
            <w:pP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高级职称得 2 分，中级职称得 1 分，其他不得分。</w:t>
            </w:r>
          </w:p>
        </w:tc>
      </w:tr>
      <w:tr w14:paraId="1FF7408E">
        <w:tblPrEx>
          <w:tblCellMar>
            <w:top w:w="0" w:type="dxa"/>
            <w:left w:w="108" w:type="dxa"/>
            <w:bottom w:w="0" w:type="dxa"/>
            <w:right w:w="108" w:type="dxa"/>
          </w:tblCellMar>
        </w:tblPrEx>
        <w:trPr>
          <w:trHeight w:val="781" w:hRule="atLeast"/>
          <w:jc w:val="center"/>
        </w:trPr>
        <w:tc>
          <w:tcPr>
            <w:tcW w:w="2163" w:type="dxa"/>
            <w:vMerge w:val="continue"/>
            <w:tcBorders>
              <w:left w:val="single" w:color="auto" w:sz="4" w:space="0"/>
              <w:right w:val="single" w:color="auto" w:sz="4" w:space="0"/>
            </w:tcBorders>
            <w:noWrap w:val="0"/>
            <w:vAlign w:val="center"/>
          </w:tcPr>
          <w:p w14:paraId="404E20C1">
            <w:pPr>
              <w:spacing w:line="240" w:lineRule="auto"/>
              <w:jc w:val="center"/>
              <w:rPr>
                <w:rFonts w:hint="eastAsia" w:ascii="宋体" w:hAnsi="宋体" w:eastAsia="宋体" w:cs="宋体"/>
                <w:color w:val="000000"/>
                <w:sz w:val="24"/>
                <w:szCs w:val="24"/>
              </w:rPr>
            </w:pPr>
          </w:p>
        </w:tc>
        <w:tc>
          <w:tcPr>
            <w:tcW w:w="1327" w:type="dxa"/>
            <w:tcBorders>
              <w:top w:val="single" w:color="auto" w:sz="4" w:space="0"/>
              <w:left w:val="single" w:color="auto" w:sz="4" w:space="0"/>
              <w:bottom w:val="single" w:color="auto" w:sz="4" w:space="0"/>
              <w:right w:val="single" w:color="auto" w:sz="4" w:space="0"/>
            </w:tcBorders>
            <w:noWrap w:val="0"/>
            <w:vAlign w:val="center"/>
          </w:tcPr>
          <w:p w14:paraId="733C4F47">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总监类似业绩（5分）</w:t>
            </w:r>
          </w:p>
        </w:tc>
        <w:tc>
          <w:tcPr>
            <w:tcW w:w="6224" w:type="dxa"/>
            <w:tcBorders>
              <w:top w:val="single" w:color="auto" w:sz="4" w:space="0"/>
              <w:left w:val="single" w:color="auto" w:sz="4" w:space="0"/>
              <w:bottom w:val="single" w:color="auto" w:sz="4" w:space="0"/>
              <w:right w:val="single" w:color="auto" w:sz="4" w:space="0"/>
            </w:tcBorders>
            <w:noWrap w:val="0"/>
            <w:vAlign w:val="center"/>
          </w:tcPr>
          <w:p w14:paraId="1EF5CD53">
            <w:pP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拟派本项目负责人（项目总监理工程师）每具备近年(2023 年</w:t>
            </w:r>
            <w:r>
              <w:rPr>
                <w:rFonts w:hint="eastAsia" w:ascii="宋体" w:hAnsi="宋体" w:cs="宋体"/>
                <w:color w:val="000000"/>
                <w:sz w:val="24"/>
                <w:szCs w:val="24"/>
                <w:lang w:val="en-US" w:eastAsia="zh-CN"/>
              </w:rPr>
              <w:t>9</w:t>
            </w:r>
            <w:r>
              <w:rPr>
                <w:rFonts w:hint="eastAsia" w:ascii="宋体" w:hAnsi="宋体" w:eastAsia="宋体" w:cs="宋体"/>
                <w:color w:val="000000"/>
                <w:sz w:val="24"/>
                <w:szCs w:val="24"/>
                <w:lang w:val="en-US" w:eastAsia="zh-CN"/>
              </w:rPr>
              <w:t>月1日至今）1个有效类似业绩得</w:t>
            </w:r>
            <w:r>
              <w:rPr>
                <w:rFonts w:hint="eastAsia" w:ascii="宋体" w:hAnsi="宋体" w:cs="宋体"/>
                <w:color w:val="000000"/>
                <w:sz w:val="24"/>
                <w:szCs w:val="24"/>
                <w:lang w:val="en-US" w:eastAsia="zh-CN"/>
              </w:rPr>
              <w:t>5</w:t>
            </w:r>
            <w:r>
              <w:rPr>
                <w:rFonts w:hint="eastAsia" w:ascii="宋体" w:hAnsi="宋体" w:eastAsia="宋体" w:cs="宋体"/>
                <w:color w:val="000000"/>
                <w:sz w:val="24"/>
                <w:szCs w:val="24"/>
                <w:lang w:val="en-US" w:eastAsia="zh-CN"/>
              </w:rPr>
              <w:t>分，最高得</w:t>
            </w:r>
            <w:r>
              <w:rPr>
                <w:rFonts w:hint="eastAsia" w:ascii="宋体" w:hAnsi="宋体" w:cs="宋体"/>
                <w:color w:val="000000"/>
                <w:sz w:val="24"/>
                <w:szCs w:val="24"/>
                <w:lang w:val="en-US" w:eastAsia="zh-CN"/>
              </w:rPr>
              <w:t>5</w:t>
            </w:r>
            <w:r>
              <w:rPr>
                <w:rFonts w:hint="eastAsia" w:ascii="宋体" w:hAnsi="宋体" w:eastAsia="宋体" w:cs="宋体"/>
                <w:color w:val="000000"/>
                <w:sz w:val="24"/>
                <w:szCs w:val="24"/>
                <w:lang w:val="en-US" w:eastAsia="zh-CN"/>
              </w:rPr>
              <w:t>分。业绩证明（加盖公章的监理合同复印件为准，企业与总监理工程师业绩可重复计分）。</w:t>
            </w:r>
          </w:p>
        </w:tc>
      </w:tr>
      <w:tr w14:paraId="00D19A1D">
        <w:tblPrEx>
          <w:tblCellMar>
            <w:top w:w="0" w:type="dxa"/>
            <w:left w:w="108" w:type="dxa"/>
            <w:bottom w:w="0" w:type="dxa"/>
            <w:right w:w="108" w:type="dxa"/>
          </w:tblCellMar>
        </w:tblPrEx>
        <w:trPr>
          <w:trHeight w:val="781" w:hRule="atLeast"/>
          <w:jc w:val="center"/>
        </w:trPr>
        <w:tc>
          <w:tcPr>
            <w:tcW w:w="2163" w:type="dxa"/>
            <w:vMerge w:val="continue"/>
            <w:tcBorders>
              <w:left w:val="single" w:color="auto" w:sz="4" w:space="0"/>
              <w:right w:val="single" w:color="auto" w:sz="4" w:space="0"/>
            </w:tcBorders>
            <w:noWrap w:val="0"/>
            <w:vAlign w:val="center"/>
          </w:tcPr>
          <w:p w14:paraId="36445C3C">
            <w:pPr>
              <w:spacing w:line="240" w:lineRule="auto"/>
              <w:jc w:val="center"/>
              <w:rPr>
                <w:rFonts w:hint="eastAsia" w:ascii="宋体" w:hAnsi="宋体" w:eastAsia="宋体" w:cs="宋体"/>
                <w:color w:val="000000"/>
                <w:sz w:val="24"/>
                <w:szCs w:val="24"/>
              </w:rPr>
            </w:pPr>
          </w:p>
        </w:tc>
        <w:tc>
          <w:tcPr>
            <w:tcW w:w="1327" w:type="dxa"/>
            <w:tcBorders>
              <w:top w:val="single" w:color="auto" w:sz="4" w:space="0"/>
              <w:left w:val="single" w:color="auto" w:sz="4" w:space="0"/>
              <w:bottom w:val="single" w:color="auto" w:sz="4" w:space="0"/>
              <w:right w:val="single" w:color="auto" w:sz="4" w:space="0"/>
            </w:tcBorders>
            <w:noWrap w:val="0"/>
            <w:vAlign w:val="center"/>
          </w:tcPr>
          <w:p w14:paraId="774EABC8">
            <w:pPr>
              <w:spacing w:line="24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人员配备情况</w:t>
            </w:r>
          </w:p>
          <w:p w14:paraId="5E524997">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（6分）</w:t>
            </w:r>
          </w:p>
        </w:tc>
        <w:tc>
          <w:tcPr>
            <w:tcW w:w="6224" w:type="dxa"/>
            <w:tcBorders>
              <w:top w:val="single" w:color="auto" w:sz="4" w:space="0"/>
              <w:left w:val="single" w:color="auto" w:sz="4" w:space="0"/>
              <w:bottom w:val="single" w:color="auto" w:sz="4" w:space="0"/>
              <w:right w:val="single" w:color="auto" w:sz="4" w:space="0"/>
            </w:tcBorders>
            <w:noWrap w:val="0"/>
            <w:vAlign w:val="center"/>
          </w:tcPr>
          <w:p w14:paraId="3B844777">
            <w:pP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人员配备情况（除项目负责人外）需配备专业监理工程师 1 名并提供专业监理工程师证书，监理员不少于 2 名并提供相关执业证书。每提供 1 人得 2 分，满分 6 分。</w:t>
            </w:r>
          </w:p>
        </w:tc>
      </w:tr>
      <w:tr w14:paraId="2EFC6777">
        <w:tblPrEx>
          <w:tblCellMar>
            <w:top w:w="0" w:type="dxa"/>
            <w:left w:w="108" w:type="dxa"/>
            <w:bottom w:w="0" w:type="dxa"/>
            <w:right w:w="108" w:type="dxa"/>
          </w:tblCellMar>
        </w:tblPrEx>
        <w:trPr>
          <w:trHeight w:val="781"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17DCDADB">
            <w:pPr>
              <w:spacing w:line="24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业绩</w:t>
            </w:r>
          </w:p>
          <w:p w14:paraId="329D08CC">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（满分</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rPr>
              <w:t>分）</w:t>
            </w:r>
          </w:p>
        </w:tc>
        <w:tc>
          <w:tcPr>
            <w:tcW w:w="1327" w:type="dxa"/>
            <w:tcBorders>
              <w:top w:val="single" w:color="auto" w:sz="4" w:space="0"/>
              <w:left w:val="single" w:color="auto" w:sz="4" w:space="0"/>
              <w:bottom w:val="single" w:color="auto" w:sz="4" w:space="0"/>
              <w:right w:val="single" w:color="auto" w:sz="4" w:space="0"/>
            </w:tcBorders>
            <w:noWrap w:val="0"/>
            <w:vAlign w:val="center"/>
          </w:tcPr>
          <w:p w14:paraId="438AD8A1">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业绩</w:t>
            </w:r>
          </w:p>
          <w:p w14:paraId="0C9C8FC4">
            <w:pPr>
              <w:spacing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rPr>
              <w:t>分）</w:t>
            </w:r>
          </w:p>
        </w:tc>
        <w:tc>
          <w:tcPr>
            <w:tcW w:w="6224" w:type="dxa"/>
            <w:tcBorders>
              <w:top w:val="single" w:color="auto" w:sz="4" w:space="0"/>
              <w:left w:val="single" w:color="auto" w:sz="4" w:space="0"/>
              <w:bottom w:val="single" w:color="auto" w:sz="4" w:space="0"/>
              <w:right w:val="single" w:color="auto" w:sz="4" w:space="0"/>
            </w:tcBorders>
            <w:noWrap w:val="0"/>
            <w:vAlign w:val="center"/>
          </w:tcPr>
          <w:p w14:paraId="4306C411">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提供202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年</w:t>
            </w:r>
            <w:r>
              <w:rPr>
                <w:rFonts w:hint="eastAsia" w:ascii="宋体" w:hAnsi="宋体" w:cs="宋体"/>
                <w:color w:val="000000"/>
                <w:sz w:val="24"/>
                <w:szCs w:val="24"/>
                <w:lang w:val="en-US" w:eastAsia="zh-CN"/>
              </w:rPr>
              <w:t>9</w:t>
            </w:r>
            <w:r>
              <w:rPr>
                <w:rFonts w:hint="eastAsia" w:ascii="宋体" w:hAnsi="宋体" w:eastAsia="宋体" w:cs="宋体"/>
                <w:color w:val="000000"/>
                <w:sz w:val="24"/>
                <w:szCs w:val="24"/>
              </w:rPr>
              <w:t>月1日起至今类似业绩，以合同为准，每提供1个得</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分，最高得</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rPr>
              <w:t>分。</w:t>
            </w:r>
          </w:p>
        </w:tc>
      </w:tr>
    </w:tbl>
    <w:p w14:paraId="7F3CCAC3">
      <w:pPr>
        <w:pStyle w:val="10"/>
        <w:pageBreakBefore w:val="0"/>
        <w:kinsoku/>
        <w:wordWrap/>
        <w:overflowPunct/>
        <w:topLinePunct w:val="0"/>
        <w:autoSpaceDE/>
        <w:autoSpaceDN/>
        <w:bidi w:val="0"/>
        <w:adjustRightInd/>
        <w:snapToGrid/>
        <w:spacing w:line="360" w:lineRule="auto"/>
        <w:ind w:left="1084" w:leftChars="258" w:hanging="542" w:hangingChars="225"/>
        <w:jc w:val="left"/>
        <w:textAlignment w:val="auto"/>
        <w:rPr>
          <w:rFonts w:hint="eastAsia" w:ascii="宋体" w:hAnsi="宋体" w:eastAsia="宋体" w:cs="宋体"/>
          <w:b/>
          <w:sz w:val="24"/>
          <w:szCs w:val="24"/>
        </w:rPr>
      </w:pPr>
      <w:r>
        <w:rPr>
          <w:rFonts w:hint="eastAsia" w:ascii="宋体" w:hAnsi="宋体" w:eastAsia="宋体" w:cs="宋体"/>
          <w:b/>
          <w:sz w:val="24"/>
          <w:szCs w:val="24"/>
        </w:rPr>
        <w:t>备注：</w:t>
      </w:r>
    </w:p>
    <w:p w14:paraId="4A4094D1">
      <w:pPr>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1) 若出现综合得分并列时，按磋商报价由低到高顺序排列；若报价得分仍相同，比较评审因素的量化指标评审得分，此分项得分高者排序在前；若评审因素的量化指标得分仍相同，则由磋商小组无记名投票，得票高者排序在前。</w:t>
      </w:r>
    </w:p>
    <w:p w14:paraId="0ACD47A4">
      <w:pPr>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sz w:val="24"/>
          <w:szCs w:val="24"/>
        </w:rPr>
      </w:pPr>
      <w:r>
        <w:rPr>
          <w:rFonts w:hint="eastAsia" w:ascii="宋体" w:hAnsi="宋体" w:eastAsia="宋体" w:cs="宋体"/>
          <w:sz w:val="24"/>
          <w:szCs w:val="24"/>
        </w:rPr>
        <w:t>2) 磋商响应文件中缺少某分项时，该分项为0分。</w:t>
      </w:r>
    </w:p>
    <w:p w14:paraId="6725D6CD">
      <w:pPr>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sz w:val="24"/>
          <w:szCs w:val="24"/>
        </w:rPr>
      </w:pPr>
      <w:r>
        <w:rPr>
          <w:rFonts w:hint="eastAsia" w:ascii="宋体" w:hAnsi="宋体" w:eastAsia="宋体" w:cs="宋体"/>
          <w:sz w:val="24"/>
          <w:szCs w:val="24"/>
        </w:rPr>
        <w:t>3) 评委打分超过得分界限或未按本方法赋分时，该评委的打分按废票处理。</w:t>
      </w:r>
    </w:p>
    <w:p w14:paraId="7364F55D">
      <w:pPr>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4) 各种计算采用插入法，数字均保留两位小数，第三位“四舍五入”。</w:t>
      </w:r>
    </w:p>
    <w:p w14:paraId="0C511DCD">
      <w:pPr>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5）最低报价不是中标的唯一条件。</w:t>
      </w:r>
    </w:p>
    <w:p w14:paraId="27F6746F">
      <w:pPr>
        <w:pageBreakBefore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 xml:space="preserve">6）评标过程中，若出现特殊情况时，由磋商小组决定暂停评标，并提出具体处理意见。 </w:t>
      </w:r>
    </w:p>
    <w:p w14:paraId="24B332A6">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360" w:lineRule="auto"/>
        <w:ind w:left="0" w:right="0" w:firstLine="498" w:firstLineChars="200"/>
        <w:jc w:val="both"/>
        <w:textAlignment w:val="auto"/>
        <w:rPr>
          <w:rFonts w:hint="eastAsia" w:ascii="宋体" w:hAnsi="宋体" w:eastAsia="宋体" w:cs="宋体"/>
          <w:b/>
          <w:bCs w:val="0"/>
          <w:spacing w:val="4"/>
          <w:sz w:val="24"/>
          <w:szCs w:val="24"/>
          <w:highlight w:val="none"/>
          <w:lang w:val="en-US"/>
        </w:rPr>
      </w:pPr>
      <w:r>
        <w:rPr>
          <w:rFonts w:hint="eastAsia" w:ascii="宋体" w:hAnsi="宋体" w:eastAsia="宋体" w:cs="宋体"/>
          <w:b/>
          <w:bCs w:val="0"/>
          <w:spacing w:val="4"/>
          <w:kern w:val="2"/>
          <w:sz w:val="24"/>
          <w:szCs w:val="24"/>
          <w:highlight w:val="none"/>
          <w:lang w:val="en-US" w:eastAsia="zh-CN" w:bidi="ar"/>
        </w:rPr>
        <w:t>六、定标：</w:t>
      </w:r>
    </w:p>
    <w:p w14:paraId="1F0A4EAE">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360" w:lineRule="auto"/>
        <w:ind w:left="0" w:right="0" w:firstLine="496" w:firstLineChars="200"/>
        <w:jc w:val="both"/>
        <w:textAlignment w:val="auto"/>
        <w:rPr>
          <w:rFonts w:hint="eastAsia" w:ascii="宋体" w:hAnsi="宋体" w:eastAsia="宋体" w:cs="宋体"/>
          <w:spacing w:val="4"/>
          <w:kern w:val="2"/>
          <w:sz w:val="24"/>
          <w:szCs w:val="24"/>
          <w:highlight w:val="none"/>
          <w:lang w:val="en-US" w:eastAsia="zh-CN" w:bidi="ar"/>
        </w:rPr>
      </w:pPr>
      <w:r>
        <w:rPr>
          <w:rFonts w:hint="eastAsia" w:ascii="宋体" w:hAnsi="宋体" w:eastAsia="宋体" w:cs="宋体"/>
          <w:spacing w:val="4"/>
          <w:kern w:val="2"/>
          <w:sz w:val="24"/>
          <w:szCs w:val="24"/>
          <w:highlight w:val="none"/>
          <w:lang w:val="en-US" w:eastAsia="zh-CN" w:bidi="ar"/>
        </w:rPr>
        <w:t>1、评标结果由全体</w:t>
      </w:r>
      <w:r>
        <w:rPr>
          <w:rFonts w:hint="eastAsia" w:ascii="宋体" w:hAnsi="宋体" w:eastAsia="宋体" w:cs="宋体"/>
          <w:kern w:val="2"/>
          <w:sz w:val="24"/>
          <w:szCs w:val="24"/>
          <w:highlight w:val="none"/>
          <w:lang w:val="en-US" w:eastAsia="zh-CN" w:bidi="ar"/>
        </w:rPr>
        <w:t>磋商小组成员</w:t>
      </w:r>
      <w:r>
        <w:rPr>
          <w:rFonts w:hint="eastAsia" w:ascii="宋体" w:hAnsi="宋体" w:eastAsia="宋体" w:cs="宋体"/>
          <w:spacing w:val="4"/>
          <w:kern w:val="2"/>
          <w:sz w:val="24"/>
          <w:szCs w:val="24"/>
          <w:highlight w:val="none"/>
          <w:lang w:val="en-US" w:eastAsia="zh-CN" w:bidi="ar"/>
        </w:rPr>
        <w:t>签字确认。</w:t>
      </w:r>
    </w:p>
    <w:p w14:paraId="6FEE8186">
      <w:pPr>
        <w:spacing w:line="360" w:lineRule="auto"/>
        <w:ind w:left="744" w:leftChars="236" w:hanging="248" w:hangingChars="100"/>
        <w:rPr>
          <w:rFonts w:hint="eastAsia" w:ascii="宋体" w:hAnsi="宋体" w:eastAsia="宋体" w:cs="宋体"/>
          <w:spacing w:val="4"/>
          <w:sz w:val="24"/>
          <w:szCs w:val="24"/>
        </w:rPr>
      </w:pPr>
      <w:r>
        <w:rPr>
          <w:rFonts w:hint="eastAsia" w:ascii="宋体" w:hAnsi="宋体" w:eastAsia="宋体" w:cs="宋体"/>
          <w:spacing w:val="4"/>
          <w:kern w:val="2"/>
          <w:sz w:val="24"/>
          <w:szCs w:val="24"/>
          <w:highlight w:val="none"/>
          <w:lang w:val="en-US" w:eastAsia="zh-CN" w:bidi="ar"/>
        </w:rPr>
        <w:t>2、采购人根据评标报告中推荐的成交候选人排列顺序确定成交人，以复函通知采购代理机构。</w:t>
      </w:r>
    </w:p>
    <w:p w14:paraId="23EFFA90">
      <w:pPr>
        <w:spacing w:line="360" w:lineRule="auto"/>
        <w:ind w:firstLine="434" w:firstLineChars="200"/>
        <w:rPr>
          <w:rFonts w:hint="eastAsia" w:ascii="宋体" w:hAnsi="宋体" w:eastAsia="宋体" w:cs="宋体"/>
          <w:b/>
          <w:spacing w:val="-12"/>
          <w:sz w:val="24"/>
          <w:szCs w:val="24"/>
        </w:rPr>
      </w:pPr>
    </w:p>
    <w:bookmarkEnd w:id="176"/>
    <w:p w14:paraId="174E6E4F">
      <w:pPr>
        <w:pStyle w:val="2"/>
        <w:spacing w:line="360" w:lineRule="auto"/>
        <w:jc w:val="center"/>
        <w:rPr>
          <w:rFonts w:hint="eastAsia" w:ascii="宋体" w:hAnsi="宋体" w:eastAsia="宋体" w:cs="宋体"/>
          <w:b/>
          <w:sz w:val="36"/>
          <w:szCs w:val="36"/>
        </w:rPr>
      </w:pPr>
      <w:bookmarkStart w:id="231" w:name="_Toc557"/>
      <w:bookmarkStart w:id="232" w:name="_Toc2619"/>
      <w:r>
        <w:rPr>
          <w:rFonts w:hint="eastAsia" w:ascii="宋体" w:hAnsi="宋体" w:eastAsia="宋体" w:cs="宋体"/>
          <w:bCs/>
          <w:szCs w:val="44"/>
        </w:rPr>
        <w:br w:type="page"/>
      </w:r>
      <w:bookmarkStart w:id="233" w:name="_Toc29003"/>
      <w:bookmarkStart w:id="234" w:name="_Toc14711"/>
      <w:r>
        <w:rPr>
          <w:rFonts w:hint="eastAsia" w:ascii="宋体" w:hAnsi="宋体" w:eastAsia="宋体" w:cs="宋体"/>
          <w:b/>
          <w:sz w:val="36"/>
          <w:szCs w:val="36"/>
        </w:rPr>
        <w:t>第四章 合同条款及格式</w:t>
      </w:r>
      <w:bookmarkEnd w:id="233"/>
    </w:p>
    <w:bookmarkEnd w:id="231"/>
    <w:bookmarkEnd w:id="232"/>
    <w:bookmarkEnd w:id="234"/>
    <w:p w14:paraId="15588467">
      <w:pPr>
        <w:tabs>
          <w:tab w:val="left" w:pos="5317"/>
        </w:tabs>
        <w:bidi w:val="0"/>
        <w:jc w:val="left"/>
        <w:rPr>
          <w:rFonts w:hint="eastAsia"/>
          <w:lang w:val="en-US" w:eastAsia="zh-CN"/>
        </w:rPr>
        <w:sectPr>
          <w:pgSz w:w="11906" w:h="16838"/>
          <w:pgMar w:top="1440" w:right="1531" w:bottom="1440" w:left="1531" w:header="720" w:footer="720" w:gutter="0"/>
          <w:pgNumType w:fmt="decimal"/>
          <w:cols w:space="720" w:num="1"/>
          <w:docGrid w:type="lines" w:linePitch="312" w:charSpace="0"/>
        </w:sectPr>
      </w:pPr>
      <w:bookmarkStart w:id="235" w:name="_Toc29168"/>
      <w:bookmarkStart w:id="236" w:name="_Toc24096"/>
      <w:bookmarkStart w:id="237" w:name="_Toc21951"/>
      <w:bookmarkStart w:id="238" w:name="_Toc6072"/>
      <w:bookmarkStart w:id="239" w:name="_Toc504605199"/>
      <w:bookmarkStart w:id="240" w:name="_Toc510859905"/>
      <w:bookmarkStart w:id="241" w:name="_Toc474770760"/>
    </w:p>
    <w:p w14:paraId="5EF1D562">
      <w:pPr>
        <w:pStyle w:val="3"/>
        <w:bidi w:val="0"/>
        <w:spacing w:line="360" w:lineRule="auto"/>
        <w:jc w:val="center"/>
        <w:rPr>
          <w:rFonts w:hint="eastAsia"/>
          <w:lang w:val="en-US" w:eastAsia="zh-CN"/>
        </w:rPr>
      </w:pPr>
      <w:bookmarkStart w:id="242" w:name="_Toc16059"/>
      <w:bookmarkStart w:id="243" w:name="_Toc3979"/>
      <w:r>
        <w:rPr>
          <w:rFonts w:hint="eastAsia"/>
        </w:rPr>
        <w:t>合同</w:t>
      </w:r>
      <w:r>
        <w:rPr>
          <w:rFonts w:hint="eastAsia"/>
          <w:lang w:val="en-US" w:eastAsia="zh-CN"/>
        </w:rPr>
        <w:t>主要条款</w:t>
      </w:r>
      <w:bookmarkEnd w:id="235"/>
      <w:bookmarkEnd w:id="236"/>
      <w:bookmarkEnd w:id="237"/>
      <w:bookmarkEnd w:id="242"/>
      <w:bookmarkEnd w:id="243"/>
    </w:p>
    <w:p w14:paraId="073ECE78">
      <w:pPr>
        <w:bidi w:val="0"/>
        <w:spacing w:line="360" w:lineRule="auto"/>
        <w:jc w:val="center"/>
        <w:rPr>
          <w:rFonts w:hint="eastAsia"/>
          <w:b/>
          <w:bCs/>
          <w:sz w:val="24"/>
          <w:szCs w:val="22"/>
          <w:lang w:val="en-US" w:eastAsia="zh-CN"/>
        </w:rPr>
      </w:pPr>
      <w:r>
        <w:rPr>
          <w:rFonts w:hint="eastAsia"/>
          <w:b/>
          <w:bCs/>
          <w:sz w:val="24"/>
          <w:szCs w:val="22"/>
          <w:lang w:val="en-US" w:eastAsia="zh-CN"/>
        </w:rPr>
        <w:t>（参考格式）</w:t>
      </w:r>
    </w:p>
    <w:p w14:paraId="4795537E">
      <w:pPr>
        <w:pStyle w:val="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吴堡县沿黄土石山区植物园建设（三期）项目</w:t>
      </w:r>
      <w:r>
        <w:rPr>
          <w:rFonts w:hint="eastAsia" w:asciiTheme="minorEastAsia" w:hAnsiTheme="minorEastAsia" w:eastAsiaTheme="minorEastAsia" w:cstheme="minorEastAsia"/>
          <w:sz w:val="24"/>
          <w:szCs w:val="24"/>
        </w:rPr>
        <w:t>监理服务合同
</w:t>
      </w:r>
    </w:p>
    <w:p w14:paraId="56BEA828">
      <w:pPr>
        <w:bidi w:val="0"/>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rPr>
        <mc:AlternateContent>
          <mc:Choice Requires="wps">
            <w:drawing>
              <wp:anchor distT="0" distB="0" distL="114300" distR="114300" simplePos="0" relativeHeight="251659264" behindDoc="0" locked="0" layoutInCell="1" allowOverlap="1">
                <wp:simplePos x="0" y="0"/>
                <wp:positionH relativeFrom="column">
                  <wp:posOffset>1546860</wp:posOffset>
                </wp:positionH>
                <wp:positionV relativeFrom="paragraph">
                  <wp:posOffset>248920</wp:posOffset>
                </wp:positionV>
                <wp:extent cx="3638550" cy="0"/>
                <wp:effectExtent l="0" t="5080" r="0" b="4445"/>
                <wp:wrapNone/>
                <wp:docPr id="20" name="直接连接符 20"/>
                <wp:cNvGraphicFramePr/>
                <a:graphic xmlns:a="http://schemas.openxmlformats.org/drawingml/2006/main">
                  <a:graphicData uri="http://schemas.microsoft.com/office/word/2010/wordprocessingShape">
                    <wps:wsp>
                      <wps:cNvCnPr/>
                      <wps:spPr>
                        <a:xfrm>
                          <a:off x="2461260" y="2163445"/>
                          <a:ext cx="3638550" cy="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21.8pt;margin-top:19.6pt;height:0pt;width:286.5pt;z-index:251659264;mso-width-relative:page;mso-height-relative:page;" filled="f" stroked="t" coordsize="21600,21600" o:gfxdata="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VZNvHdUAAAAJAQAADwAAAAAAAAABACAAAAAiAAAAZHJzL2Rvd25yZXYueG1sUEsBAhQAFAAAAAgA&#10;h07iQHmFxmPvAQAAvwMAAA4AAAAAAAAAAQAgAAAAJAEAAGRycy9lMm9Eb2MueG1sUEsFBgAAAAAG&#10;AAYAWQEAAIUFAAAAAA==&#10;">
                <v:fill on="f" focussize="0,0"/>
                <v:stroke weight="0.25pt" color="#000000 [3213]" miterlimit="8" joinstyle="miter"/>
                <v:imagedata o:title=""/>
                <o:lock v:ext="edit" aspectratio="f"/>
              </v:line>
            </w:pict>
          </mc:Fallback>
        </mc:AlternateContent>
      </w:r>
      <w:r>
        <w:rPr>
          <w:rFonts w:hint="eastAsia" w:asciiTheme="minorEastAsia" w:hAnsiTheme="minorEastAsia" w:eastAsiaTheme="minorEastAsia" w:cstheme="minorEastAsia"/>
          <w:sz w:val="24"/>
          <w:szCs w:val="24"/>
        </w:rPr>
        <w:t>甲方（采购人）</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u w:val="single"/>
          <w:lang w:val="en-US" w:eastAsia="zh-CN"/>
        </w:rPr>
        <w:t xml:space="preserve"> </w:t>
      </w:r>
    </w:p>
    <w:p w14:paraId="71E23DAE">
      <w:pPr>
        <w:pStyle w:val="7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mc:AlternateContent>
          <mc:Choice Requires="wps">
            <w:drawing>
              <wp:anchor distT="0" distB="0" distL="114300" distR="114300" simplePos="0" relativeHeight="251660288" behindDoc="0" locked="0" layoutInCell="1" allowOverlap="1">
                <wp:simplePos x="0" y="0"/>
                <wp:positionH relativeFrom="column">
                  <wp:posOffset>1556385</wp:posOffset>
                </wp:positionH>
                <wp:positionV relativeFrom="paragraph">
                  <wp:posOffset>299720</wp:posOffset>
                </wp:positionV>
                <wp:extent cx="3638550" cy="0"/>
                <wp:effectExtent l="0" t="5080" r="0" b="4445"/>
                <wp:wrapNone/>
                <wp:docPr id="3" name="直接连接符 3"/>
                <wp:cNvGraphicFramePr/>
                <a:graphic xmlns:a="http://schemas.openxmlformats.org/drawingml/2006/main">
                  <a:graphicData uri="http://schemas.microsoft.com/office/word/2010/wordprocessingShape">
                    <wps:wsp>
                      <wps:cNvCnPr/>
                      <wps:spPr>
                        <a:xfrm>
                          <a:off x="0" y="0"/>
                          <a:ext cx="3638550" cy="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22.55pt;margin-top:23.6pt;height:0pt;width:286.5pt;z-index:251660288;mso-width-relative:page;mso-height-relative:page;" filled="f" stroked="t" coordsize="21600,21600" o:gfxdata="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chMRg1QAAAAkBAAAP&#10;AAAAAAAAAAEAIAAAACIAAABkcnMvZG93bnJldi54bWxQSwECFAAUAAAACACHTuJADbVW6+IBAACx&#10;AwAADgAAAAAAAAABACAAAAAkAQAAZHJzL2Uyb0RvYy54bWxQSwUGAAAAAAYABgBZAQAAeAUAAAAA&#10;">
                <v:fill on="f" focussize="0,0"/>
                <v:stroke weight="0.25pt" color="#000000 [3213]" miterlimit="8" joinstyle="miter"/>
                <v:imagedata o:title=""/>
                <o:lock v:ext="edit" aspectratio="f"/>
              </v:line>
            </w:pict>
          </mc:Fallback>
        </mc:AlternateContent>
      </w:r>
      <w:r>
        <w:rPr>
          <w:rFonts w:hint="eastAsia" w:asciiTheme="minorEastAsia" w:hAnsiTheme="minorEastAsia" w:eastAsiaTheme="minorEastAsia" w:cstheme="minorEastAsia"/>
          <w:sz w:val="24"/>
          <w:szCs w:val="24"/>
        </w:rPr>
        <w:t>乙方（供应商）：</w:t>
      </w:r>
    </w:p>
    <w:p w14:paraId="1CC5AEE8">
      <w:pPr>
        <w:pStyle w:val="79"/>
        <w:keepNext w:val="0"/>
        <w:keepLines w:val="0"/>
        <w:pageBreakBefore w:val="0"/>
        <w:widowControl/>
        <w:kinsoku/>
        <w:wordWrap/>
        <w:overflowPunct/>
        <w:topLinePunct w:val="0"/>
        <w:autoSpaceDE/>
        <w:autoSpaceDN/>
        <w:bidi w:val="0"/>
        <w:adjustRightInd/>
        <w:snapToGrid/>
        <w:spacing w:before="0" w:after="0" w:line="500" w:lineRule="exact"/>
        <w:ind w:lef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鉴于甲方委托乙方承担</w:t>
      </w:r>
      <w:r>
        <w:rPr>
          <w:rFonts w:hint="eastAsia" w:asciiTheme="minorEastAsia" w:hAnsiTheme="minorEastAsia" w:eastAsiaTheme="minorEastAsia" w:cstheme="minorEastAsia"/>
          <w:sz w:val="24"/>
          <w:szCs w:val="24"/>
          <w:lang w:val="en-US" w:eastAsia="zh-CN"/>
        </w:rPr>
        <w:t>吴堡县沿黄土石山区植物园建设（三期）项目</w:t>
      </w:r>
      <w:r>
        <w:rPr>
          <w:rFonts w:hint="eastAsia" w:asciiTheme="minorEastAsia" w:hAnsiTheme="minorEastAsia" w:eastAsiaTheme="minorEastAsia" w:cstheme="minorEastAsia"/>
          <w:sz w:val="24"/>
          <w:szCs w:val="24"/>
        </w:rPr>
        <w:t>的监理服务，为明确双方权利义务，根据《中华人民共和国民法典》及相关法律法规，结合本项目实际情况，经双方协商一致，订立本合同。
</w:t>
      </w:r>
    </w:p>
    <w:p w14:paraId="3FB10395">
      <w:pPr>
        <w:pStyle w:val="3"/>
        <w:keepNext w:val="0"/>
        <w:keepLines w:val="0"/>
        <w:pageBreakBefore w:val="0"/>
        <w:widowControl/>
        <w:kinsoku/>
        <w:wordWrap/>
        <w:overflowPunct/>
        <w:topLinePunct w:val="0"/>
        <w:autoSpaceDE/>
        <w:autoSpaceDN/>
        <w:bidi w:val="0"/>
        <w:adjustRightInd/>
        <w:snapToGrid/>
        <w:spacing w:before="0" w:after="0" w:line="500" w:lineRule="exact"/>
        <w:ind w:left="0"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一、项目概况
</w:t>
      </w:r>
    </w:p>
    <w:p w14:paraId="7DB059F5">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吴堡县沿黄土石山区植物园建设（三期）项目</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本次项目区建设范围为一二期新建道路两侧及场地绿化、三期植物园绿化设计。其中一二期新建道路及场地绿化面积23亩，植物园三期总规划面积为1779.46亩，小班面积为1173.99亩，建设内容主要有绿化工程、林业基础配套设施建设工程。</w:t>
      </w:r>
    </w:p>
    <w:p w14:paraId="313759B9">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乙方负责</w:t>
      </w:r>
      <w:r>
        <w:rPr>
          <w:rFonts w:hint="eastAsia" w:asciiTheme="minorEastAsia" w:hAnsiTheme="minorEastAsia" w:eastAsiaTheme="minorEastAsia" w:cstheme="minorEastAsia"/>
          <w:sz w:val="24"/>
          <w:szCs w:val="24"/>
          <w:lang w:val="en-US" w:eastAsia="zh-CN"/>
        </w:rPr>
        <w:t>吴堡县沿黄土石山区植物园建设（三期）项目</w:t>
      </w:r>
      <w:r>
        <w:rPr>
          <w:rFonts w:hint="eastAsia" w:asciiTheme="minorEastAsia" w:hAnsiTheme="minorEastAsia" w:eastAsiaTheme="minorEastAsia" w:cstheme="minorEastAsia"/>
          <w:sz w:val="24"/>
          <w:szCs w:val="24"/>
        </w:rPr>
        <w:t>的监理服务。
</w:t>
      </w:r>
    </w:p>
    <w:p w14:paraId="6D1B46FF">
      <w:pPr>
        <w:pStyle w:val="3"/>
        <w:keepNext w:val="0"/>
        <w:keepLines w:val="0"/>
        <w:pageBreakBefore w:val="0"/>
        <w:widowControl/>
        <w:kinsoku/>
        <w:wordWrap/>
        <w:overflowPunct/>
        <w:topLinePunct w:val="0"/>
        <w:autoSpaceDE/>
        <w:autoSpaceDN/>
        <w:bidi w:val="0"/>
        <w:adjustRightInd/>
        <w:snapToGrid/>
        <w:spacing w:before="0" w:after="0" w:line="500" w:lineRule="exact"/>
        <w:ind w:left="0"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二、监理服务范围及内容
</w:t>
      </w:r>
    </w:p>
    <w:p w14:paraId="5A5325DE">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val="en-US" w:eastAsia="zh-CN"/>
        </w:rPr>
        <w:t>1.</w:t>
      </w:r>
      <w:r>
        <w:rPr>
          <w:rFonts w:hint="eastAsia" w:asciiTheme="minorEastAsia" w:hAnsiTheme="minorEastAsia" w:eastAsiaTheme="minorEastAsia" w:cstheme="minorEastAsia"/>
          <w:b/>
          <w:bCs/>
          <w:sz w:val="24"/>
          <w:szCs w:val="24"/>
        </w:rPr>
        <w:t>服务范围</w:t>
      </w:r>
      <w:r>
        <w:rPr>
          <w:rFonts w:hint="eastAsia" w:asciiTheme="minorEastAsia" w:hAnsiTheme="minorEastAsia" w:eastAsiaTheme="minorEastAsia" w:cstheme="minorEastAsia"/>
          <w:sz w:val="24"/>
          <w:szCs w:val="24"/>
        </w:rPr>
        <w:t>：涵盖乙方负责项目的施工准备阶段、施工阶段、竣工验收阶段、缺陷责任期阶段的全过程监理服务。
</w:t>
      </w:r>
    </w:p>
    <w:p w14:paraId="50FB1FFC">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服务内容</w:t>
      </w:r>
      <w:r>
        <w:rPr>
          <w:rFonts w:hint="eastAsia" w:asciiTheme="minorEastAsia" w:hAnsiTheme="minorEastAsia" w:eastAsiaTheme="minorEastAsia" w:cstheme="minorEastAsia"/>
          <w:sz w:val="24"/>
          <w:szCs w:val="24"/>
        </w:rPr>
        <w:t>：
</w:t>
      </w:r>
    </w:p>
    <w:p w14:paraId="678EF65E">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施工准备阶段</w:t>
      </w:r>
      <w:r>
        <w:rPr>
          <w:rFonts w:hint="eastAsia" w:asciiTheme="minorEastAsia" w:hAnsiTheme="minorEastAsia" w:eastAsiaTheme="minorEastAsia" w:cstheme="minorEastAsia"/>
          <w:sz w:val="24"/>
          <w:szCs w:val="24"/>
        </w:rPr>
        <w:t>：审核图纸与施工方案，参与合同签订，核查施工单位资质及现场准备情况</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w:t>
      </w:r>
    </w:p>
    <w:p w14:paraId="21E8645E">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施工阶段</w:t>
      </w:r>
      <w:r>
        <w:rPr>
          <w:rFonts w:hint="eastAsia" w:asciiTheme="minorEastAsia" w:hAnsiTheme="minorEastAsia" w:eastAsiaTheme="minorEastAsia" w:cstheme="minorEastAsia"/>
          <w:sz w:val="24"/>
          <w:szCs w:val="24"/>
        </w:rPr>
        <w:t>：把控质量、进度、投资和安全，管理合同与信息，协调各方关系</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w:t>
      </w:r>
    </w:p>
    <w:p w14:paraId="5C3648FA">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竣工验收阶段</w:t>
      </w:r>
      <w:r>
        <w:rPr>
          <w:rFonts w:hint="eastAsia" w:asciiTheme="minorEastAsia" w:hAnsiTheme="minorEastAsia" w:eastAsiaTheme="minorEastAsia" w:cstheme="minorEastAsia"/>
          <w:sz w:val="24"/>
          <w:szCs w:val="24"/>
        </w:rPr>
        <w:t>：组织预验收，协助竣工验收，审核竣工资料，处理质量缺陷</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w:t>
      </w:r>
    </w:p>
    <w:p w14:paraId="2AD7C486">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缺陷责任期阶段</w:t>
      </w:r>
      <w:r>
        <w:rPr>
          <w:rFonts w:hint="eastAsia" w:asciiTheme="minorEastAsia" w:hAnsiTheme="minorEastAsia" w:eastAsiaTheme="minorEastAsia" w:cstheme="minorEastAsia"/>
          <w:sz w:val="24"/>
          <w:szCs w:val="24"/>
        </w:rPr>
        <w:t>：回访工程，监督质量缺陷修复并验收。
</w:t>
      </w:r>
    </w:p>
    <w:p w14:paraId="07AB9C5C">
      <w:pPr>
        <w:pStyle w:val="3"/>
        <w:keepNext w:val="0"/>
        <w:keepLines w:val="0"/>
        <w:pageBreakBefore w:val="0"/>
        <w:widowControl/>
        <w:kinsoku/>
        <w:wordWrap/>
        <w:overflowPunct/>
        <w:topLinePunct w:val="0"/>
        <w:autoSpaceDE/>
        <w:autoSpaceDN/>
        <w:bidi w:val="0"/>
        <w:adjustRightInd/>
        <w:snapToGrid/>
        <w:spacing w:before="0" w:after="0" w:line="500" w:lineRule="exact"/>
        <w:ind w:left="0"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三、技术标准与规范
</w:t>
      </w:r>
    </w:p>
    <w:p w14:paraId="3AE92493">
      <w:pPr>
        <w:pStyle w:val="79"/>
        <w:keepNext w:val="0"/>
        <w:keepLines w:val="0"/>
        <w:pageBreakBefore w:val="0"/>
        <w:widowControl/>
        <w:kinsoku/>
        <w:wordWrap/>
        <w:overflowPunct/>
        <w:topLinePunct w:val="0"/>
        <w:autoSpaceDE/>
        <w:autoSpaceDN/>
        <w:bidi w:val="0"/>
        <w:adjustRightInd/>
        <w:snapToGrid/>
        <w:spacing w:before="0" w:after="0" w:line="500" w:lineRule="exact"/>
        <w:ind w:lef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工程建设应严格遵循国家、地方及行业现行的相关技术标准、规范和规程，包括但不限于《建设工程监理规范》（GB/T 50319 - 2013）、《市政工程施工质量验收规范》、《水利水电工程施工质量检验与评定规程》、《林业生态工程建设技术规程》、《园林绿化工程施工及验收规范》等。
</w:t>
      </w:r>
    </w:p>
    <w:p w14:paraId="71439EA1">
      <w:pPr>
        <w:pStyle w:val="3"/>
        <w:keepNext w:val="0"/>
        <w:keepLines w:val="0"/>
        <w:pageBreakBefore w:val="0"/>
        <w:widowControl/>
        <w:kinsoku/>
        <w:wordWrap/>
        <w:overflowPunct/>
        <w:topLinePunct w:val="0"/>
        <w:autoSpaceDE/>
        <w:autoSpaceDN/>
        <w:bidi w:val="0"/>
        <w:adjustRightInd/>
        <w:snapToGrid/>
        <w:spacing w:before="0" w:after="0" w:line="500" w:lineRule="exact"/>
        <w:ind w:left="0"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四、合同工期
</w:t>
      </w:r>
    </w:p>
    <w:p w14:paraId="3E8D9B76">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乙方监理服务周期与所负责项目的工程施工周期同步，自本合同签订之日起至缺陷责任期结束止。
</w:t>
      </w:r>
    </w:p>
    <w:p w14:paraId="5BE9D0E5">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若因非乙方原因导致工程工期延长，监理服务周期相应顺延，甲方不再另行支付费用；若因乙方原因导致工程工期延误，乙方应承担相应的违约责任。
</w:t>
      </w:r>
    </w:p>
    <w:p w14:paraId="7C64077F">
      <w:pPr>
        <w:pStyle w:val="3"/>
        <w:keepNext w:val="0"/>
        <w:keepLines w:val="0"/>
        <w:pageBreakBefore w:val="0"/>
        <w:widowControl/>
        <w:kinsoku/>
        <w:wordWrap/>
        <w:overflowPunct/>
        <w:topLinePunct w:val="0"/>
        <w:autoSpaceDE/>
        <w:autoSpaceDN/>
        <w:bidi w:val="0"/>
        <w:adjustRightInd/>
        <w:snapToGrid/>
        <w:spacing w:before="0" w:after="0" w:line="500" w:lineRule="exact"/>
        <w:ind w:left="0"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五、合同价款及支付方式
</w:t>
      </w:r>
    </w:p>
    <w:p w14:paraId="3F5D7571">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本项目监理服务合同价款为人民币</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元（大写：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w:t>
      </w:r>
    </w:p>
    <w:p w14:paraId="5ED1EB7B">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支付方式：
</w:t>
      </w:r>
    </w:p>
    <w:p w14:paraId="371AC1D3">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合同签订后，甲方向乙方支付合同价款的</w:t>
      </w:r>
      <w:r>
        <w:rPr>
          <w:rFonts w:hint="eastAsia" w:asciiTheme="minorEastAsia" w:hAnsiTheme="minorEastAsia" w:eastAsiaTheme="minorEastAsia" w:cstheme="minorEastAsia"/>
          <w:sz w:val="24"/>
          <w:szCs w:val="24"/>
          <w:lang w:val="en-US" w:eastAsia="zh-CN"/>
        </w:rPr>
        <w:t>30</w:t>
      </w:r>
      <w:r>
        <w:rPr>
          <w:rFonts w:hint="eastAsia" w:asciiTheme="minorEastAsia" w:hAnsiTheme="minorEastAsia" w:eastAsiaTheme="minorEastAsia" w:cstheme="minorEastAsia"/>
          <w:sz w:val="24"/>
          <w:szCs w:val="24"/>
        </w:rPr>
        <w:t>%作为预付款；工程</w:t>
      </w:r>
      <w:r>
        <w:rPr>
          <w:rFonts w:hint="eastAsia" w:asciiTheme="minorEastAsia" w:hAnsiTheme="minorEastAsia" w:eastAsiaTheme="minorEastAsia" w:cstheme="minorEastAsia"/>
          <w:sz w:val="24"/>
          <w:szCs w:val="24"/>
          <w:lang w:val="en-US" w:eastAsia="zh-CN"/>
        </w:rPr>
        <w:t>主要建设内容完成后</w:t>
      </w:r>
      <w:r>
        <w:rPr>
          <w:rFonts w:hint="eastAsia" w:asciiTheme="minorEastAsia" w:hAnsiTheme="minorEastAsia" w:eastAsiaTheme="minorEastAsia" w:cstheme="minorEastAsia"/>
          <w:sz w:val="24"/>
          <w:szCs w:val="24"/>
        </w:rPr>
        <w:t>，支付至合同价款的</w:t>
      </w:r>
      <w:r>
        <w:rPr>
          <w:rFonts w:hint="eastAsia" w:asciiTheme="minorEastAsia" w:hAnsiTheme="minorEastAsia" w:eastAsiaTheme="minorEastAsia" w:cstheme="minorEastAsia"/>
          <w:sz w:val="24"/>
          <w:szCs w:val="24"/>
          <w:lang w:val="en-US" w:eastAsia="zh-CN"/>
        </w:rPr>
        <w:t>50</w:t>
      </w:r>
      <w:r>
        <w:rPr>
          <w:rFonts w:hint="eastAsia" w:asciiTheme="minorEastAsia" w:hAnsiTheme="minorEastAsia" w:eastAsiaTheme="minorEastAsia" w:cstheme="minorEastAsia"/>
          <w:sz w:val="24"/>
          <w:szCs w:val="24"/>
        </w:rPr>
        <w:t>%；工程竣工验收合格后，支付至合同价款的</w:t>
      </w:r>
      <w:r>
        <w:rPr>
          <w:rFonts w:hint="eastAsia" w:asciiTheme="minorEastAsia" w:hAnsiTheme="minorEastAsia" w:eastAsiaTheme="minorEastAsia" w:cstheme="minorEastAsia"/>
          <w:sz w:val="24"/>
          <w:szCs w:val="24"/>
          <w:lang w:val="en-US" w:eastAsia="zh-CN"/>
        </w:rPr>
        <w:t>97</w:t>
      </w:r>
      <w:r>
        <w:rPr>
          <w:rFonts w:hint="eastAsia" w:asciiTheme="minorEastAsia" w:hAnsiTheme="minorEastAsia" w:eastAsiaTheme="minorEastAsia" w:cstheme="minorEastAsia"/>
          <w:sz w:val="24"/>
          <w:szCs w:val="24"/>
        </w:rPr>
        <w:t>%；缺陷责任期届满且无质量问题后，付清剩余款项。
</w:t>
      </w:r>
    </w:p>
    <w:p w14:paraId="4194CDEC">
      <w:pPr>
        <w:pStyle w:val="3"/>
        <w:keepNext w:val="0"/>
        <w:keepLines w:val="0"/>
        <w:pageBreakBefore w:val="0"/>
        <w:widowControl/>
        <w:kinsoku/>
        <w:wordWrap/>
        <w:overflowPunct/>
        <w:topLinePunct w:val="0"/>
        <w:autoSpaceDE/>
        <w:autoSpaceDN/>
        <w:bidi w:val="0"/>
        <w:adjustRightInd/>
        <w:snapToGrid/>
        <w:spacing w:before="0" w:after="0" w:line="500" w:lineRule="exact"/>
        <w:ind w:left="0"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六、双方权利与义务
</w:t>
      </w:r>
    </w:p>
    <w:p w14:paraId="0B101BAA">
      <w:pPr>
        <w:pStyle w:val="4"/>
        <w:keepNext w:val="0"/>
        <w:keepLines w:val="0"/>
        <w:pageBreakBefore w:val="0"/>
        <w:widowControl/>
        <w:kinsoku/>
        <w:wordWrap/>
        <w:overflowPunct/>
        <w:topLinePunct w:val="0"/>
        <w:autoSpaceDE/>
        <w:autoSpaceDN/>
        <w:bidi w:val="0"/>
        <w:adjustRightInd/>
        <w:snapToGrid/>
        <w:spacing w:before="0" w:after="0" w:line="500" w:lineRule="exact"/>
        <w:ind w:left="0"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（一）甲方权利与义务
</w:t>
      </w:r>
    </w:p>
    <w:p w14:paraId="35FA3203">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val="en-US" w:eastAsia="zh-CN"/>
        </w:rPr>
        <w:t>1.</w:t>
      </w:r>
      <w:r>
        <w:rPr>
          <w:rFonts w:hint="eastAsia" w:asciiTheme="minorEastAsia" w:hAnsiTheme="minorEastAsia" w:eastAsiaTheme="minorEastAsia" w:cstheme="minorEastAsia"/>
          <w:b/>
          <w:bCs/>
          <w:sz w:val="24"/>
          <w:szCs w:val="24"/>
        </w:rPr>
        <w:t>权利</w:t>
      </w:r>
      <w:r>
        <w:rPr>
          <w:rFonts w:hint="eastAsia" w:asciiTheme="minorEastAsia" w:hAnsiTheme="minorEastAsia" w:eastAsiaTheme="minorEastAsia" w:cstheme="minorEastAsia"/>
          <w:sz w:val="24"/>
          <w:szCs w:val="24"/>
        </w:rPr>
        <w:t>：
</w:t>
      </w:r>
    </w:p>
    <w:p w14:paraId="5862CB0C">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有权对乙方的监理工作进行监督、检查和考核</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w:t>
      </w:r>
    </w:p>
    <w:p w14:paraId="6D423F2C">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有权要求乙方更换不称职的监理人员</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w:t>
      </w:r>
    </w:p>
    <w:p w14:paraId="7377DDAB">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有权对乙方未按合同约定履行监理职责导致的工程问题，要求乙方限期整改，并视情节轻重扣除相应监理费用；若造成重大损失，有权要求乙方承担赔偿责任。
</w:t>
      </w:r>
    </w:p>
    <w:p w14:paraId="375DFD8A">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义务</w:t>
      </w:r>
      <w:r>
        <w:rPr>
          <w:rFonts w:hint="eastAsia" w:asciiTheme="minorEastAsia" w:hAnsiTheme="minorEastAsia" w:eastAsiaTheme="minorEastAsia" w:cstheme="minorEastAsia"/>
          <w:sz w:val="24"/>
          <w:szCs w:val="24"/>
        </w:rPr>
        <w:t>：
</w:t>
      </w:r>
    </w:p>
    <w:p w14:paraId="217D9BF2">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按合同约定向乙方支付监理服务费用</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w:t>
      </w:r>
    </w:p>
    <w:p w14:paraId="31BB2758">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向乙方提供开展监理工作所需的相关资料和条件</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w:t>
      </w:r>
    </w:p>
    <w:p w14:paraId="262D3BC7">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协调乙方与施工单位等相关方的关系。
</w:t>
      </w:r>
    </w:p>
    <w:p w14:paraId="018F2404">
      <w:pPr>
        <w:pStyle w:val="4"/>
        <w:keepNext w:val="0"/>
        <w:keepLines w:val="0"/>
        <w:pageBreakBefore w:val="0"/>
        <w:widowControl/>
        <w:kinsoku/>
        <w:wordWrap/>
        <w:overflowPunct/>
        <w:topLinePunct w:val="0"/>
        <w:autoSpaceDE/>
        <w:autoSpaceDN/>
        <w:bidi w:val="0"/>
        <w:adjustRightInd/>
        <w:snapToGrid/>
        <w:spacing w:before="0" w:after="0" w:line="500" w:lineRule="exact"/>
        <w:ind w:left="0"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（二）乙方权利与义务
</w:t>
      </w:r>
    </w:p>
    <w:p w14:paraId="2606160B">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val="en-US" w:eastAsia="zh-CN"/>
        </w:rPr>
        <w:t>1.</w:t>
      </w:r>
      <w:r>
        <w:rPr>
          <w:rFonts w:hint="eastAsia" w:asciiTheme="minorEastAsia" w:hAnsiTheme="minorEastAsia" w:eastAsiaTheme="minorEastAsia" w:cstheme="minorEastAsia"/>
          <w:b/>
          <w:bCs/>
          <w:sz w:val="24"/>
          <w:szCs w:val="24"/>
        </w:rPr>
        <w:t>权利</w:t>
      </w:r>
      <w:r>
        <w:rPr>
          <w:rFonts w:hint="eastAsia" w:asciiTheme="minorEastAsia" w:hAnsiTheme="minorEastAsia" w:eastAsiaTheme="minorEastAsia" w:cstheme="minorEastAsia"/>
          <w:sz w:val="24"/>
          <w:szCs w:val="24"/>
        </w:rPr>
        <w:t>：
</w:t>
      </w:r>
    </w:p>
    <w:p w14:paraId="6F5348F2">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有权要求甲方提供开展监理工作所需的资料和条件</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w:t>
      </w:r>
    </w:p>
    <w:p w14:paraId="1E31CF3C">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有权对施工单位违反工程建设强制性标准、合同约定的行为进行制止，并要求其整改</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w:t>
      </w:r>
    </w:p>
    <w:p w14:paraId="26F088DF">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有权获得合同约定的监理服务费用。
</w:t>
      </w:r>
    </w:p>
    <w:p w14:paraId="4F4EC354">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义务</w:t>
      </w:r>
      <w:r>
        <w:rPr>
          <w:rFonts w:hint="eastAsia" w:asciiTheme="minorEastAsia" w:hAnsiTheme="minorEastAsia" w:eastAsiaTheme="minorEastAsia" w:cstheme="minorEastAsia"/>
          <w:sz w:val="24"/>
          <w:szCs w:val="24"/>
        </w:rPr>
        <w:t>：
</w:t>
      </w:r>
    </w:p>
    <w:p w14:paraId="0A812D53">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按照合同约定及相关技术标准、规范和规程，提供专业、高效的监理服务，确保工程质量、进度、投资和安全目标的实现</w:t>
      </w:r>
      <w:r>
        <w:rPr>
          <w:rFonts w:hint="eastAsia" w:asciiTheme="minorEastAsia" w:hAnsiTheme="minorEastAsia" w:eastAsiaTheme="minorEastAsia" w:cstheme="minorEastAsia"/>
          <w:sz w:val="24"/>
          <w:szCs w:val="24"/>
          <w:lang w:eastAsia="zh-CN"/>
        </w:rPr>
        <w:t>；</w:t>
      </w:r>
    </w:p>
    <w:p w14:paraId="341481B8">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组建满足项目监理工作需要的监理组织机构，配备合格的监理人员，并保证监理人员的稳定性</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w:t>
      </w:r>
    </w:p>
    <w:p w14:paraId="08F9A4DA">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定期向甲方提交监理工作汇报，及时报告工程建设中的重大问题</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
</w:t>
      </w:r>
    </w:p>
    <w:p w14:paraId="44BC0DD2">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对在监理过程中知悉的甲方商业秘密、技术秘密等信息予以保密。
</w:t>
      </w:r>
    </w:p>
    <w:p w14:paraId="5BA3920D">
      <w:pPr>
        <w:pStyle w:val="3"/>
        <w:keepNext w:val="0"/>
        <w:keepLines w:val="0"/>
        <w:pageBreakBefore w:val="0"/>
        <w:widowControl/>
        <w:kinsoku/>
        <w:wordWrap/>
        <w:overflowPunct/>
        <w:topLinePunct w:val="0"/>
        <w:autoSpaceDE/>
        <w:autoSpaceDN/>
        <w:bidi w:val="0"/>
        <w:adjustRightInd/>
        <w:snapToGrid/>
        <w:spacing w:before="0" w:after="0" w:line="500" w:lineRule="exact"/>
        <w:ind w:left="0"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七、违约责任
</w:t>
      </w:r>
    </w:p>
    <w:p w14:paraId="71CC86B8">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若乙方未按照合同约定履行监理职责，导致工程质量、进度、安全等方面出现问题，甲方有权要求乙方限期整改，并视情节轻重扣除相应项目的监理费用；若造成重大损失的，乙方应承担赔偿责任。
</w:t>
      </w:r>
    </w:p>
    <w:p w14:paraId="5ED91570">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若甲方未按照合同约定支付监理服务费用，每逾期一日，应按照未支付金额的</w:t>
      </w:r>
      <w:r>
        <w:rPr>
          <w:rFonts w:hint="eastAsia" w:asciiTheme="minorEastAsia" w:hAnsiTheme="minorEastAsia" w:eastAsiaTheme="minorEastAsia" w:cstheme="minorEastAsia"/>
          <w:sz w:val="24"/>
          <w:szCs w:val="24"/>
          <w:lang w:val="en-US" w:eastAsia="zh-CN"/>
        </w:rPr>
        <w:t>20</w:t>
      </w:r>
      <w:r>
        <w:rPr>
          <w:rFonts w:hint="eastAsia" w:asciiTheme="minorEastAsia" w:hAnsiTheme="minorEastAsia" w:eastAsiaTheme="minorEastAsia" w:cstheme="minorEastAsia"/>
          <w:sz w:val="24"/>
          <w:szCs w:val="24"/>
        </w:rPr>
        <w:t>% 向乙方支付违约金。
</w:t>
      </w:r>
    </w:p>
    <w:p w14:paraId="3783C8DF">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任何一方违反本合同约定，给对方造成损失的，应承担赔偿责任。
</w:t>
      </w:r>
    </w:p>
    <w:p w14:paraId="13421778">
      <w:pPr>
        <w:pStyle w:val="3"/>
        <w:keepNext w:val="0"/>
        <w:keepLines w:val="0"/>
        <w:pageBreakBefore w:val="0"/>
        <w:widowControl/>
        <w:kinsoku/>
        <w:wordWrap/>
        <w:overflowPunct/>
        <w:topLinePunct w:val="0"/>
        <w:autoSpaceDE/>
        <w:autoSpaceDN/>
        <w:bidi w:val="0"/>
        <w:adjustRightInd/>
        <w:snapToGrid/>
        <w:spacing w:before="0" w:after="0" w:line="500" w:lineRule="exact"/>
        <w:ind w:left="0"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八、争议解决
</w:t>
      </w:r>
    </w:p>
    <w:p w14:paraId="13CF7FAD">
      <w:pPr>
        <w:pStyle w:val="79"/>
        <w:keepNext w:val="0"/>
        <w:keepLines w:val="0"/>
        <w:pageBreakBefore w:val="0"/>
        <w:widowControl/>
        <w:kinsoku/>
        <w:wordWrap/>
        <w:overflowPunct/>
        <w:topLinePunct w:val="0"/>
        <w:autoSpaceDE/>
        <w:autoSpaceDN/>
        <w:bidi w:val="0"/>
        <w:adjustRightInd/>
        <w:snapToGrid/>
        <w:spacing w:before="0" w:after="0" w:line="500" w:lineRule="exact"/>
        <w:ind w:left="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本合同在履行过程中发生的争议，由双方协商解决；协商不成的，任何一方均有权向工程所在地有管辖权的人民法院提起诉讼。
</w:t>
      </w:r>
    </w:p>
    <w:p w14:paraId="7F265CD1">
      <w:pPr>
        <w:pStyle w:val="3"/>
        <w:keepNext w:val="0"/>
        <w:keepLines w:val="0"/>
        <w:pageBreakBefore w:val="0"/>
        <w:widowControl/>
        <w:kinsoku/>
        <w:wordWrap/>
        <w:overflowPunct/>
        <w:topLinePunct w:val="0"/>
        <w:autoSpaceDE/>
        <w:autoSpaceDN/>
        <w:bidi w:val="0"/>
        <w:adjustRightInd/>
        <w:snapToGrid/>
        <w:spacing w:before="0" w:after="0" w:line="500" w:lineRule="exact"/>
        <w:ind w:left="0"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九、其他条款
</w:t>
      </w:r>
    </w:p>
    <w:p w14:paraId="7D46811D">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本合同自双方签字（或盖章）之日起生效。
</w:t>
      </w:r>
    </w:p>
    <w:p w14:paraId="69CE82BD">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本合同一式</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份，甲方执</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份，乙方执</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份，具有同等法律效力。
</w:t>
      </w:r>
    </w:p>
    <w:p w14:paraId="0BADB6C0">
      <w:pPr>
        <w:pStyle w:val="79"/>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本合同未尽事宜，可由双方另行签订补充协议。补充协议与本合同具有同等法律效力。补充协议内容与本合同不一致的，以补充协议为准。
</w:t>
      </w:r>
    </w:p>
    <w:p w14:paraId="4D0EA560">
      <w:pPr>
        <w:pStyle w:val="7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Theme="minorEastAsia" w:hAnsiTheme="minorEastAsia" w:eastAsiaTheme="minorEastAsia" w:cstheme="minorEastAsia"/>
          <w:sz w:val="24"/>
          <w:szCs w:val="24"/>
        </w:rPr>
      </w:pPr>
    </w:p>
    <w:p w14:paraId="33C80CF6">
      <w:pPr>
        <w:pStyle w:val="7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甲方（盖章）：______________________________________</w:t>
      </w:r>
    </w:p>
    <w:p w14:paraId="50D9C3E4">
      <w:pPr>
        <w:pStyle w:val="7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Theme="minorEastAsia" w:hAnsiTheme="minorEastAsia" w:eastAsiaTheme="minorEastAsia" w:cstheme="minorEastAsia"/>
          <w:sz w:val="24"/>
          <w:szCs w:val="24"/>
        </w:rPr>
      </w:pPr>
    </w:p>
    <w:p w14:paraId="37CC822D">
      <w:pPr>
        <w:pStyle w:val="7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法定代表人或授权代表（签字</w:t>
      </w:r>
      <w:r>
        <w:rPr>
          <w:rFonts w:hint="eastAsia" w:asciiTheme="minorEastAsia" w:hAnsiTheme="minorEastAsia" w:eastAsiaTheme="minorEastAsia" w:cstheme="minorEastAsia"/>
          <w:sz w:val="24"/>
          <w:szCs w:val="24"/>
          <w:lang w:val="en-US" w:eastAsia="zh-CN"/>
        </w:rPr>
        <w:t>或盖章</w:t>
      </w:r>
      <w:r>
        <w:rPr>
          <w:rFonts w:hint="eastAsia" w:asciiTheme="minorEastAsia" w:hAnsiTheme="minorEastAsia" w:eastAsiaTheme="minorEastAsia" w:cstheme="minorEastAsia"/>
          <w:sz w:val="24"/>
          <w:szCs w:val="24"/>
        </w:rPr>
        <w:t>）：________________</w:t>
      </w:r>
    </w:p>
    <w:p w14:paraId="373B8191">
      <w:pPr>
        <w:pStyle w:val="7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Theme="minorEastAsia" w:hAnsiTheme="minorEastAsia" w:eastAsiaTheme="minorEastAsia" w:cstheme="minorEastAsia"/>
          <w:sz w:val="24"/>
          <w:szCs w:val="24"/>
        </w:rPr>
      </w:pPr>
    </w:p>
    <w:p w14:paraId="11F2D9DB">
      <w:pPr>
        <w:pStyle w:val="7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乙方（盖章）：______________________________________</w:t>
      </w:r>
    </w:p>
    <w:p w14:paraId="1D9FB11D">
      <w:pPr>
        <w:pStyle w:val="7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p>
    <w:p w14:paraId="7F6D6DA8">
      <w:pPr>
        <w:pStyle w:val="7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法定代表人或授权代表（签字</w:t>
      </w:r>
      <w:r>
        <w:rPr>
          <w:rFonts w:hint="eastAsia" w:asciiTheme="minorEastAsia" w:hAnsiTheme="minorEastAsia" w:eastAsiaTheme="minorEastAsia" w:cstheme="minorEastAsia"/>
          <w:sz w:val="24"/>
          <w:szCs w:val="24"/>
          <w:lang w:val="en-US" w:eastAsia="zh-CN"/>
        </w:rPr>
        <w:t>或盖章</w:t>
      </w:r>
      <w:r>
        <w:rPr>
          <w:rFonts w:hint="eastAsia" w:asciiTheme="minorEastAsia" w:hAnsiTheme="minorEastAsia" w:eastAsiaTheme="minorEastAsia" w:cstheme="minorEastAsia"/>
          <w:sz w:val="24"/>
          <w:szCs w:val="24"/>
        </w:rPr>
        <w:t>）：________________</w:t>
      </w:r>
    </w:p>
    <w:p w14:paraId="3D21B2FC">
      <w:pPr>
        <w:pStyle w:val="7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Theme="minorEastAsia" w:hAnsiTheme="minorEastAsia" w:eastAsiaTheme="minorEastAsia" w:cstheme="minorEastAsia"/>
          <w:sz w:val="24"/>
          <w:szCs w:val="24"/>
        </w:rPr>
      </w:pPr>
    </w:p>
    <w:p w14:paraId="154D5106">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sz w:val="24"/>
          <w:szCs w:val="24"/>
        </w:rPr>
        <w:t>签订日期：______年____月____日</w:t>
      </w:r>
    </w:p>
    <w:p w14:paraId="18D4261B">
      <w:pPr>
        <w:pStyle w:val="18"/>
        <w:spacing w:beforeLines="0" w:line="500" w:lineRule="exact"/>
        <w:rPr>
          <w:rFonts w:hint="eastAsia" w:asciiTheme="minorEastAsia" w:hAnsiTheme="minorEastAsia" w:eastAsiaTheme="minorEastAsia" w:cstheme="minorEastAsia"/>
          <w:color w:val="auto"/>
          <w:sz w:val="28"/>
          <w:szCs w:val="28"/>
          <w:highlight w:val="none"/>
        </w:rPr>
      </w:pPr>
    </w:p>
    <w:p w14:paraId="20789166">
      <w:pPr>
        <w:spacing w:beforeLines="0" w:line="500" w:lineRule="exact"/>
        <w:jc w:val="center"/>
        <w:textAlignment w:val="bottom"/>
        <w:rPr>
          <w:rFonts w:hint="eastAsia" w:asciiTheme="minorEastAsia" w:hAnsiTheme="minorEastAsia" w:eastAsiaTheme="minorEastAsia" w:cstheme="minorEastAsia"/>
          <w:color w:val="auto"/>
          <w:sz w:val="28"/>
          <w:szCs w:val="28"/>
          <w:highlight w:val="none"/>
          <w:lang w:val="en-US" w:eastAsia="zh-CN"/>
        </w:rPr>
      </w:pPr>
    </w:p>
    <w:p w14:paraId="5421EAA8">
      <w:pPr>
        <w:spacing w:beforeLines="0" w:line="500" w:lineRule="exact"/>
        <w:jc w:val="center"/>
        <w:textAlignment w:val="bottom"/>
        <w:rPr>
          <w:rFonts w:hint="eastAsia" w:asciiTheme="minorEastAsia" w:hAnsiTheme="minorEastAsia" w:eastAsiaTheme="minorEastAsia" w:cstheme="minorEastAsia"/>
          <w:color w:val="auto"/>
          <w:sz w:val="28"/>
          <w:szCs w:val="28"/>
          <w:highlight w:val="none"/>
          <w:lang w:val="en-US" w:eastAsia="zh-CN"/>
        </w:rPr>
      </w:pPr>
    </w:p>
    <w:p w14:paraId="071F7289">
      <w:pPr>
        <w:spacing w:beforeLines="0" w:line="500" w:lineRule="exact"/>
        <w:jc w:val="center"/>
        <w:textAlignment w:val="bottom"/>
        <w:rPr>
          <w:rFonts w:hint="eastAsia" w:asciiTheme="minorEastAsia" w:hAnsiTheme="minorEastAsia" w:eastAsiaTheme="minorEastAsia" w:cstheme="minorEastAsia"/>
          <w:color w:val="auto"/>
          <w:sz w:val="28"/>
          <w:szCs w:val="28"/>
          <w:highlight w:val="none"/>
          <w:lang w:val="en-US" w:eastAsia="zh-CN"/>
        </w:rPr>
      </w:pPr>
    </w:p>
    <w:p w14:paraId="37E22F8A">
      <w:pPr>
        <w:pStyle w:val="5"/>
      </w:pPr>
    </w:p>
    <w:p w14:paraId="0A231473">
      <w:pPr>
        <w:keepNext w:val="0"/>
        <w:keepLines w:val="0"/>
        <w:pageBreakBefore w:val="0"/>
        <w:widowControl w:val="0"/>
        <w:kinsoku/>
        <w:wordWrap/>
        <w:overflowPunct/>
        <w:topLinePunct w:val="0"/>
        <w:autoSpaceDE/>
        <w:autoSpaceDN/>
        <w:bidi w:val="0"/>
        <w:adjustRightInd/>
        <w:snapToGrid/>
        <w:spacing w:line="640" w:lineRule="exact"/>
        <w:ind w:firstLine="560"/>
        <w:textAlignment w:val="auto"/>
        <w:rPr>
          <w:rFonts w:hint="default" w:ascii="宋体" w:hAnsi="宋体" w:eastAsia="宋体"/>
          <w:sz w:val="28"/>
          <w:szCs w:val="28"/>
          <w:lang w:val="en-US" w:eastAsia="zh-CN"/>
        </w:rPr>
      </w:pPr>
    </w:p>
    <w:p w14:paraId="347F96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8"/>
          <w:szCs w:val="28"/>
          <w:lang w:eastAsia="zh-CN"/>
        </w:rPr>
      </w:pPr>
    </w:p>
    <w:p w14:paraId="480A33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8"/>
          <w:szCs w:val="28"/>
          <w:lang w:eastAsia="zh-CN"/>
        </w:rPr>
      </w:pPr>
    </w:p>
    <w:p w14:paraId="5F31CF8D">
      <w:pPr>
        <w:rPr>
          <w:rFonts w:hint="eastAsia" w:ascii="宋体" w:hAnsi="宋体" w:eastAsia="宋体" w:cs="宋体"/>
          <w:sz w:val="36"/>
          <w:szCs w:val="36"/>
          <w:highlight w:val="none"/>
        </w:rPr>
      </w:pPr>
      <w:r>
        <w:rPr>
          <w:rFonts w:hint="eastAsia" w:ascii="宋体" w:hAnsi="宋体" w:eastAsia="宋体" w:cs="宋体"/>
          <w:sz w:val="36"/>
          <w:szCs w:val="36"/>
          <w:highlight w:val="none"/>
        </w:rPr>
        <w:br w:type="page"/>
      </w:r>
    </w:p>
    <w:p w14:paraId="05CC1AED">
      <w:pPr>
        <w:pStyle w:val="2"/>
        <w:keepNext/>
        <w:keepLines w:val="0"/>
        <w:pageBreakBefore w:val="0"/>
        <w:widowControl w:val="0"/>
        <w:numPr>
          <w:ilvl w:val="0"/>
          <w:numId w:val="5"/>
        </w:numPr>
        <w:shd w:val="clear"/>
        <w:kinsoku/>
        <w:wordWrap/>
        <w:overflowPunct/>
        <w:topLinePunct w:val="0"/>
        <w:autoSpaceDE/>
        <w:autoSpaceDN/>
        <w:bidi w:val="0"/>
        <w:adjustRightInd w:val="0"/>
        <w:snapToGrid w:val="0"/>
        <w:spacing w:after="313" w:afterLines="100" w:line="360" w:lineRule="auto"/>
        <w:jc w:val="center"/>
        <w:textAlignment w:val="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 </w:t>
      </w:r>
      <w:bookmarkStart w:id="244" w:name="_Toc722"/>
      <w:r>
        <w:rPr>
          <w:rFonts w:hint="eastAsia" w:ascii="宋体" w:hAnsi="宋体" w:eastAsia="宋体" w:cs="宋体"/>
          <w:sz w:val="36"/>
          <w:szCs w:val="36"/>
          <w:highlight w:val="none"/>
        </w:rPr>
        <w:t>采购内容及要求</w:t>
      </w:r>
      <w:bookmarkEnd w:id="244"/>
    </w:p>
    <w:bookmarkEnd w:id="238"/>
    <w:bookmarkEnd w:id="239"/>
    <w:bookmarkEnd w:id="240"/>
    <w:bookmarkEnd w:id="241"/>
    <w:p w14:paraId="59E00255">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一、项目概况</w:t>
      </w:r>
    </w:p>
    <w:p w14:paraId="76AA4CE9">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吴堡县沿黄土石山区植物园建设(三期)项目：紧扣黄河流 域生态保护和高质量发展战略要求，锚定生态优先、文旅融合、 科普赋能、乡土扎根核心定位，以山水林田草系统治理为路径， 以地域特色植物与乡土文化为灵魂，以功能复合、业态互补为抓 手，系统性打造集生态保育、科普教育、文旅观光、果木收集、 乡土传承于一体的特色综合性山地植物园，构建可游、可学、可赏、可护的沿黄生态文旅新地标。</w:t>
      </w:r>
    </w:p>
    <w:p w14:paraId="235AC0A5">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二、监理服务范围及内容</w:t>
      </w:r>
    </w:p>
    <w:p w14:paraId="6D1C915D">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(一)服务范围</w:t>
      </w:r>
    </w:p>
    <w:p w14:paraId="1AE4CC22">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本项目监理服务为吴堡县沿黄土石山区植物园建设(三期)项目，供应商负责对项目施工准备阶段、施工阶段、竣工验收阶段、缺陷责任期阶段的全过程监理服务。</w:t>
      </w:r>
    </w:p>
    <w:p w14:paraId="45A2CBD6">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(二)服务内容</w:t>
      </w:r>
    </w:p>
    <w:p w14:paraId="4EC2A753">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施工准备阶段：审核图纸与施工方案，参与合同签订，核查 施工单位资质及现场准备情况。</w:t>
      </w:r>
    </w:p>
    <w:p w14:paraId="5FA22801">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施工阶段：把控质量、进度、投资和安全，管理合同与信息， 协调各方关系。竣工验收阶段：组织预验收，协助竣工验收，审核竣工资料， 处理质量缺陷。</w:t>
      </w:r>
    </w:p>
    <w:p w14:paraId="6586EC7B">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缺陷责任期阶段：回访工程，监督质量缺陷修复并验收。</w:t>
      </w:r>
    </w:p>
    <w:p w14:paraId="7E5629A3">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三、技术标准与规范</w:t>
      </w:r>
    </w:p>
    <w:p w14:paraId="543FC536">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工程建设应严格遵循国家、地方及行业现行的相关技术标准、 规范和规程，包括但不限于《建设工程监理规范》( GB/T 50319-2013)、《林业生态工程建设技术规程》《园林绿化工程施工及验收规范》等。</w:t>
      </w:r>
    </w:p>
    <w:p w14:paraId="0EF35EE6">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四、合同条款</w:t>
      </w:r>
    </w:p>
    <w:p w14:paraId="63F0A32F">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工期要求：供应商的监理服务周期与项目的工程施工周期同步，自合同签订之日起至缺陷责任期结束止。若因非供应商原因 导致工程工期延长，监理服务周期相应顺延，采购人不再另行支付费用；若因供应商原因导致工程工期延误，供应商应承担相应的违约责任。</w:t>
      </w:r>
    </w:p>
    <w:p w14:paraId="45C702BC">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违约责任：若供应商未按照合同约定履行项目的监理职责， 导致工程质量、进度、安全等方面出现问题，采购人有权要求供应商限期整改，并视情节轻重扣除相应项目的监理费用；若造成 重大损失的，供应商应承担赔偿责任。</w:t>
      </w:r>
    </w:p>
    <w:p w14:paraId="62D763BF">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争议解决：协商不成，向工程所在地法院诉讼。</w:t>
      </w:r>
    </w:p>
    <w:p w14:paraId="65F2CBB9">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五、编制要求</w:t>
      </w:r>
    </w:p>
    <w:p w14:paraId="25B135BC">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b w:val="0"/>
          <w:bCs w:val="0"/>
          <w:snapToGrid w:val="0"/>
          <w:color w:val="auto"/>
          <w:kern w:val="0"/>
          <w:sz w:val="24"/>
          <w:szCs w:val="24"/>
          <w:highlight w:val="none"/>
          <w:lang w:val="en-US" w:eastAsia="zh-CN"/>
        </w:rPr>
      </w:pPr>
      <w:r>
        <w:rPr>
          <w:rFonts w:hint="eastAsia" w:ascii="宋体" w:hAnsi="宋体" w:eastAsia="宋体" w:cs="宋体"/>
          <w:b w:val="0"/>
          <w:bCs w:val="0"/>
          <w:snapToGrid w:val="0"/>
          <w:color w:val="auto"/>
          <w:kern w:val="0"/>
          <w:sz w:val="24"/>
          <w:szCs w:val="24"/>
          <w:highlight w:val="none"/>
          <w:lang w:val="en-US" w:eastAsia="zh-CN"/>
        </w:rPr>
        <w:t>供应商应按照本采购需求的要求，结合项目实际情况，编制 详细的监理服务方案，包括但不限于监理组织机构设置、人员配备计划、监理工作流程、质量控制措施、进度控制措施、投资控 制措施、安全管理措施、合同管理与信息管理方案、组织协调方 案等内容。</w:t>
      </w:r>
    </w:p>
    <w:p w14:paraId="703383E0">
      <w:pPr>
        <w:keepNext w:val="0"/>
        <w:keepLines w:val="0"/>
        <w:pageBreakBefore w:val="0"/>
        <w:widowControl/>
        <w:kinsoku/>
        <w:wordWrap w:val="0"/>
        <w:overflowPunct/>
        <w:topLinePunct/>
        <w:autoSpaceDE/>
        <w:autoSpaceDN/>
        <w:bidi w:val="0"/>
        <w:adjustRightInd w:val="0"/>
        <w:snapToGrid w:val="0"/>
        <w:spacing w:line="480" w:lineRule="exact"/>
        <w:ind w:firstLine="601"/>
        <w:jc w:val="left"/>
        <w:textAlignment w:val="baseline"/>
        <w:rPr>
          <w:rFonts w:hint="eastAsia" w:ascii="宋体" w:hAnsi="宋体" w:eastAsia="宋体" w:cs="宋体"/>
          <w:sz w:val="24"/>
          <w:szCs w:val="24"/>
        </w:rPr>
      </w:pPr>
      <w:r>
        <w:rPr>
          <w:rFonts w:hint="eastAsia" w:ascii="宋体" w:hAnsi="宋体" w:eastAsia="宋体" w:cs="宋体"/>
          <w:b w:val="0"/>
          <w:bCs w:val="0"/>
          <w:snapToGrid w:val="0"/>
          <w:color w:val="auto"/>
          <w:kern w:val="0"/>
          <w:sz w:val="24"/>
          <w:szCs w:val="24"/>
          <w:highlight w:val="none"/>
          <w:lang w:val="en-US" w:eastAsia="zh-CN"/>
        </w:rPr>
        <w:t>监理服务方案应具有针对性、可行性和创新性，能够充分体 现供应商的监理能力和服务水平。</w:t>
      </w:r>
      <w:r>
        <w:rPr>
          <w:rFonts w:ascii="宋体" w:hAnsi="宋体" w:eastAsia="宋体" w:cs="宋体"/>
          <w:b/>
          <w:bCs/>
          <w:spacing w:val="-14"/>
          <w:sz w:val="33"/>
          <w:szCs w:val="33"/>
        </w:rPr>
        <w:br w:type="page"/>
      </w:r>
    </w:p>
    <w:p w14:paraId="563E0B3B">
      <w:pPr>
        <w:pStyle w:val="2"/>
        <w:bidi w:val="0"/>
        <w:spacing w:line="360" w:lineRule="auto"/>
        <w:rPr>
          <w:rFonts w:hint="eastAsia" w:ascii="宋体" w:hAnsi="宋体" w:eastAsia="宋体" w:cs="宋体"/>
          <w:b/>
          <w:szCs w:val="44"/>
          <w:lang w:eastAsia="zh-CN"/>
        </w:rPr>
      </w:pPr>
      <w:bookmarkStart w:id="245" w:name="_Toc6427"/>
      <w:r>
        <w:rPr>
          <w:rFonts w:hint="eastAsia" w:ascii="宋体" w:hAnsi="宋体" w:eastAsia="宋体" w:cs="宋体"/>
          <w:lang w:eastAsia="zh-CN"/>
        </w:rPr>
        <w:t>第六章 竞争性磋商响应文件格式</w:t>
      </w:r>
      <w:bookmarkEnd w:id="245"/>
    </w:p>
    <w:p w14:paraId="431C5EAB">
      <w:pPr>
        <w:spacing w:line="360" w:lineRule="auto"/>
        <w:jc w:val="both"/>
        <w:rPr>
          <w:rFonts w:hint="eastAsia" w:ascii="宋体" w:hAnsi="宋体" w:eastAsia="宋体" w:cs="宋体"/>
          <w:b/>
          <w:sz w:val="44"/>
          <w:szCs w:val="44"/>
          <w:lang w:eastAsia="zh-CN"/>
        </w:rPr>
      </w:pPr>
    </w:p>
    <w:p w14:paraId="41FC2B6D">
      <w:pPr>
        <w:bidi w:val="0"/>
        <w:spacing w:line="360" w:lineRule="auto"/>
        <w:rPr>
          <w:rFonts w:hint="eastAsia"/>
          <w:b/>
          <w:bCs/>
          <w:sz w:val="28"/>
          <w:szCs w:val="24"/>
          <w:lang w:eastAsia="zh-CN"/>
        </w:rPr>
      </w:pPr>
      <w:bookmarkStart w:id="246" w:name="_Toc2100"/>
      <w:bookmarkStart w:id="247" w:name="_Toc31931"/>
      <w:r>
        <w:rPr>
          <w:rFonts w:hint="eastAsia"/>
          <w:b/>
          <w:bCs/>
          <w:sz w:val="28"/>
          <w:szCs w:val="24"/>
          <w:lang w:eastAsia="zh-CN"/>
        </w:rPr>
        <w:t>项目编号：</w:t>
      </w:r>
      <w:r>
        <w:rPr>
          <w:rFonts w:hint="eastAsia"/>
          <w:b/>
          <w:bCs/>
          <w:sz w:val="28"/>
          <w:szCs w:val="24"/>
          <w:lang w:val="en-US" w:eastAsia="zh-CN"/>
        </w:rPr>
        <w:t xml:space="preserve">                       </w:t>
      </w:r>
      <w:r>
        <w:rPr>
          <w:rFonts w:hint="eastAsia"/>
          <w:b/>
          <w:bCs/>
          <w:sz w:val="28"/>
          <w:szCs w:val="24"/>
          <w:lang w:eastAsia="zh-CN"/>
        </w:rPr>
        <w:t xml:space="preserve">       </w:t>
      </w:r>
      <w:r>
        <w:rPr>
          <w:rFonts w:hint="eastAsia"/>
          <w:b/>
          <w:bCs/>
          <w:sz w:val="28"/>
          <w:szCs w:val="24"/>
          <w:lang w:val="en-US" w:eastAsia="zh-CN"/>
        </w:rPr>
        <w:t xml:space="preserve">    </w:t>
      </w:r>
      <w:r>
        <w:rPr>
          <w:rFonts w:hint="eastAsia"/>
          <w:b/>
          <w:bCs/>
          <w:sz w:val="28"/>
          <w:szCs w:val="24"/>
          <w:lang w:eastAsia="zh-CN"/>
        </w:rPr>
        <w:t xml:space="preserve"> （正/副本）</w:t>
      </w:r>
      <w:bookmarkEnd w:id="246"/>
      <w:bookmarkEnd w:id="247"/>
    </w:p>
    <w:p w14:paraId="5EFC8D1A">
      <w:pPr>
        <w:spacing w:line="360" w:lineRule="auto"/>
        <w:jc w:val="left"/>
        <w:rPr>
          <w:rFonts w:hint="eastAsia" w:ascii="宋体" w:hAnsi="宋体" w:eastAsia="宋体" w:cs="宋体"/>
          <w:b/>
          <w:sz w:val="32"/>
          <w:szCs w:val="32"/>
          <w:lang w:eastAsia="zh-CN"/>
        </w:rPr>
      </w:pPr>
    </w:p>
    <w:p w14:paraId="73DE5F3C">
      <w:pPr>
        <w:spacing w:line="360" w:lineRule="auto"/>
        <w:jc w:val="left"/>
        <w:rPr>
          <w:rFonts w:hint="eastAsia" w:ascii="宋体" w:hAnsi="宋体" w:eastAsia="宋体" w:cs="宋体"/>
          <w:b/>
          <w:sz w:val="32"/>
          <w:szCs w:val="32"/>
          <w:lang w:eastAsia="zh-CN"/>
        </w:rPr>
      </w:pPr>
    </w:p>
    <w:p w14:paraId="6B8CAFE5">
      <w:pPr>
        <w:bidi w:val="0"/>
        <w:spacing w:line="360" w:lineRule="auto"/>
        <w:jc w:val="center"/>
        <w:rPr>
          <w:rFonts w:hint="eastAsia"/>
          <w:b/>
          <w:bCs/>
          <w:sz w:val="48"/>
          <w:szCs w:val="44"/>
          <w:u w:val="single"/>
        </w:rPr>
      </w:pPr>
      <w:bookmarkStart w:id="248" w:name="_Toc10247"/>
      <w:bookmarkStart w:id="249" w:name="_Toc7378"/>
      <w:r>
        <w:rPr>
          <w:rFonts w:hint="eastAsia"/>
          <w:b/>
          <w:bCs/>
          <w:sz w:val="48"/>
          <w:szCs w:val="44"/>
          <w:u w:val="single"/>
        </w:rPr>
        <w:t>项目名称</w:t>
      </w:r>
      <w:bookmarkEnd w:id="248"/>
      <w:bookmarkEnd w:id="249"/>
    </w:p>
    <w:p w14:paraId="6D4C11E0">
      <w:pPr>
        <w:pStyle w:val="23"/>
        <w:spacing w:line="360" w:lineRule="auto"/>
        <w:ind w:left="0" w:leftChars="0" w:firstLine="0" w:firstLineChars="0"/>
        <w:rPr>
          <w:rFonts w:hint="eastAsia" w:ascii="宋体" w:hAnsi="宋体" w:eastAsia="宋体" w:cs="宋体"/>
          <w:b/>
          <w:sz w:val="52"/>
          <w:szCs w:val="52"/>
        </w:rPr>
      </w:pPr>
    </w:p>
    <w:p w14:paraId="43299BCA">
      <w:pPr>
        <w:spacing w:line="360" w:lineRule="auto"/>
        <w:rPr>
          <w:rFonts w:hint="eastAsia"/>
        </w:rPr>
      </w:pPr>
    </w:p>
    <w:p w14:paraId="5075D45F">
      <w:pPr>
        <w:pStyle w:val="23"/>
        <w:spacing w:line="360" w:lineRule="auto"/>
        <w:rPr>
          <w:rFonts w:hint="eastAsia"/>
        </w:rPr>
      </w:pPr>
    </w:p>
    <w:p w14:paraId="74FCFAF5">
      <w:pPr>
        <w:spacing w:line="360" w:lineRule="auto"/>
        <w:jc w:val="center"/>
        <w:rPr>
          <w:rFonts w:hint="eastAsia" w:ascii="宋体" w:hAnsi="宋体" w:eastAsia="宋体" w:cs="宋体"/>
          <w:b/>
          <w:sz w:val="52"/>
          <w:szCs w:val="52"/>
        </w:rPr>
      </w:pPr>
      <w:r>
        <w:rPr>
          <w:rFonts w:hint="eastAsia" w:ascii="宋体" w:hAnsi="宋体" w:eastAsia="宋体" w:cs="宋体"/>
          <w:b/>
          <w:sz w:val="72"/>
          <w:szCs w:val="72"/>
        </w:rPr>
        <w:t>磋商响应文件</w:t>
      </w:r>
    </w:p>
    <w:p w14:paraId="2EF8C8C5">
      <w:pPr>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               </w:t>
      </w:r>
    </w:p>
    <w:p w14:paraId="3FD92178">
      <w:pPr>
        <w:pStyle w:val="23"/>
        <w:spacing w:line="360" w:lineRule="auto"/>
        <w:rPr>
          <w:rFonts w:hint="eastAsia" w:ascii="宋体" w:hAnsi="宋体" w:eastAsia="宋体" w:cs="宋体"/>
          <w:b/>
          <w:sz w:val="36"/>
          <w:szCs w:val="36"/>
        </w:rPr>
      </w:pPr>
    </w:p>
    <w:p w14:paraId="25106622">
      <w:pPr>
        <w:pStyle w:val="9"/>
        <w:spacing w:line="360" w:lineRule="auto"/>
        <w:rPr>
          <w:rFonts w:hint="eastAsia" w:ascii="宋体" w:hAnsi="宋体" w:eastAsia="宋体" w:cs="宋体"/>
          <w:b/>
          <w:sz w:val="36"/>
          <w:szCs w:val="36"/>
        </w:rPr>
      </w:pPr>
    </w:p>
    <w:p w14:paraId="6F861284">
      <w:pPr>
        <w:spacing w:line="360" w:lineRule="auto"/>
        <w:rPr>
          <w:rFonts w:hint="eastAsia" w:ascii="宋体" w:hAnsi="宋体" w:eastAsia="宋体" w:cs="宋体"/>
        </w:rPr>
      </w:pPr>
    </w:p>
    <w:p w14:paraId="1EE9D399">
      <w:pPr>
        <w:bidi w:val="0"/>
        <w:spacing w:line="360" w:lineRule="auto"/>
        <w:ind w:firstLine="1928" w:firstLineChars="600"/>
        <w:rPr>
          <w:rFonts w:hint="eastAsia" w:ascii="宋体" w:hAnsi="宋体" w:eastAsia="宋体" w:cs="宋体"/>
          <w:b/>
          <w:sz w:val="32"/>
          <w:szCs w:val="32"/>
          <w:u w:val="single"/>
        </w:rPr>
      </w:pPr>
      <w:bookmarkStart w:id="250" w:name="_Toc6010"/>
      <w:bookmarkStart w:id="251" w:name="_Toc31577"/>
      <w:bookmarkStart w:id="252" w:name="_Toc26671"/>
      <w:r>
        <w:rPr>
          <w:rFonts w:hint="eastAsia" w:ascii="宋体" w:hAnsi="宋体" w:eastAsia="宋体" w:cs="宋体"/>
          <w:b/>
          <w:sz w:val="32"/>
          <w:szCs w:val="32"/>
        </w:rPr>
        <w:t>供应商名称（公章）</w:t>
      </w:r>
      <w:bookmarkEnd w:id="250"/>
      <w:bookmarkEnd w:id="251"/>
      <w:bookmarkEnd w:id="252"/>
      <w:r>
        <w:rPr>
          <w:rFonts w:hint="eastAsia" w:ascii="宋体" w:hAnsi="宋体" w:eastAsia="宋体" w:cs="宋体"/>
          <w:b/>
          <w:sz w:val="32"/>
          <w:szCs w:val="32"/>
          <w:u w:val="single"/>
        </w:rPr>
        <w:t xml:space="preserve">                  </w:t>
      </w:r>
    </w:p>
    <w:p w14:paraId="3120EFB8">
      <w:pPr>
        <w:pStyle w:val="9"/>
        <w:spacing w:line="360" w:lineRule="auto"/>
        <w:rPr>
          <w:rFonts w:hint="eastAsia" w:ascii="宋体" w:hAnsi="宋体" w:eastAsia="宋体" w:cs="宋体"/>
        </w:rPr>
      </w:pPr>
    </w:p>
    <w:p w14:paraId="33083824">
      <w:pPr>
        <w:bidi w:val="0"/>
        <w:spacing w:line="360" w:lineRule="auto"/>
        <w:ind w:firstLine="1928" w:firstLineChars="600"/>
        <w:rPr>
          <w:rFonts w:hint="eastAsia" w:ascii="宋体" w:hAnsi="宋体" w:eastAsia="宋体" w:cs="宋体"/>
          <w:b/>
          <w:sz w:val="32"/>
          <w:szCs w:val="32"/>
          <w:u w:val="single"/>
        </w:rPr>
      </w:pPr>
      <w:bookmarkStart w:id="253" w:name="_Toc20251"/>
      <w:bookmarkStart w:id="254" w:name="_Toc3201"/>
      <w:bookmarkStart w:id="255" w:name="_Toc28374"/>
      <w:r>
        <w:rPr>
          <w:rFonts w:hint="eastAsia" w:ascii="宋体" w:hAnsi="宋体" w:eastAsia="宋体" w:cs="宋体"/>
          <w:b/>
          <w:sz w:val="32"/>
          <w:szCs w:val="32"/>
        </w:rPr>
        <w:t>法人或授权人签字或盖章：</w:t>
      </w:r>
      <w:bookmarkEnd w:id="253"/>
      <w:bookmarkEnd w:id="254"/>
      <w:bookmarkEnd w:id="255"/>
      <w:r>
        <w:rPr>
          <w:rFonts w:hint="eastAsia" w:ascii="宋体" w:hAnsi="宋体" w:eastAsia="宋体" w:cs="宋体"/>
          <w:b/>
          <w:sz w:val="32"/>
          <w:szCs w:val="32"/>
          <w:u w:val="single"/>
        </w:rPr>
        <w:t xml:space="preserve">            </w:t>
      </w:r>
    </w:p>
    <w:p w14:paraId="29823842">
      <w:pPr>
        <w:spacing w:line="360" w:lineRule="auto"/>
        <w:jc w:val="center"/>
        <w:rPr>
          <w:rFonts w:hint="eastAsia" w:ascii="宋体" w:hAnsi="宋体" w:eastAsia="宋体" w:cs="宋体"/>
          <w:b/>
          <w:sz w:val="32"/>
          <w:szCs w:val="32"/>
        </w:rPr>
      </w:pPr>
    </w:p>
    <w:p w14:paraId="0FD535DF">
      <w:pPr>
        <w:spacing w:line="360" w:lineRule="auto"/>
        <w:jc w:val="center"/>
        <w:rPr>
          <w:rFonts w:hint="eastAsia" w:ascii="宋体" w:hAnsi="宋体" w:eastAsia="宋体" w:cs="宋体"/>
          <w:b/>
          <w:bCs/>
          <w:sz w:val="44"/>
        </w:rPr>
      </w:pPr>
      <w:r>
        <w:rPr>
          <w:rFonts w:hint="eastAsia" w:ascii="宋体" w:hAnsi="宋体" w:cs="宋体"/>
          <w:b/>
          <w:sz w:val="32"/>
          <w:szCs w:val="32"/>
          <w:highlight w:val="none"/>
          <w:u w:val="single"/>
          <w:lang w:val="en-US" w:eastAsia="zh-CN"/>
        </w:rPr>
        <w:t xml:space="preserve">   </w:t>
      </w:r>
      <w:r>
        <w:rPr>
          <w:rFonts w:hint="eastAsia" w:ascii="宋体" w:hAnsi="宋体" w:eastAsia="宋体" w:cs="宋体"/>
          <w:b/>
          <w:sz w:val="32"/>
          <w:szCs w:val="32"/>
          <w:highlight w:val="none"/>
        </w:rPr>
        <w:t>年</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rPr>
        <w:t>月</w:t>
      </w:r>
      <w:r>
        <w:rPr>
          <w:rFonts w:hint="eastAsia" w:ascii="宋体" w:hAnsi="宋体" w:cs="宋体"/>
          <w:b/>
          <w:sz w:val="32"/>
          <w:szCs w:val="32"/>
          <w:highlight w:val="none"/>
          <w:u w:val="single"/>
          <w:lang w:val="en-US" w:eastAsia="zh-CN"/>
        </w:rPr>
        <w:t xml:space="preserve">    </w:t>
      </w:r>
      <w:r>
        <w:rPr>
          <w:rFonts w:hint="eastAsia" w:ascii="宋体" w:hAnsi="宋体" w:cs="宋体"/>
          <w:b/>
          <w:sz w:val="32"/>
          <w:szCs w:val="32"/>
          <w:highlight w:val="none"/>
          <w:u w:val="none"/>
          <w:lang w:val="en-US" w:eastAsia="zh-CN"/>
        </w:rPr>
        <w:t>日</w:t>
      </w:r>
      <w:r>
        <w:rPr>
          <w:rFonts w:hint="eastAsia" w:ascii="宋体" w:hAnsi="宋体" w:eastAsia="宋体" w:cs="宋体"/>
          <w:b/>
          <w:sz w:val="36"/>
          <w:szCs w:val="36"/>
        </w:rPr>
        <w:br w:type="page"/>
      </w:r>
    </w:p>
    <w:p w14:paraId="7D3C0539">
      <w:pPr>
        <w:spacing w:line="360" w:lineRule="auto"/>
        <w:jc w:val="center"/>
        <w:rPr>
          <w:rFonts w:hint="eastAsia" w:ascii="宋体" w:hAnsi="宋体" w:eastAsia="宋体" w:cs="宋体"/>
          <w:b/>
          <w:sz w:val="44"/>
        </w:rPr>
      </w:pPr>
      <w:bookmarkStart w:id="256" w:name="_Toc344572156"/>
      <w:r>
        <w:rPr>
          <w:rFonts w:hint="eastAsia" w:ascii="宋体" w:hAnsi="宋体" w:eastAsia="宋体" w:cs="宋体"/>
          <w:b/>
          <w:sz w:val="44"/>
        </w:rPr>
        <w:t>目  录</w:t>
      </w:r>
    </w:p>
    <w:p w14:paraId="1DFF7BF9">
      <w:pPr>
        <w:bidi w:val="0"/>
        <w:spacing w:line="360" w:lineRule="auto"/>
        <w:jc w:val="center"/>
        <w:rPr>
          <w:rFonts w:hint="eastAsia"/>
          <w:lang w:eastAsia="zh-CN"/>
        </w:rPr>
      </w:pPr>
      <w:r>
        <w:rPr>
          <w:rFonts w:hint="eastAsia"/>
          <w:lang w:eastAsia="zh-CN"/>
        </w:rPr>
        <w:t>（</w:t>
      </w:r>
      <w:r>
        <w:rPr>
          <w:rFonts w:hint="eastAsia"/>
          <w:lang w:val="en-US" w:eastAsia="zh-CN"/>
        </w:rPr>
        <w:t>自拟</w:t>
      </w:r>
      <w:r>
        <w:rPr>
          <w:rFonts w:hint="eastAsia"/>
          <w:lang w:eastAsia="zh-CN"/>
        </w:rPr>
        <w:t>）</w:t>
      </w:r>
    </w:p>
    <w:p w14:paraId="7E1686EB">
      <w:pPr>
        <w:spacing w:line="360" w:lineRule="auto"/>
        <w:rPr>
          <w:rFonts w:hint="eastAsia" w:ascii="宋体" w:hAnsi="宋体" w:eastAsia="宋体" w:cs="宋体"/>
          <w:bCs/>
          <w:sz w:val="44"/>
        </w:rPr>
      </w:pPr>
    </w:p>
    <w:p w14:paraId="3A4BA793">
      <w:pPr>
        <w:bidi w:val="0"/>
        <w:spacing w:line="360" w:lineRule="auto"/>
        <w:rPr>
          <w:rFonts w:hint="eastAsia"/>
        </w:rPr>
      </w:pPr>
    </w:p>
    <w:p w14:paraId="3FFDCF78">
      <w:pPr>
        <w:bidi w:val="0"/>
        <w:spacing w:line="360" w:lineRule="auto"/>
        <w:rPr>
          <w:rFonts w:hint="eastAsia"/>
        </w:rPr>
      </w:pPr>
    </w:p>
    <w:p w14:paraId="5B356DE0">
      <w:pPr>
        <w:bidi w:val="0"/>
        <w:spacing w:line="360" w:lineRule="auto"/>
        <w:rPr>
          <w:rFonts w:hint="eastAsia"/>
        </w:rPr>
      </w:pPr>
    </w:p>
    <w:p w14:paraId="6A0609F5">
      <w:pPr>
        <w:bidi w:val="0"/>
        <w:spacing w:line="360" w:lineRule="auto"/>
        <w:rPr>
          <w:rFonts w:hint="eastAsia"/>
        </w:rPr>
      </w:pPr>
    </w:p>
    <w:p w14:paraId="0F40C220">
      <w:pPr>
        <w:bidi w:val="0"/>
        <w:spacing w:line="360" w:lineRule="auto"/>
        <w:rPr>
          <w:rFonts w:hint="eastAsia"/>
        </w:rPr>
      </w:pPr>
    </w:p>
    <w:p w14:paraId="4F841EEE">
      <w:pPr>
        <w:bidi w:val="0"/>
        <w:spacing w:line="360" w:lineRule="auto"/>
        <w:rPr>
          <w:rFonts w:hint="eastAsia"/>
        </w:rPr>
      </w:pPr>
    </w:p>
    <w:p w14:paraId="315C8B61">
      <w:pPr>
        <w:bidi w:val="0"/>
        <w:spacing w:line="360" w:lineRule="auto"/>
        <w:rPr>
          <w:rFonts w:hint="eastAsia"/>
        </w:rPr>
      </w:pPr>
    </w:p>
    <w:p w14:paraId="17B1CBD3">
      <w:pPr>
        <w:bidi w:val="0"/>
        <w:spacing w:line="360" w:lineRule="auto"/>
        <w:rPr>
          <w:rFonts w:hint="eastAsia"/>
        </w:rPr>
      </w:pPr>
    </w:p>
    <w:p w14:paraId="32883569">
      <w:pPr>
        <w:bidi w:val="0"/>
        <w:spacing w:line="360" w:lineRule="auto"/>
        <w:rPr>
          <w:rFonts w:hint="eastAsia"/>
        </w:rPr>
      </w:pPr>
    </w:p>
    <w:p w14:paraId="6162B9B6">
      <w:pPr>
        <w:bidi w:val="0"/>
        <w:spacing w:line="360" w:lineRule="auto"/>
        <w:rPr>
          <w:rFonts w:hint="eastAsia"/>
        </w:rPr>
      </w:pPr>
    </w:p>
    <w:p w14:paraId="10CD9FA8">
      <w:pPr>
        <w:bidi w:val="0"/>
        <w:spacing w:line="360" w:lineRule="auto"/>
        <w:rPr>
          <w:rFonts w:hint="eastAsia"/>
        </w:rPr>
      </w:pPr>
    </w:p>
    <w:p w14:paraId="155C1548">
      <w:pPr>
        <w:bidi w:val="0"/>
        <w:spacing w:line="360" w:lineRule="auto"/>
        <w:rPr>
          <w:rFonts w:hint="eastAsia"/>
        </w:rPr>
      </w:pPr>
    </w:p>
    <w:bookmarkEnd w:id="256"/>
    <w:p w14:paraId="1CFBCC76">
      <w:pPr>
        <w:bidi w:val="0"/>
        <w:spacing w:line="360" w:lineRule="auto"/>
        <w:rPr>
          <w:rFonts w:hint="eastAsia"/>
          <w:lang w:val="en-US" w:eastAsia="zh-CN"/>
        </w:rPr>
      </w:pPr>
      <w:bookmarkStart w:id="257" w:name="_Toc363474027"/>
      <w:bookmarkStart w:id="258" w:name="_Toc403077648"/>
      <w:bookmarkStart w:id="259" w:name="_Toc20261"/>
      <w:bookmarkStart w:id="260" w:name="_Toc5618"/>
      <w:bookmarkStart w:id="261" w:name="_Toc24357"/>
      <w:bookmarkStart w:id="262" w:name="_Toc204524343"/>
    </w:p>
    <w:p w14:paraId="3C872EBE">
      <w:pPr>
        <w:bidi w:val="0"/>
        <w:spacing w:line="360" w:lineRule="auto"/>
        <w:rPr>
          <w:rFonts w:hint="eastAsia"/>
          <w:lang w:val="en-US" w:eastAsia="zh-CN"/>
        </w:rPr>
      </w:pPr>
    </w:p>
    <w:p w14:paraId="551B6DA1">
      <w:pPr>
        <w:bidi w:val="0"/>
        <w:spacing w:line="360" w:lineRule="auto"/>
        <w:rPr>
          <w:rFonts w:hint="eastAsia"/>
          <w:lang w:val="en-US" w:eastAsia="zh-CN"/>
        </w:rPr>
      </w:pPr>
    </w:p>
    <w:p w14:paraId="4955B8B9">
      <w:pPr>
        <w:bidi w:val="0"/>
        <w:spacing w:line="360" w:lineRule="auto"/>
        <w:rPr>
          <w:rFonts w:hint="eastAsia"/>
          <w:lang w:val="en-US" w:eastAsia="zh-CN"/>
        </w:rPr>
      </w:pPr>
    </w:p>
    <w:p w14:paraId="2D912684">
      <w:pPr>
        <w:bidi w:val="0"/>
        <w:spacing w:line="360" w:lineRule="auto"/>
        <w:rPr>
          <w:rFonts w:hint="eastAsia"/>
          <w:lang w:val="en-US" w:eastAsia="zh-CN"/>
        </w:rPr>
      </w:pPr>
    </w:p>
    <w:p w14:paraId="2FC06F39">
      <w:pPr>
        <w:bidi w:val="0"/>
        <w:spacing w:line="360" w:lineRule="auto"/>
        <w:rPr>
          <w:rFonts w:hint="eastAsia"/>
          <w:lang w:val="en-US" w:eastAsia="zh-CN"/>
        </w:rPr>
      </w:pPr>
    </w:p>
    <w:p w14:paraId="27DAC967">
      <w:pPr>
        <w:bidi w:val="0"/>
        <w:spacing w:line="360" w:lineRule="auto"/>
        <w:rPr>
          <w:rFonts w:hint="eastAsia"/>
          <w:lang w:val="en-US" w:eastAsia="zh-CN"/>
        </w:rPr>
      </w:pPr>
    </w:p>
    <w:p w14:paraId="08133CFF">
      <w:pPr>
        <w:spacing w:line="360" w:lineRule="auto"/>
        <w:jc w:val="center"/>
        <w:outlineLvl w:val="0"/>
        <w:rPr>
          <w:rFonts w:hint="eastAsia" w:ascii="宋体" w:hAnsi="宋体" w:eastAsia="宋体" w:cs="宋体"/>
          <w:b/>
          <w:sz w:val="32"/>
          <w:szCs w:val="32"/>
          <w:lang w:val="en-US" w:eastAsia="zh-CN"/>
        </w:rPr>
        <w:sectPr>
          <w:footerReference r:id="rId8" w:type="default"/>
          <w:pgSz w:w="11906" w:h="16838"/>
          <w:pgMar w:top="1440" w:right="1531" w:bottom="1440" w:left="1531" w:header="720" w:footer="720" w:gutter="0"/>
          <w:pgNumType w:fmt="decimal"/>
          <w:cols w:space="720" w:num="1"/>
          <w:docGrid w:type="lines" w:linePitch="312" w:charSpace="0"/>
        </w:sectPr>
      </w:pPr>
    </w:p>
    <w:p w14:paraId="6E7E3FB3">
      <w:pPr>
        <w:pStyle w:val="3"/>
        <w:bidi w:val="0"/>
        <w:spacing w:line="360" w:lineRule="auto"/>
        <w:rPr>
          <w:rFonts w:hint="eastAsia"/>
        </w:rPr>
      </w:pPr>
      <w:bookmarkStart w:id="263" w:name="_Toc30042"/>
      <w:bookmarkStart w:id="264" w:name="_Toc16419"/>
      <w:r>
        <w:rPr>
          <w:rFonts w:hint="eastAsia"/>
          <w:lang w:val="en-US" w:eastAsia="zh-CN"/>
        </w:rPr>
        <w:t>一、</w:t>
      </w:r>
      <w:r>
        <w:rPr>
          <w:rFonts w:hint="eastAsia"/>
        </w:rPr>
        <w:t>磋商</w:t>
      </w:r>
      <w:bookmarkEnd w:id="257"/>
      <w:bookmarkEnd w:id="258"/>
      <w:r>
        <w:rPr>
          <w:rFonts w:hint="eastAsia"/>
        </w:rPr>
        <w:t>响应函</w:t>
      </w:r>
      <w:bookmarkEnd w:id="259"/>
      <w:bookmarkEnd w:id="260"/>
      <w:bookmarkEnd w:id="261"/>
      <w:bookmarkEnd w:id="263"/>
      <w:bookmarkEnd w:id="264"/>
    </w:p>
    <w:p w14:paraId="7BAF3904">
      <w:pPr>
        <w:spacing w:line="360" w:lineRule="auto"/>
        <w:jc w:val="left"/>
        <w:rPr>
          <w:rFonts w:hint="eastAsia" w:ascii="宋体" w:hAnsi="宋体" w:eastAsia="宋体" w:cs="宋体"/>
          <w:spacing w:val="4"/>
          <w:sz w:val="24"/>
          <w:szCs w:val="24"/>
          <w:lang w:eastAsia="zh-CN"/>
        </w:rPr>
      </w:pPr>
      <w:r>
        <w:rPr>
          <w:rFonts w:hint="eastAsia" w:ascii="宋体" w:hAnsi="宋体" w:eastAsia="宋体" w:cs="宋体"/>
          <w:spacing w:val="4"/>
          <w:sz w:val="24"/>
          <w:szCs w:val="24"/>
        </w:rPr>
        <w:t>致：</w:t>
      </w:r>
      <w:r>
        <w:rPr>
          <w:rFonts w:hint="eastAsia" w:ascii="宋体" w:hAnsi="宋体" w:cs="宋体"/>
          <w:spacing w:val="4"/>
          <w:sz w:val="24"/>
          <w:szCs w:val="24"/>
          <w:lang w:eastAsia="zh-CN"/>
        </w:rPr>
        <w:t>陕西泓祥兴顺工程项目管理有限公司</w:t>
      </w:r>
    </w:p>
    <w:p w14:paraId="59A4302C">
      <w:pPr>
        <w:spacing w:line="360" w:lineRule="auto"/>
        <w:ind w:firstLine="496" w:firstLineChars="200"/>
        <w:rPr>
          <w:rFonts w:hint="eastAsia" w:ascii="宋体" w:hAnsi="宋体" w:eastAsia="宋体" w:cs="宋体"/>
          <w:spacing w:val="4"/>
          <w:sz w:val="24"/>
          <w:szCs w:val="24"/>
          <w:u w:val="single"/>
        </w:rPr>
      </w:pPr>
      <w:r>
        <w:rPr>
          <w:rFonts w:hint="eastAsia" w:ascii="宋体" w:hAnsi="宋体" w:eastAsia="宋体" w:cs="宋体"/>
          <w:spacing w:val="4"/>
          <w:sz w:val="24"/>
          <w:szCs w:val="24"/>
        </w:rPr>
        <w:t>根据贵方“</w:t>
      </w:r>
      <w:r>
        <w:rPr>
          <w:rFonts w:hint="eastAsia" w:ascii="宋体" w:hAnsi="宋体" w:eastAsia="宋体" w:cs="宋体"/>
          <w:spacing w:val="4"/>
          <w:sz w:val="24"/>
          <w:szCs w:val="24"/>
          <w:u w:val="single"/>
        </w:rPr>
        <w:t xml:space="preserve"> </w:t>
      </w:r>
      <w:r>
        <w:rPr>
          <w:rFonts w:hint="eastAsia" w:ascii="宋体" w:hAnsi="宋体" w:cs="宋体"/>
          <w:spacing w:val="4"/>
          <w:sz w:val="24"/>
          <w:szCs w:val="24"/>
          <w:u w:val="single"/>
          <w:lang w:eastAsia="zh-CN"/>
        </w:rPr>
        <w:t>（</w:t>
      </w:r>
      <w:r>
        <w:rPr>
          <w:rFonts w:hint="eastAsia" w:ascii="宋体" w:hAnsi="宋体" w:cs="宋体"/>
          <w:spacing w:val="4"/>
          <w:sz w:val="24"/>
          <w:szCs w:val="24"/>
          <w:u w:val="single"/>
          <w:lang w:val="en-US" w:eastAsia="zh-CN"/>
        </w:rPr>
        <w:t>项目名称</w:t>
      </w:r>
      <w:r>
        <w:rPr>
          <w:rFonts w:hint="eastAsia" w:ascii="宋体" w:hAnsi="宋体" w:cs="宋体"/>
          <w:spacing w:val="4"/>
          <w:sz w:val="24"/>
          <w:szCs w:val="24"/>
          <w:u w:val="single"/>
          <w:lang w:eastAsia="zh-CN"/>
        </w:rPr>
        <w:t>）</w:t>
      </w:r>
      <w:r>
        <w:rPr>
          <w:rFonts w:hint="eastAsia" w:ascii="宋体" w:hAnsi="宋体" w:eastAsia="宋体" w:cs="宋体"/>
          <w:spacing w:val="4"/>
          <w:sz w:val="24"/>
          <w:szCs w:val="24"/>
        </w:rPr>
        <w:t>”项目的磋商文件</w:t>
      </w:r>
      <w:r>
        <w:rPr>
          <w:rFonts w:hint="eastAsia" w:ascii="宋体" w:hAnsi="宋体" w:eastAsia="宋体" w:cs="宋体"/>
          <w:spacing w:val="4"/>
          <w:sz w:val="24"/>
          <w:szCs w:val="24"/>
          <w:u w:val="single"/>
        </w:rPr>
        <w:t>(编号：      )</w:t>
      </w:r>
      <w:r>
        <w:rPr>
          <w:rFonts w:hint="eastAsia" w:ascii="宋体" w:hAnsi="宋体" w:eastAsia="宋体" w:cs="宋体"/>
          <w:spacing w:val="4"/>
          <w:sz w:val="24"/>
          <w:szCs w:val="24"/>
        </w:rPr>
        <w:t>，签字代表</w:t>
      </w:r>
      <w:r>
        <w:rPr>
          <w:rFonts w:hint="eastAsia" w:ascii="宋体" w:hAnsi="宋体" w:eastAsia="宋体" w:cs="宋体"/>
          <w:spacing w:val="4"/>
          <w:sz w:val="24"/>
          <w:szCs w:val="24"/>
          <w:u w:val="single"/>
        </w:rPr>
        <w:t>（全名、职务）</w:t>
      </w:r>
      <w:r>
        <w:rPr>
          <w:rFonts w:hint="eastAsia" w:ascii="宋体" w:hAnsi="宋体" w:eastAsia="宋体" w:cs="宋体"/>
          <w:spacing w:val="4"/>
          <w:sz w:val="24"/>
          <w:szCs w:val="24"/>
        </w:rPr>
        <w:t>经正式授权并代表供应商</w:t>
      </w:r>
      <w:r>
        <w:rPr>
          <w:rFonts w:hint="eastAsia" w:ascii="宋体" w:hAnsi="宋体" w:eastAsia="宋体" w:cs="宋体"/>
          <w:spacing w:val="4"/>
          <w:sz w:val="24"/>
          <w:szCs w:val="24"/>
          <w:u w:val="single"/>
        </w:rPr>
        <w:t>(供应商名称、地址)</w:t>
      </w:r>
      <w:r>
        <w:rPr>
          <w:rFonts w:hint="eastAsia" w:ascii="宋体" w:hAnsi="宋体" w:eastAsia="宋体" w:cs="宋体"/>
          <w:spacing w:val="4"/>
          <w:sz w:val="24"/>
          <w:szCs w:val="24"/>
        </w:rPr>
        <w:t xml:space="preserve"> 提交竞争性磋商响应文件。。</w:t>
      </w:r>
    </w:p>
    <w:p w14:paraId="295F9BDE">
      <w:pPr>
        <w:spacing w:line="360" w:lineRule="auto"/>
        <w:ind w:left="549" w:leftChars="251" w:hanging="22" w:hangingChars="9"/>
        <w:jc w:val="left"/>
        <w:rPr>
          <w:rFonts w:hint="eastAsia" w:ascii="宋体" w:hAnsi="宋体" w:eastAsia="宋体" w:cs="宋体"/>
          <w:spacing w:val="4"/>
          <w:sz w:val="24"/>
          <w:szCs w:val="24"/>
        </w:rPr>
      </w:pPr>
      <w:r>
        <w:rPr>
          <w:rFonts w:hint="eastAsia" w:ascii="宋体" w:hAnsi="宋体" w:eastAsia="宋体" w:cs="宋体"/>
          <w:spacing w:val="4"/>
          <w:sz w:val="24"/>
          <w:szCs w:val="24"/>
        </w:rPr>
        <w:t>我方承诺如下：</w:t>
      </w:r>
    </w:p>
    <w:p w14:paraId="00905C69">
      <w:pPr>
        <w:tabs>
          <w:tab w:val="left" w:pos="2160"/>
        </w:tabs>
        <w:spacing w:line="360" w:lineRule="auto"/>
        <w:ind w:firstLine="496" w:firstLineChars="200"/>
        <w:jc w:val="left"/>
        <w:rPr>
          <w:rFonts w:hint="eastAsia" w:ascii="宋体" w:hAnsi="宋体" w:eastAsia="宋体" w:cs="宋体"/>
          <w:spacing w:val="4"/>
          <w:sz w:val="24"/>
          <w:szCs w:val="24"/>
        </w:rPr>
      </w:pPr>
      <w:r>
        <w:rPr>
          <w:rFonts w:hint="eastAsia" w:ascii="宋体" w:hAnsi="宋体" w:eastAsia="宋体" w:cs="宋体"/>
          <w:spacing w:val="4"/>
          <w:sz w:val="24"/>
          <w:szCs w:val="24"/>
        </w:rPr>
        <w:t xml:space="preserve">1）磋商总价为 </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（人民币）（用文字和数字表示的磋商总价）。</w:t>
      </w:r>
    </w:p>
    <w:p w14:paraId="09E50577">
      <w:pPr>
        <w:tabs>
          <w:tab w:val="left" w:pos="2160"/>
        </w:tabs>
        <w:spacing w:line="360" w:lineRule="auto"/>
        <w:ind w:firstLine="496" w:firstLineChars="200"/>
        <w:jc w:val="left"/>
        <w:rPr>
          <w:rFonts w:hint="eastAsia" w:ascii="宋体" w:hAnsi="宋体" w:eastAsia="宋体" w:cs="宋体"/>
          <w:spacing w:val="4"/>
          <w:sz w:val="24"/>
          <w:szCs w:val="24"/>
        </w:rPr>
      </w:pPr>
      <w:r>
        <w:rPr>
          <w:rFonts w:hint="eastAsia" w:ascii="宋体" w:hAnsi="宋体" w:eastAsia="宋体" w:cs="宋体"/>
          <w:spacing w:val="4"/>
          <w:sz w:val="24"/>
          <w:szCs w:val="24"/>
        </w:rPr>
        <w:t>2）如果成交，我们根据竞争性磋商文件的规定，履行合同的责任和义务。</w:t>
      </w:r>
    </w:p>
    <w:p w14:paraId="4140CA88">
      <w:pPr>
        <w:tabs>
          <w:tab w:val="left" w:pos="2160"/>
        </w:tabs>
        <w:spacing w:line="360" w:lineRule="auto"/>
        <w:ind w:firstLine="496" w:firstLineChars="200"/>
        <w:jc w:val="left"/>
        <w:rPr>
          <w:rFonts w:hint="eastAsia" w:ascii="宋体" w:hAnsi="宋体" w:eastAsia="宋体" w:cs="宋体"/>
          <w:spacing w:val="4"/>
          <w:sz w:val="24"/>
          <w:szCs w:val="24"/>
        </w:rPr>
      </w:pPr>
      <w:r>
        <w:rPr>
          <w:rFonts w:hint="eastAsia" w:ascii="宋体" w:hAnsi="宋体" w:eastAsia="宋体" w:cs="宋体"/>
          <w:spacing w:val="4"/>
          <w:sz w:val="24"/>
          <w:szCs w:val="24"/>
        </w:rPr>
        <w:t>3）我们已详细阅读和审核全部竞争性磋商文件（含修改部分，如有的话），及有关附件，我们知道必须放弃提出含糊不清或误解的问题的权利。</w:t>
      </w:r>
    </w:p>
    <w:p w14:paraId="119BE219">
      <w:pPr>
        <w:tabs>
          <w:tab w:val="left" w:pos="2160"/>
        </w:tabs>
        <w:spacing w:line="360" w:lineRule="auto"/>
        <w:ind w:firstLine="496" w:firstLineChars="200"/>
        <w:jc w:val="left"/>
        <w:rPr>
          <w:rFonts w:hint="eastAsia" w:ascii="宋体" w:hAnsi="宋体" w:eastAsia="宋体" w:cs="宋体"/>
          <w:spacing w:val="4"/>
          <w:sz w:val="24"/>
          <w:szCs w:val="24"/>
        </w:rPr>
      </w:pPr>
      <w:r>
        <w:rPr>
          <w:rFonts w:hint="eastAsia" w:ascii="宋体" w:hAnsi="宋体" w:eastAsia="宋体" w:cs="宋体"/>
          <w:spacing w:val="4"/>
          <w:sz w:val="24"/>
          <w:szCs w:val="24"/>
        </w:rPr>
        <w:t>4）我们同意在磋商有效期内（</w:t>
      </w:r>
      <w:r>
        <w:rPr>
          <w:rFonts w:hint="eastAsia" w:ascii="宋体" w:hAnsi="宋体" w:eastAsia="宋体" w:cs="宋体"/>
          <w:spacing w:val="4"/>
          <w:sz w:val="24"/>
          <w:szCs w:val="24"/>
          <w:u w:val="single"/>
        </w:rPr>
        <w:t>自磋商之日起    天内</w:t>
      </w:r>
      <w:r>
        <w:rPr>
          <w:rFonts w:hint="eastAsia" w:ascii="宋体" w:hAnsi="宋体" w:eastAsia="宋体" w:cs="宋体"/>
          <w:spacing w:val="4"/>
          <w:sz w:val="24"/>
          <w:szCs w:val="24"/>
        </w:rPr>
        <w:t>），本磋商响应函对我方具有约束力。</w:t>
      </w:r>
    </w:p>
    <w:p w14:paraId="4BF4CD07">
      <w:pPr>
        <w:tabs>
          <w:tab w:val="left" w:pos="2160"/>
        </w:tabs>
        <w:spacing w:line="360" w:lineRule="auto"/>
        <w:ind w:firstLine="496" w:firstLineChars="200"/>
        <w:jc w:val="left"/>
        <w:rPr>
          <w:rFonts w:hint="eastAsia" w:ascii="宋体" w:hAnsi="宋体" w:eastAsia="宋体" w:cs="宋体"/>
          <w:spacing w:val="4"/>
          <w:sz w:val="24"/>
          <w:szCs w:val="24"/>
        </w:rPr>
      </w:pPr>
      <w:r>
        <w:rPr>
          <w:rFonts w:hint="eastAsia" w:ascii="宋体" w:hAnsi="宋体" w:eastAsia="宋体" w:cs="宋体"/>
          <w:spacing w:val="4"/>
          <w:sz w:val="24"/>
          <w:szCs w:val="24"/>
        </w:rPr>
        <w:t>5）如果在磋商后规定的磋商有效期内撤回磋商，我们的磋商保证金可被贵方没收。</w:t>
      </w:r>
    </w:p>
    <w:p w14:paraId="383FE93B">
      <w:pPr>
        <w:tabs>
          <w:tab w:val="left" w:pos="2160"/>
        </w:tabs>
        <w:spacing w:line="360" w:lineRule="auto"/>
        <w:ind w:firstLine="496" w:firstLineChars="200"/>
        <w:jc w:val="left"/>
        <w:rPr>
          <w:rFonts w:hint="eastAsia" w:ascii="宋体" w:hAnsi="宋体" w:eastAsia="宋体" w:cs="宋体"/>
          <w:spacing w:val="4"/>
          <w:sz w:val="24"/>
          <w:szCs w:val="24"/>
        </w:rPr>
      </w:pPr>
      <w:r>
        <w:rPr>
          <w:rFonts w:hint="eastAsia" w:ascii="宋体" w:hAnsi="宋体" w:eastAsia="宋体" w:cs="宋体"/>
          <w:spacing w:val="4"/>
          <w:sz w:val="24"/>
          <w:szCs w:val="24"/>
        </w:rPr>
        <w:t xml:space="preserve">6）同意提供贵方可能另外要求的与本磋商有关的任何证据和资料。 </w:t>
      </w:r>
    </w:p>
    <w:p w14:paraId="48710A7C">
      <w:pPr>
        <w:tabs>
          <w:tab w:val="left" w:pos="2160"/>
        </w:tabs>
        <w:spacing w:line="360" w:lineRule="auto"/>
        <w:ind w:firstLine="496" w:firstLineChars="200"/>
        <w:jc w:val="left"/>
        <w:rPr>
          <w:rFonts w:hint="eastAsia" w:ascii="宋体" w:hAnsi="宋体" w:eastAsia="宋体" w:cs="宋体"/>
          <w:spacing w:val="4"/>
          <w:sz w:val="24"/>
          <w:szCs w:val="24"/>
        </w:rPr>
      </w:pPr>
      <w:r>
        <w:rPr>
          <w:rFonts w:hint="eastAsia" w:ascii="宋体" w:hAnsi="宋体" w:eastAsia="宋体" w:cs="宋体"/>
          <w:spacing w:val="4"/>
          <w:sz w:val="24"/>
          <w:szCs w:val="24"/>
        </w:rPr>
        <w:t>7））与本磋商有关的一切正式往来通讯为：</w:t>
      </w:r>
    </w:p>
    <w:p w14:paraId="2128912F">
      <w:pPr>
        <w:kinsoku w:val="0"/>
        <w:spacing w:line="360" w:lineRule="auto"/>
        <w:ind w:firstLine="840"/>
        <w:rPr>
          <w:rFonts w:hint="eastAsia"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 xml:space="preserve">                                                     </w:t>
      </w:r>
    </w:p>
    <w:p w14:paraId="2003F861">
      <w:pPr>
        <w:kinsoku w:val="0"/>
        <w:spacing w:line="360" w:lineRule="auto"/>
        <w:ind w:firstLine="840"/>
        <w:rPr>
          <w:rFonts w:hint="eastAsia" w:ascii="宋体" w:hAnsi="宋体" w:eastAsia="宋体" w:cs="宋体"/>
          <w:sz w:val="24"/>
          <w:u w:val="single"/>
        </w:rPr>
      </w:pPr>
      <w:r>
        <w:rPr>
          <w:rFonts w:hint="eastAsia" w:ascii="宋体" w:hAnsi="宋体" w:eastAsia="宋体" w:cs="宋体"/>
          <w:sz w:val="24"/>
        </w:rPr>
        <w:t>电    话：</w:t>
      </w:r>
      <w:r>
        <w:rPr>
          <w:rFonts w:hint="eastAsia" w:ascii="宋体" w:hAnsi="宋体" w:eastAsia="宋体" w:cs="宋体"/>
          <w:sz w:val="24"/>
          <w:u w:val="single"/>
        </w:rPr>
        <w:t xml:space="preserve">                                                     </w:t>
      </w:r>
    </w:p>
    <w:p w14:paraId="5C094406">
      <w:pPr>
        <w:kinsoku w:val="0"/>
        <w:spacing w:line="360" w:lineRule="auto"/>
        <w:ind w:firstLine="840"/>
        <w:rPr>
          <w:rFonts w:hint="eastAsia" w:ascii="宋体" w:hAnsi="宋体" w:eastAsia="宋体" w:cs="宋体"/>
          <w:sz w:val="24"/>
          <w:u w:val="single"/>
        </w:rPr>
      </w:pPr>
      <w:r>
        <w:rPr>
          <w:rFonts w:hint="eastAsia" w:ascii="宋体" w:hAnsi="宋体" w:eastAsia="宋体" w:cs="宋体"/>
          <w:sz w:val="24"/>
        </w:rPr>
        <w:t>传    真：</w:t>
      </w:r>
      <w:r>
        <w:rPr>
          <w:rFonts w:hint="eastAsia" w:ascii="宋体" w:hAnsi="宋体" w:eastAsia="宋体" w:cs="宋体"/>
          <w:sz w:val="24"/>
          <w:u w:val="single"/>
        </w:rPr>
        <w:t xml:space="preserve">                                                     </w:t>
      </w:r>
    </w:p>
    <w:p w14:paraId="7486C4A3">
      <w:pPr>
        <w:kinsoku w:val="0"/>
        <w:spacing w:line="360" w:lineRule="auto"/>
        <w:ind w:firstLine="840"/>
        <w:rPr>
          <w:rFonts w:hint="eastAsia" w:ascii="宋体" w:hAnsi="宋体" w:eastAsia="宋体" w:cs="宋体"/>
          <w:sz w:val="24"/>
        </w:rPr>
      </w:pPr>
      <w:r>
        <w:rPr>
          <w:rFonts w:hint="eastAsia" w:ascii="宋体" w:hAnsi="宋体" w:eastAsia="宋体" w:cs="宋体"/>
          <w:sz w:val="24"/>
        </w:rPr>
        <w:t>邮    编：</w:t>
      </w:r>
      <w:r>
        <w:rPr>
          <w:rFonts w:hint="eastAsia" w:ascii="宋体" w:hAnsi="宋体" w:eastAsia="宋体" w:cs="宋体"/>
          <w:sz w:val="24"/>
          <w:u w:val="single"/>
        </w:rPr>
        <w:t xml:space="preserve">                                                     </w:t>
      </w:r>
    </w:p>
    <w:p w14:paraId="787F94D2">
      <w:pPr>
        <w:kinsoku w:val="0"/>
        <w:spacing w:line="360" w:lineRule="auto"/>
        <w:ind w:firstLine="808" w:firstLineChars="337"/>
        <w:rPr>
          <w:rFonts w:hint="eastAsia" w:ascii="宋体" w:hAnsi="宋体" w:eastAsia="宋体" w:cs="宋体"/>
          <w:sz w:val="24"/>
        </w:rPr>
      </w:pPr>
      <w:r>
        <w:rPr>
          <w:rFonts w:hint="eastAsia" w:ascii="宋体" w:hAnsi="宋体" w:eastAsia="宋体" w:cs="宋体"/>
          <w:sz w:val="24"/>
        </w:rPr>
        <w:t>投标单位：全称（公章）</w:t>
      </w:r>
      <w:r>
        <w:rPr>
          <w:rFonts w:hint="eastAsia" w:ascii="宋体" w:hAnsi="宋体" w:eastAsia="宋体" w:cs="宋体"/>
          <w:sz w:val="24"/>
          <w:u w:val="single"/>
        </w:rPr>
        <w:t xml:space="preserve">                                         </w:t>
      </w:r>
    </w:p>
    <w:p w14:paraId="71996407">
      <w:pPr>
        <w:kinsoku w:val="0"/>
        <w:spacing w:line="360" w:lineRule="auto"/>
        <w:ind w:firstLine="808" w:firstLineChars="337"/>
        <w:rPr>
          <w:rFonts w:hint="eastAsia" w:ascii="宋体" w:hAnsi="宋体" w:eastAsia="宋体" w:cs="宋体"/>
          <w:sz w:val="24"/>
          <w:u w:val="single"/>
        </w:rPr>
      </w:pPr>
      <w:r>
        <w:rPr>
          <w:rFonts w:hint="eastAsia" w:ascii="宋体" w:hAnsi="宋体" w:eastAsia="宋体" w:cs="宋体"/>
          <w:sz w:val="24"/>
          <w:lang w:eastAsia="zh-CN"/>
        </w:rPr>
        <w:t>法定代表人</w:t>
      </w:r>
      <w:r>
        <w:rPr>
          <w:rFonts w:hint="eastAsia" w:ascii="宋体" w:hAnsi="宋体" w:eastAsia="宋体" w:cs="宋体"/>
          <w:sz w:val="24"/>
        </w:rPr>
        <w:t>/被授权人（签字）：</w:t>
      </w:r>
      <w:r>
        <w:rPr>
          <w:rFonts w:hint="eastAsia" w:ascii="宋体" w:hAnsi="宋体" w:eastAsia="宋体" w:cs="宋体"/>
          <w:sz w:val="24"/>
          <w:u w:val="single"/>
        </w:rPr>
        <w:t xml:space="preserve">                                   </w:t>
      </w:r>
    </w:p>
    <w:p w14:paraId="477D9C46">
      <w:pPr>
        <w:kinsoku w:val="0"/>
        <w:spacing w:line="360" w:lineRule="auto"/>
        <w:ind w:firstLine="570"/>
        <w:rPr>
          <w:rFonts w:hint="eastAsia" w:ascii="宋体" w:hAnsi="宋体" w:eastAsia="宋体" w:cs="宋体"/>
          <w:sz w:val="24"/>
        </w:rPr>
      </w:pPr>
      <w:r>
        <w:rPr>
          <w:rFonts w:hint="eastAsia" w:ascii="宋体" w:hAnsi="宋体" w:eastAsia="宋体" w:cs="宋体"/>
          <w:sz w:val="24"/>
        </w:rPr>
        <w:t xml:space="preserve">                                                年   月   日</w:t>
      </w:r>
    </w:p>
    <w:p w14:paraId="61D2E3DA">
      <w:pPr>
        <w:pStyle w:val="3"/>
        <w:bidi w:val="0"/>
        <w:spacing w:line="360" w:lineRule="auto"/>
        <w:rPr>
          <w:rFonts w:hint="eastAsia" w:ascii="宋体" w:hAnsi="宋体" w:eastAsia="宋体" w:cs="宋体"/>
          <w:sz w:val="30"/>
          <w:szCs w:val="30"/>
          <w:lang w:eastAsia="zh-CN"/>
        </w:rPr>
      </w:pPr>
      <w:r>
        <w:rPr>
          <w:rFonts w:hint="eastAsia" w:ascii="宋体" w:hAnsi="宋体" w:eastAsia="宋体" w:cs="宋体"/>
        </w:rPr>
        <w:br w:type="page"/>
      </w:r>
      <w:bookmarkStart w:id="265" w:name="_Toc8727"/>
      <w:bookmarkStart w:id="266" w:name="_Toc15584"/>
      <w:bookmarkStart w:id="267" w:name="_Toc18764"/>
      <w:bookmarkStart w:id="268" w:name="_Toc403077649"/>
      <w:bookmarkStart w:id="269" w:name="_Toc363474028"/>
      <w:r>
        <w:rPr>
          <w:rFonts w:hint="eastAsia" w:ascii="宋体" w:hAnsi="宋体" w:eastAsia="宋体" w:cs="宋体"/>
          <w:b/>
          <w:bCs w:val="0"/>
          <w:kern w:val="2"/>
          <w:sz w:val="32"/>
          <w:szCs w:val="32"/>
          <w:lang w:val="en-US" w:eastAsia="zh-CN" w:bidi="ar-SA"/>
        </w:rPr>
        <w:t>二、磋商</w:t>
      </w:r>
      <w:r>
        <w:rPr>
          <w:rStyle w:val="74"/>
          <w:rFonts w:hint="eastAsia"/>
          <w:b/>
          <w:bCs/>
          <w:lang w:val="en-US" w:eastAsia="zh-CN"/>
        </w:rPr>
        <w:t>报</w:t>
      </w:r>
      <w:r>
        <w:rPr>
          <w:rFonts w:hint="eastAsia" w:ascii="宋体" w:hAnsi="宋体" w:eastAsia="宋体" w:cs="宋体"/>
          <w:b/>
          <w:bCs w:val="0"/>
          <w:kern w:val="2"/>
          <w:sz w:val="32"/>
          <w:szCs w:val="32"/>
          <w:lang w:val="en-US" w:eastAsia="zh-CN" w:bidi="ar-SA"/>
        </w:rPr>
        <w:t>价一览表</w:t>
      </w:r>
      <w:bookmarkEnd w:id="265"/>
      <w:bookmarkEnd w:id="266"/>
    </w:p>
    <w:tbl>
      <w:tblPr>
        <w:tblStyle w:val="25"/>
        <w:tblW w:w="92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48"/>
        <w:gridCol w:w="6263"/>
      </w:tblGrid>
      <w:tr w14:paraId="5B595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21" w:hRule="atLeast"/>
          <w:jc w:val="center"/>
        </w:trPr>
        <w:tc>
          <w:tcPr>
            <w:tcW w:w="2948" w:type="dxa"/>
            <w:tcBorders>
              <w:top w:val="double" w:color="000000" w:sz="4" w:space="0"/>
              <w:left w:val="double" w:color="000000" w:sz="4" w:space="0"/>
              <w:bottom w:val="single" w:color="000000" w:sz="4" w:space="0"/>
              <w:right w:val="single" w:color="000000" w:sz="4" w:space="0"/>
            </w:tcBorders>
            <w:vAlign w:val="center"/>
          </w:tcPr>
          <w:p w14:paraId="5B122873">
            <w:pPr>
              <w:spacing w:line="360" w:lineRule="auto"/>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eastAsia="zh-CN"/>
              </w:rPr>
              <w:t>项目名称</w:t>
            </w:r>
          </w:p>
        </w:tc>
        <w:tc>
          <w:tcPr>
            <w:tcW w:w="6263" w:type="dxa"/>
            <w:tcBorders>
              <w:top w:val="double" w:color="000000" w:sz="4" w:space="0"/>
              <w:left w:val="single" w:color="000000" w:sz="4" w:space="0"/>
              <w:bottom w:val="single" w:color="000000" w:sz="4" w:space="0"/>
              <w:right w:val="double" w:color="000000" w:sz="4" w:space="0"/>
            </w:tcBorders>
            <w:vAlign w:val="center"/>
          </w:tcPr>
          <w:p w14:paraId="282D02CD">
            <w:pPr>
              <w:spacing w:line="360" w:lineRule="auto"/>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      </w:t>
            </w:r>
          </w:p>
        </w:tc>
      </w:tr>
      <w:tr w14:paraId="7D81C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04" w:hRule="atLeast"/>
          <w:jc w:val="center"/>
        </w:trPr>
        <w:tc>
          <w:tcPr>
            <w:tcW w:w="2948" w:type="dxa"/>
            <w:tcBorders>
              <w:top w:val="single" w:color="000000" w:sz="4" w:space="0"/>
              <w:left w:val="double" w:color="000000" w:sz="4" w:space="0"/>
              <w:bottom w:val="single" w:color="000000" w:sz="4" w:space="0"/>
              <w:right w:val="single" w:color="000000" w:sz="4" w:space="0"/>
            </w:tcBorders>
            <w:vAlign w:val="center"/>
          </w:tcPr>
          <w:p w14:paraId="28299C0F">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lang w:eastAsia="zh-CN"/>
              </w:rPr>
              <w:t>项目编号</w:t>
            </w:r>
          </w:p>
        </w:tc>
        <w:tc>
          <w:tcPr>
            <w:tcW w:w="6263" w:type="dxa"/>
            <w:tcBorders>
              <w:top w:val="single" w:color="000000" w:sz="4" w:space="0"/>
              <w:left w:val="single" w:color="000000" w:sz="4" w:space="0"/>
              <w:bottom w:val="single" w:color="000000" w:sz="4" w:space="0"/>
              <w:right w:val="double" w:color="000000" w:sz="4" w:space="0"/>
            </w:tcBorders>
            <w:vAlign w:val="center"/>
          </w:tcPr>
          <w:p w14:paraId="4CA422A9">
            <w:pPr>
              <w:widowControl/>
              <w:spacing w:line="360" w:lineRule="auto"/>
              <w:jc w:val="center"/>
              <w:rPr>
                <w:rFonts w:hint="eastAsia" w:ascii="宋体" w:hAnsi="宋体" w:eastAsia="宋体" w:cs="宋体"/>
                <w:b/>
                <w:bCs/>
                <w:kern w:val="0"/>
                <w:sz w:val="24"/>
                <w:szCs w:val="24"/>
                <w:lang w:eastAsia="zh-CN"/>
              </w:rPr>
            </w:pPr>
          </w:p>
        </w:tc>
      </w:tr>
      <w:tr w14:paraId="02C14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04" w:hRule="atLeast"/>
          <w:jc w:val="center"/>
        </w:trPr>
        <w:tc>
          <w:tcPr>
            <w:tcW w:w="2948" w:type="dxa"/>
            <w:tcBorders>
              <w:top w:val="single" w:color="000000" w:sz="4" w:space="0"/>
              <w:left w:val="double" w:color="000000" w:sz="4" w:space="0"/>
              <w:bottom w:val="single" w:color="000000" w:sz="4" w:space="0"/>
              <w:right w:val="single" w:color="000000" w:sz="4" w:space="0"/>
            </w:tcBorders>
            <w:vAlign w:val="center"/>
          </w:tcPr>
          <w:p w14:paraId="6007D3DC">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供 应 商</w:t>
            </w:r>
          </w:p>
          <w:p w14:paraId="6DEA1D76">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（公司名称）</w:t>
            </w:r>
          </w:p>
        </w:tc>
        <w:tc>
          <w:tcPr>
            <w:tcW w:w="6263" w:type="dxa"/>
            <w:tcBorders>
              <w:top w:val="single" w:color="000000" w:sz="4" w:space="0"/>
              <w:left w:val="single" w:color="000000" w:sz="4" w:space="0"/>
              <w:bottom w:val="single" w:color="000000" w:sz="4" w:space="0"/>
              <w:right w:val="double" w:color="000000" w:sz="4" w:space="0"/>
            </w:tcBorders>
            <w:vAlign w:val="center"/>
          </w:tcPr>
          <w:p w14:paraId="372163C1">
            <w:pPr>
              <w:spacing w:line="360" w:lineRule="auto"/>
              <w:rPr>
                <w:rFonts w:hint="eastAsia" w:ascii="宋体" w:hAnsi="宋体" w:eastAsia="宋体" w:cs="宋体"/>
                <w:sz w:val="24"/>
                <w:szCs w:val="24"/>
              </w:rPr>
            </w:pPr>
          </w:p>
        </w:tc>
      </w:tr>
      <w:tr w14:paraId="65575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689" w:hRule="atLeast"/>
          <w:jc w:val="center"/>
        </w:trPr>
        <w:tc>
          <w:tcPr>
            <w:tcW w:w="2948" w:type="dxa"/>
            <w:tcBorders>
              <w:top w:val="single" w:color="000000" w:sz="4" w:space="0"/>
              <w:left w:val="double" w:color="000000" w:sz="4" w:space="0"/>
              <w:bottom w:val="single" w:color="000000" w:sz="4" w:space="0"/>
              <w:right w:val="single" w:color="000000" w:sz="4" w:space="0"/>
            </w:tcBorders>
            <w:vAlign w:val="center"/>
          </w:tcPr>
          <w:p w14:paraId="664D5DF7">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lang w:eastAsia="zh-CN"/>
              </w:rPr>
              <w:t>磋商</w:t>
            </w:r>
            <w:r>
              <w:rPr>
                <w:rFonts w:hint="eastAsia" w:ascii="宋体" w:hAnsi="宋体" w:eastAsia="宋体" w:cs="宋体"/>
                <w:b/>
                <w:bCs/>
                <w:sz w:val="24"/>
                <w:szCs w:val="24"/>
              </w:rPr>
              <w:t>报价</w:t>
            </w:r>
          </w:p>
          <w:p w14:paraId="36E848F6">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（人民币）</w:t>
            </w:r>
          </w:p>
        </w:tc>
        <w:tc>
          <w:tcPr>
            <w:tcW w:w="6263" w:type="dxa"/>
            <w:tcBorders>
              <w:top w:val="single" w:color="000000" w:sz="4" w:space="0"/>
              <w:left w:val="single" w:color="000000" w:sz="4" w:space="0"/>
              <w:bottom w:val="single" w:color="000000" w:sz="4" w:space="0"/>
              <w:right w:val="double" w:color="000000" w:sz="4" w:space="0"/>
            </w:tcBorders>
            <w:vAlign w:val="center"/>
          </w:tcPr>
          <w:p w14:paraId="58E8395E">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小写金额：</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p>
          <w:p w14:paraId="5A442EF3">
            <w:pPr>
              <w:spacing w:line="360" w:lineRule="auto"/>
              <w:rPr>
                <w:rFonts w:hint="eastAsia" w:ascii="宋体" w:hAnsi="宋体" w:eastAsia="宋体" w:cs="宋体"/>
                <w:b/>
                <w:bCs/>
                <w:sz w:val="24"/>
                <w:szCs w:val="24"/>
              </w:rPr>
            </w:pPr>
          </w:p>
          <w:p w14:paraId="65915800">
            <w:pPr>
              <w:spacing w:line="360" w:lineRule="auto"/>
              <w:rPr>
                <w:rFonts w:hint="eastAsia" w:ascii="宋体" w:hAnsi="宋体" w:eastAsia="宋体" w:cs="宋体"/>
                <w:sz w:val="24"/>
                <w:szCs w:val="24"/>
              </w:rPr>
            </w:pPr>
            <w:r>
              <w:rPr>
                <w:rFonts w:hint="eastAsia" w:ascii="宋体" w:hAnsi="宋体" w:eastAsia="宋体" w:cs="宋体"/>
                <w:b/>
                <w:bCs/>
                <w:sz w:val="24"/>
                <w:szCs w:val="24"/>
              </w:rPr>
              <w:t>大写金额：</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p>
        </w:tc>
      </w:tr>
      <w:tr w14:paraId="2C9E0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74" w:hRule="atLeast"/>
          <w:jc w:val="center"/>
        </w:trPr>
        <w:tc>
          <w:tcPr>
            <w:tcW w:w="2948" w:type="dxa"/>
            <w:tcBorders>
              <w:top w:val="single" w:color="000000" w:sz="4" w:space="0"/>
              <w:left w:val="double" w:color="000000" w:sz="4" w:space="0"/>
              <w:bottom w:val="single" w:color="000000" w:sz="4" w:space="0"/>
              <w:right w:val="single" w:color="000000" w:sz="4" w:space="0"/>
            </w:tcBorders>
            <w:vAlign w:val="center"/>
          </w:tcPr>
          <w:p w14:paraId="255A9E6B">
            <w:pPr>
              <w:spacing w:line="360" w:lineRule="auto"/>
              <w:jc w:val="center"/>
              <w:rPr>
                <w:rFonts w:hint="eastAsia" w:ascii="宋体" w:hAnsi="宋体" w:eastAsia="宋体" w:cs="宋体"/>
                <w:b/>
                <w:bCs/>
                <w:sz w:val="24"/>
                <w:szCs w:val="24"/>
              </w:rPr>
            </w:pPr>
            <w:r>
              <w:rPr>
                <w:rFonts w:hint="eastAsia" w:ascii="宋体" w:hAnsi="宋体" w:eastAsia="宋体" w:cs="宋体"/>
                <w:b/>
                <w:bCs/>
                <w:sz w:val="24"/>
                <w:lang w:val="en-US" w:eastAsia="zh-CN"/>
              </w:rPr>
              <w:t>服务期</w:t>
            </w:r>
          </w:p>
        </w:tc>
        <w:tc>
          <w:tcPr>
            <w:tcW w:w="6263" w:type="dxa"/>
            <w:tcBorders>
              <w:top w:val="single" w:color="000000" w:sz="4" w:space="0"/>
              <w:left w:val="single" w:color="000000" w:sz="4" w:space="0"/>
              <w:bottom w:val="single" w:color="000000" w:sz="4" w:space="0"/>
              <w:right w:val="double" w:color="000000" w:sz="4" w:space="0"/>
            </w:tcBorders>
            <w:vAlign w:val="center"/>
          </w:tcPr>
          <w:p w14:paraId="489E63D7">
            <w:pPr>
              <w:spacing w:line="360" w:lineRule="auto"/>
              <w:rPr>
                <w:rFonts w:hint="eastAsia" w:ascii="宋体" w:hAnsi="宋体" w:eastAsia="宋体" w:cs="宋体"/>
                <w:sz w:val="24"/>
                <w:szCs w:val="24"/>
              </w:rPr>
            </w:pPr>
          </w:p>
        </w:tc>
      </w:tr>
      <w:tr w14:paraId="1850E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96" w:hRule="atLeast"/>
          <w:jc w:val="center"/>
        </w:trPr>
        <w:tc>
          <w:tcPr>
            <w:tcW w:w="2948" w:type="dxa"/>
            <w:tcBorders>
              <w:top w:val="single" w:color="000000" w:sz="4" w:space="0"/>
              <w:left w:val="double" w:color="000000" w:sz="4" w:space="0"/>
              <w:bottom w:val="double" w:color="000000" w:sz="4" w:space="0"/>
              <w:right w:val="single" w:color="000000" w:sz="4" w:space="0"/>
            </w:tcBorders>
            <w:vAlign w:val="center"/>
          </w:tcPr>
          <w:p w14:paraId="53F76A83">
            <w:pPr>
              <w:spacing w:line="360" w:lineRule="auto"/>
              <w:jc w:val="center"/>
              <w:rPr>
                <w:rFonts w:hint="eastAsia" w:ascii="宋体" w:hAnsi="宋体" w:eastAsia="宋体" w:cs="宋体"/>
                <w:b/>
                <w:bCs/>
                <w:sz w:val="24"/>
              </w:rPr>
            </w:pPr>
            <w:r>
              <w:rPr>
                <w:rFonts w:hint="eastAsia" w:ascii="宋体" w:hAnsi="宋体" w:eastAsia="宋体" w:cs="宋体"/>
                <w:b/>
                <w:bCs/>
                <w:sz w:val="24"/>
              </w:rPr>
              <w:t>投标声明</w:t>
            </w:r>
          </w:p>
        </w:tc>
        <w:tc>
          <w:tcPr>
            <w:tcW w:w="6263" w:type="dxa"/>
            <w:tcBorders>
              <w:top w:val="single" w:color="000000" w:sz="4" w:space="0"/>
              <w:left w:val="single" w:color="000000" w:sz="4" w:space="0"/>
              <w:bottom w:val="double" w:color="000000" w:sz="4" w:space="0"/>
              <w:right w:val="double" w:color="000000" w:sz="4" w:space="0"/>
            </w:tcBorders>
            <w:vAlign w:val="center"/>
          </w:tcPr>
          <w:p w14:paraId="35B7AA2B">
            <w:pPr>
              <w:spacing w:line="360" w:lineRule="auto"/>
              <w:rPr>
                <w:rFonts w:hint="eastAsia" w:ascii="宋体" w:hAnsi="宋体" w:eastAsia="宋体" w:cs="宋体"/>
                <w:sz w:val="24"/>
                <w:szCs w:val="24"/>
              </w:rPr>
            </w:pPr>
          </w:p>
        </w:tc>
      </w:tr>
    </w:tbl>
    <w:p w14:paraId="7CDEE01C">
      <w:pPr>
        <w:spacing w:line="360" w:lineRule="auto"/>
        <w:rPr>
          <w:rFonts w:hint="eastAsia" w:ascii="宋体" w:hAnsi="宋体" w:eastAsia="宋体" w:cs="宋体"/>
          <w:sz w:val="24"/>
          <w:szCs w:val="24"/>
        </w:rPr>
      </w:pPr>
    </w:p>
    <w:p w14:paraId="6B1E5368">
      <w:pPr>
        <w:spacing w:line="360" w:lineRule="auto"/>
        <w:ind w:right="540" w:rightChars="257"/>
        <w:jc w:val="left"/>
        <w:rPr>
          <w:rFonts w:hint="eastAsia" w:ascii="宋体" w:hAnsi="宋体" w:eastAsia="宋体" w:cs="宋体"/>
        </w:rPr>
      </w:pPr>
    </w:p>
    <w:p w14:paraId="13C4E99A">
      <w:pPr>
        <w:spacing w:line="360" w:lineRule="auto"/>
        <w:ind w:right="-161" w:firstLine="2640" w:firstLineChars="1100"/>
        <w:rPr>
          <w:rFonts w:hint="eastAsia" w:ascii="宋体" w:hAnsi="宋体" w:eastAsia="宋体" w:cs="宋体"/>
          <w:sz w:val="24"/>
          <w:szCs w:val="24"/>
        </w:rPr>
      </w:pPr>
    </w:p>
    <w:p w14:paraId="404DDFA9">
      <w:pPr>
        <w:pStyle w:val="9"/>
        <w:spacing w:line="360" w:lineRule="auto"/>
        <w:rPr>
          <w:rFonts w:hint="eastAsia" w:ascii="宋体" w:hAnsi="宋体" w:eastAsia="宋体" w:cs="宋体"/>
        </w:rPr>
      </w:pPr>
    </w:p>
    <w:p w14:paraId="46C6A8DB">
      <w:pPr>
        <w:spacing w:line="360" w:lineRule="auto"/>
        <w:ind w:right="-161" w:firstLine="2640" w:firstLineChars="1100"/>
        <w:rPr>
          <w:rFonts w:hint="eastAsia" w:ascii="宋体" w:hAnsi="宋体" w:eastAsia="宋体" w:cs="宋体"/>
          <w:sz w:val="24"/>
          <w:szCs w:val="24"/>
        </w:rPr>
      </w:pPr>
    </w:p>
    <w:p w14:paraId="600F3106">
      <w:pPr>
        <w:spacing w:line="360" w:lineRule="auto"/>
        <w:ind w:right="-161" w:firstLine="2640" w:firstLineChars="1100"/>
        <w:rPr>
          <w:rFonts w:hint="eastAsia" w:ascii="宋体" w:hAnsi="宋体" w:eastAsia="宋体" w:cs="宋体"/>
          <w:sz w:val="24"/>
          <w:szCs w:val="24"/>
          <w:u w:val="single"/>
        </w:rPr>
      </w:pPr>
      <w:r>
        <w:rPr>
          <w:rFonts w:hint="eastAsia" w:ascii="宋体" w:hAnsi="宋体" w:eastAsia="宋体" w:cs="宋体"/>
          <w:sz w:val="24"/>
          <w:szCs w:val="24"/>
        </w:rPr>
        <w:t>法人代表或被授权代表签字：</w:t>
      </w:r>
      <w:r>
        <w:rPr>
          <w:rFonts w:hint="eastAsia" w:ascii="宋体" w:hAnsi="宋体" w:eastAsia="宋体" w:cs="宋体"/>
          <w:sz w:val="24"/>
          <w:szCs w:val="24"/>
          <w:u w:val="single"/>
        </w:rPr>
        <w:t xml:space="preserve">                      </w:t>
      </w:r>
    </w:p>
    <w:p w14:paraId="6FF0B6CF">
      <w:pPr>
        <w:spacing w:line="360" w:lineRule="auto"/>
        <w:ind w:right="-161" w:firstLine="2640" w:firstLineChars="1100"/>
        <w:rPr>
          <w:rFonts w:hint="eastAsia" w:ascii="宋体" w:hAnsi="宋体" w:eastAsia="宋体" w:cs="宋体"/>
          <w:sz w:val="24"/>
          <w:szCs w:val="24"/>
          <w:u w:val="single"/>
        </w:rPr>
      </w:pPr>
      <w:r>
        <w:rPr>
          <w:rFonts w:hint="eastAsia" w:ascii="宋体" w:hAnsi="宋体" w:eastAsia="宋体" w:cs="宋体"/>
          <w:sz w:val="24"/>
          <w:szCs w:val="24"/>
        </w:rPr>
        <w:t>投   标   人  公  章：</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2C3C0F70">
      <w:pPr>
        <w:spacing w:line="360" w:lineRule="auto"/>
        <w:ind w:right="-161" w:firstLine="2640" w:firstLineChars="1100"/>
        <w:rPr>
          <w:rFonts w:hint="eastAsia" w:ascii="宋体" w:hAnsi="宋体" w:eastAsia="宋体" w:cs="宋体"/>
          <w:sz w:val="24"/>
          <w:szCs w:val="24"/>
          <w:u w:val="single"/>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03752625">
      <w:pPr>
        <w:snapToGrid w:val="0"/>
        <w:spacing w:line="360" w:lineRule="auto"/>
        <w:jc w:val="both"/>
        <w:rPr>
          <w:rFonts w:hint="eastAsia" w:ascii="宋体" w:hAnsi="宋体" w:eastAsia="宋体" w:cs="宋体"/>
          <w:b/>
          <w:sz w:val="32"/>
          <w:szCs w:val="32"/>
        </w:rPr>
      </w:pPr>
    </w:p>
    <w:p w14:paraId="6B3FF2C8">
      <w:pPr>
        <w:snapToGrid w:val="0"/>
        <w:spacing w:line="360" w:lineRule="auto"/>
        <w:jc w:val="center"/>
        <w:rPr>
          <w:rFonts w:hint="eastAsia" w:ascii="宋体" w:hAnsi="宋体" w:eastAsia="宋体" w:cs="宋体"/>
          <w:b/>
          <w:sz w:val="32"/>
          <w:szCs w:val="32"/>
        </w:rPr>
      </w:pPr>
    </w:p>
    <w:p w14:paraId="28CE213F">
      <w:pPr>
        <w:bidi w:val="0"/>
        <w:spacing w:line="360" w:lineRule="auto"/>
        <w:rPr>
          <w:rFonts w:hint="eastAsia"/>
        </w:rPr>
      </w:pPr>
    </w:p>
    <w:p w14:paraId="4384077F">
      <w:pPr>
        <w:pStyle w:val="3"/>
        <w:bidi w:val="0"/>
        <w:spacing w:line="360" w:lineRule="auto"/>
        <w:rPr>
          <w:rFonts w:hint="eastAsia"/>
          <w:lang w:val="en-US" w:eastAsia="zh-CN"/>
        </w:rPr>
        <w:sectPr>
          <w:pgSz w:w="11906" w:h="16838"/>
          <w:pgMar w:top="1440" w:right="1531" w:bottom="1440" w:left="1531" w:header="720" w:footer="720" w:gutter="0"/>
          <w:pgNumType w:fmt="decimal"/>
          <w:cols w:space="720" w:num="1"/>
          <w:docGrid w:type="lines" w:linePitch="312" w:charSpace="0"/>
        </w:sectPr>
      </w:pPr>
      <w:bookmarkStart w:id="270" w:name="_Toc9520"/>
      <w:bookmarkStart w:id="271" w:name="_Toc15852"/>
      <w:bookmarkStart w:id="272" w:name="_Toc16985"/>
      <w:bookmarkStart w:id="273" w:name="_Toc22642"/>
      <w:bookmarkStart w:id="274" w:name="_Toc5336"/>
      <w:bookmarkStart w:id="275" w:name="_Toc8758"/>
      <w:bookmarkStart w:id="276" w:name="_Toc15215"/>
      <w:bookmarkStart w:id="277" w:name="_Toc465958140"/>
      <w:bookmarkStart w:id="278" w:name="_Toc10135"/>
      <w:bookmarkStart w:id="279" w:name="_Toc17106"/>
      <w:bookmarkStart w:id="280" w:name="_Toc462325844"/>
      <w:bookmarkStart w:id="281" w:name="_Toc27985"/>
    </w:p>
    <w:p w14:paraId="1961449E">
      <w:pPr>
        <w:pStyle w:val="3"/>
        <w:bidi w:val="0"/>
        <w:spacing w:line="360" w:lineRule="auto"/>
        <w:rPr>
          <w:rFonts w:hint="eastAsia"/>
        </w:rPr>
      </w:pPr>
      <w:bookmarkStart w:id="282" w:name="_Toc6186"/>
      <w:bookmarkStart w:id="283" w:name="_Toc11555"/>
      <w:r>
        <w:rPr>
          <w:rFonts w:hint="eastAsia"/>
          <w:lang w:val="en-US" w:eastAsia="zh-CN"/>
        </w:rPr>
        <w:t>三、</w:t>
      </w:r>
      <w:r>
        <w:rPr>
          <w:rFonts w:hint="eastAsia"/>
        </w:rPr>
        <w:t>资格证明文件</w:t>
      </w:r>
      <w:bookmarkEnd w:id="270"/>
      <w:bookmarkEnd w:id="271"/>
      <w:bookmarkEnd w:id="272"/>
      <w:bookmarkEnd w:id="273"/>
      <w:bookmarkEnd w:id="274"/>
      <w:bookmarkEnd w:id="275"/>
      <w:bookmarkEnd w:id="276"/>
      <w:bookmarkEnd w:id="277"/>
      <w:bookmarkEnd w:id="278"/>
      <w:bookmarkEnd w:id="279"/>
      <w:bookmarkEnd w:id="282"/>
      <w:bookmarkEnd w:id="283"/>
    </w:p>
    <w:p w14:paraId="30396BFF">
      <w:pPr>
        <w:spacing w:line="360" w:lineRule="auto"/>
        <w:ind w:firstLine="482" w:firstLineChars="200"/>
        <w:rPr>
          <w:b/>
          <w:bCs/>
          <w:color w:val="auto"/>
        </w:rPr>
      </w:pPr>
      <w:r>
        <w:rPr>
          <w:rFonts w:hint="eastAsia" w:ascii="宋体" w:hAnsi="宋体" w:cs="宋体"/>
          <w:b/>
          <w:bCs/>
          <w:color w:val="auto"/>
          <w:sz w:val="24"/>
          <w:szCs w:val="24"/>
          <w:lang w:val="en-US" w:eastAsia="zh-CN"/>
        </w:rPr>
        <w:t>竞争性磋商</w:t>
      </w:r>
      <w:r>
        <w:rPr>
          <w:rFonts w:hint="eastAsia" w:ascii="宋体" w:hAnsi="宋体" w:cs="宋体"/>
          <w:b/>
          <w:bCs/>
          <w:color w:val="auto"/>
          <w:sz w:val="24"/>
          <w:szCs w:val="24"/>
        </w:rPr>
        <w:t>响应文件中附以下资质证明文件加盖公章。</w:t>
      </w:r>
    </w:p>
    <w:p w14:paraId="16FD227C">
      <w:pPr>
        <w:spacing w:line="360" w:lineRule="auto"/>
        <w:ind w:firstLine="720" w:firstLineChars="300"/>
        <w:rPr>
          <w:rFonts w:ascii="宋体" w:hAnsi="宋体" w:cs="仿宋_GB2312"/>
          <w:bCs/>
          <w:color w:val="auto"/>
          <w:kern w:val="0"/>
          <w:sz w:val="24"/>
          <w:szCs w:val="24"/>
        </w:rPr>
      </w:pPr>
      <w:r>
        <w:rPr>
          <w:rFonts w:hint="eastAsia" w:ascii="宋体" w:hAnsi="宋体" w:cs="宋体"/>
          <w:color w:val="auto"/>
          <w:kern w:val="0"/>
          <w:sz w:val="24"/>
          <w:szCs w:val="24"/>
        </w:rPr>
        <w:t>1、供应商为本项目提供的资格证明要求见供应商须知前附表；</w:t>
      </w:r>
    </w:p>
    <w:p w14:paraId="5813CB61">
      <w:pPr>
        <w:spacing w:line="360" w:lineRule="auto"/>
        <w:ind w:firstLine="720" w:firstLineChars="300"/>
        <w:rPr>
          <w:rFonts w:ascii="宋体" w:hAnsi="宋体" w:cs="仿宋_GB2312"/>
          <w:bCs/>
          <w:color w:val="auto"/>
          <w:kern w:val="0"/>
          <w:sz w:val="24"/>
          <w:szCs w:val="24"/>
        </w:rPr>
      </w:pPr>
      <w:r>
        <w:rPr>
          <w:rFonts w:hint="eastAsia" w:ascii="宋体" w:hAnsi="宋体" w:cs="仿宋_GB2312"/>
          <w:bCs/>
          <w:color w:val="auto"/>
          <w:kern w:val="0"/>
          <w:sz w:val="24"/>
          <w:szCs w:val="24"/>
        </w:rPr>
        <w:t>2、供应商按照</w:t>
      </w:r>
      <w:r>
        <w:rPr>
          <w:rFonts w:hint="eastAsia" w:ascii="宋体" w:hAnsi="宋体" w:cs="仿宋_GB2312"/>
          <w:bCs/>
          <w:color w:val="auto"/>
          <w:kern w:val="0"/>
          <w:sz w:val="24"/>
          <w:szCs w:val="24"/>
          <w:lang w:val="en-US" w:eastAsia="zh-CN"/>
        </w:rPr>
        <w:t>竞争性磋商</w:t>
      </w:r>
      <w:r>
        <w:rPr>
          <w:rFonts w:hint="eastAsia" w:ascii="宋体" w:hAnsi="宋体" w:cs="仿宋_GB2312"/>
          <w:bCs/>
          <w:color w:val="auto"/>
          <w:kern w:val="0"/>
          <w:sz w:val="24"/>
          <w:szCs w:val="24"/>
        </w:rPr>
        <w:t>要求提供本项目所需要的其他资质证明材料。</w:t>
      </w:r>
    </w:p>
    <w:p w14:paraId="5740A1DE">
      <w:pPr>
        <w:spacing w:line="360" w:lineRule="auto"/>
        <w:ind w:firstLine="720" w:firstLineChars="300"/>
        <w:rPr>
          <w:rFonts w:hint="eastAsia" w:ascii="宋体" w:hAnsi="宋体" w:cs="仿宋_GB2312"/>
          <w:bCs/>
          <w:color w:val="auto"/>
          <w:kern w:val="0"/>
          <w:sz w:val="24"/>
          <w:szCs w:val="24"/>
          <w:lang w:val="en-US" w:eastAsia="zh-CN"/>
        </w:rPr>
        <w:sectPr>
          <w:pgSz w:w="11906" w:h="16838"/>
          <w:pgMar w:top="1440" w:right="1531" w:bottom="1440" w:left="1531" w:header="720" w:footer="720" w:gutter="0"/>
          <w:pgNumType w:fmt="decimal"/>
          <w:cols w:space="720" w:num="1"/>
          <w:docGrid w:type="lines" w:linePitch="312" w:charSpace="0"/>
        </w:sectPr>
      </w:pPr>
      <w:r>
        <w:rPr>
          <w:rFonts w:hint="eastAsia" w:ascii="宋体" w:hAnsi="宋体" w:cs="仿宋_GB2312"/>
          <w:bCs/>
          <w:color w:val="auto"/>
          <w:kern w:val="0"/>
          <w:sz w:val="24"/>
          <w:szCs w:val="24"/>
        </w:rPr>
        <w:t>3、其他可以证明供应商实力的文</w:t>
      </w:r>
      <w:r>
        <w:rPr>
          <w:rFonts w:hint="eastAsia" w:ascii="宋体" w:hAnsi="宋体" w:cs="仿宋_GB2312"/>
          <w:bCs/>
          <w:color w:val="auto"/>
          <w:kern w:val="0"/>
          <w:sz w:val="24"/>
          <w:szCs w:val="24"/>
          <w:lang w:val="en-US" w:eastAsia="zh-CN"/>
        </w:rPr>
        <w:t>件。</w:t>
      </w:r>
    </w:p>
    <w:p w14:paraId="4821999A">
      <w:pPr>
        <w:pStyle w:val="3"/>
        <w:bidi w:val="0"/>
        <w:spacing w:line="360" w:lineRule="auto"/>
        <w:rPr>
          <w:rFonts w:hint="eastAsia"/>
          <w:lang w:val="en-US" w:eastAsia="zh-CN"/>
        </w:rPr>
      </w:pPr>
      <w:bookmarkStart w:id="284" w:name="_Toc23932"/>
      <w:bookmarkStart w:id="285" w:name="_Toc5927"/>
      <w:r>
        <w:rPr>
          <w:rFonts w:hint="eastAsia"/>
          <w:lang w:val="en-US" w:eastAsia="zh-CN"/>
        </w:rPr>
        <w:t>四、供应商概况</w:t>
      </w:r>
      <w:bookmarkEnd w:id="284"/>
      <w:bookmarkEnd w:id="285"/>
    </w:p>
    <w:tbl>
      <w:tblPr>
        <w:tblStyle w:val="25"/>
        <w:tblW w:w="94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3"/>
        <w:gridCol w:w="989"/>
        <w:gridCol w:w="2434"/>
        <w:gridCol w:w="2070"/>
        <w:gridCol w:w="2043"/>
      </w:tblGrid>
      <w:tr w14:paraId="28008A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5" w:hRule="atLeast"/>
          <w:jc w:val="center"/>
        </w:trPr>
        <w:tc>
          <w:tcPr>
            <w:tcW w:w="1903" w:type="dxa"/>
            <w:tcBorders>
              <w:top w:val="single" w:color="auto" w:sz="4" w:space="0"/>
              <w:left w:val="single" w:color="auto" w:sz="4" w:space="0"/>
              <w:bottom w:val="single" w:color="auto" w:sz="4" w:space="0"/>
              <w:right w:val="single" w:color="auto" w:sz="4" w:space="0"/>
            </w:tcBorders>
            <w:noWrap w:val="0"/>
            <w:vAlign w:val="center"/>
          </w:tcPr>
          <w:p w14:paraId="012F76FD">
            <w:pPr>
              <w:topLinePunct/>
              <w:spacing w:line="360" w:lineRule="auto"/>
              <w:jc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申请人</w:t>
            </w:r>
          </w:p>
        </w:tc>
        <w:tc>
          <w:tcPr>
            <w:tcW w:w="7536" w:type="dxa"/>
            <w:gridSpan w:val="4"/>
            <w:tcBorders>
              <w:top w:val="single" w:color="auto" w:sz="4" w:space="0"/>
              <w:left w:val="single" w:color="auto" w:sz="4" w:space="0"/>
              <w:bottom w:val="single" w:color="auto" w:sz="4" w:space="0"/>
              <w:right w:val="single" w:color="auto" w:sz="4" w:space="0"/>
            </w:tcBorders>
            <w:noWrap w:val="0"/>
            <w:vAlign w:val="center"/>
          </w:tcPr>
          <w:p w14:paraId="196AD9BD">
            <w:pPr>
              <w:topLinePunct/>
              <w:spacing w:line="360" w:lineRule="auto"/>
              <w:jc w:val="center"/>
              <w:outlineLvl w:val="9"/>
              <w:rPr>
                <w:rFonts w:hint="eastAsia" w:ascii="宋体" w:hAnsi="宋体" w:eastAsia="宋体" w:cs="宋体"/>
                <w:color w:val="auto"/>
                <w:sz w:val="24"/>
                <w:szCs w:val="24"/>
              </w:rPr>
            </w:pPr>
          </w:p>
        </w:tc>
      </w:tr>
      <w:tr w14:paraId="07F128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5" w:hRule="atLeast"/>
          <w:jc w:val="center"/>
        </w:trPr>
        <w:tc>
          <w:tcPr>
            <w:tcW w:w="1903" w:type="dxa"/>
            <w:tcBorders>
              <w:top w:val="single" w:color="auto" w:sz="4" w:space="0"/>
              <w:left w:val="single" w:color="auto" w:sz="4" w:space="0"/>
              <w:bottom w:val="single" w:color="auto" w:sz="4" w:space="0"/>
              <w:right w:val="single" w:color="auto" w:sz="4" w:space="0"/>
            </w:tcBorders>
            <w:noWrap w:val="0"/>
            <w:vAlign w:val="center"/>
          </w:tcPr>
          <w:p w14:paraId="1A297792">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注册地址</w:t>
            </w:r>
          </w:p>
        </w:tc>
        <w:tc>
          <w:tcPr>
            <w:tcW w:w="7536" w:type="dxa"/>
            <w:gridSpan w:val="4"/>
            <w:tcBorders>
              <w:top w:val="single" w:color="auto" w:sz="4" w:space="0"/>
              <w:left w:val="single" w:color="auto" w:sz="4" w:space="0"/>
              <w:bottom w:val="single" w:color="auto" w:sz="4" w:space="0"/>
              <w:right w:val="single" w:color="auto" w:sz="4" w:space="0"/>
            </w:tcBorders>
            <w:noWrap w:val="0"/>
            <w:vAlign w:val="center"/>
          </w:tcPr>
          <w:p w14:paraId="45E5E179">
            <w:pPr>
              <w:topLinePunct/>
              <w:spacing w:line="360" w:lineRule="auto"/>
              <w:jc w:val="center"/>
              <w:outlineLvl w:val="9"/>
              <w:rPr>
                <w:rFonts w:hint="eastAsia" w:ascii="宋体" w:hAnsi="宋体" w:eastAsia="宋体" w:cs="宋体"/>
                <w:color w:val="auto"/>
                <w:sz w:val="24"/>
                <w:szCs w:val="24"/>
              </w:rPr>
            </w:pPr>
          </w:p>
        </w:tc>
      </w:tr>
      <w:tr w14:paraId="5BF80B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1903" w:type="dxa"/>
            <w:tcBorders>
              <w:top w:val="single" w:color="auto" w:sz="4" w:space="0"/>
              <w:left w:val="single" w:color="auto" w:sz="4" w:space="0"/>
              <w:bottom w:val="single" w:color="auto" w:sz="4" w:space="0"/>
              <w:right w:val="single" w:color="auto" w:sz="4" w:space="0"/>
            </w:tcBorders>
            <w:noWrap w:val="0"/>
            <w:vAlign w:val="center"/>
          </w:tcPr>
          <w:p w14:paraId="56E9E463">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989" w:type="dxa"/>
            <w:tcBorders>
              <w:top w:val="single" w:color="auto" w:sz="4" w:space="0"/>
              <w:left w:val="single" w:color="auto" w:sz="4" w:space="0"/>
              <w:bottom w:val="single" w:color="auto" w:sz="4" w:space="0"/>
              <w:right w:val="single" w:color="auto" w:sz="4" w:space="0"/>
            </w:tcBorders>
            <w:noWrap w:val="0"/>
            <w:vAlign w:val="center"/>
          </w:tcPr>
          <w:p w14:paraId="5B2CD5AE">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姓名</w:t>
            </w:r>
          </w:p>
        </w:tc>
        <w:tc>
          <w:tcPr>
            <w:tcW w:w="2434" w:type="dxa"/>
            <w:tcBorders>
              <w:top w:val="single" w:color="auto" w:sz="4" w:space="0"/>
              <w:left w:val="single" w:color="auto" w:sz="4" w:space="0"/>
              <w:bottom w:val="single" w:color="auto" w:sz="4" w:space="0"/>
              <w:right w:val="single" w:color="auto" w:sz="4" w:space="0"/>
            </w:tcBorders>
            <w:noWrap w:val="0"/>
            <w:vAlign w:val="center"/>
          </w:tcPr>
          <w:p w14:paraId="445B4798">
            <w:pPr>
              <w:topLinePunct/>
              <w:spacing w:line="360" w:lineRule="auto"/>
              <w:jc w:val="center"/>
              <w:outlineLvl w:val="9"/>
              <w:rPr>
                <w:rFonts w:hint="eastAsia" w:ascii="宋体" w:hAnsi="宋体" w:eastAsia="宋体" w:cs="宋体"/>
                <w:color w:val="auto"/>
                <w:sz w:val="24"/>
                <w:szCs w:val="24"/>
              </w:rPr>
            </w:pPr>
          </w:p>
        </w:tc>
        <w:tc>
          <w:tcPr>
            <w:tcW w:w="2070" w:type="dxa"/>
            <w:tcBorders>
              <w:top w:val="single" w:color="auto" w:sz="4" w:space="0"/>
              <w:left w:val="single" w:color="auto" w:sz="4" w:space="0"/>
              <w:bottom w:val="single" w:color="auto" w:sz="4" w:space="0"/>
              <w:right w:val="single" w:color="auto" w:sz="4" w:space="0"/>
            </w:tcBorders>
            <w:noWrap w:val="0"/>
            <w:vAlign w:val="center"/>
          </w:tcPr>
          <w:p w14:paraId="07874355">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电话</w:t>
            </w:r>
          </w:p>
        </w:tc>
        <w:tc>
          <w:tcPr>
            <w:tcW w:w="2043" w:type="dxa"/>
            <w:tcBorders>
              <w:top w:val="single" w:color="auto" w:sz="4" w:space="0"/>
              <w:left w:val="single" w:color="auto" w:sz="4" w:space="0"/>
              <w:bottom w:val="single" w:color="auto" w:sz="4" w:space="0"/>
              <w:right w:val="single" w:color="auto" w:sz="4" w:space="0"/>
            </w:tcBorders>
            <w:noWrap w:val="0"/>
            <w:vAlign w:val="center"/>
          </w:tcPr>
          <w:p w14:paraId="2741DEA3">
            <w:pPr>
              <w:topLinePunct/>
              <w:spacing w:line="360" w:lineRule="auto"/>
              <w:jc w:val="center"/>
              <w:outlineLvl w:val="9"/>
              <w:rPr>
                <w:rFonts w:hint="eastAsia" w:ascii="宋体" w:hAnsi="宋体" w:eastAsia="宋体" w:cs="宋体"/>
                <w:color w:val="auto"/>
                <w:sz w:val="24"/>
                <w:szCs w:val="24"/>
              </w:rPr>
            </w:pPr>
          </w:p>
        </w:tc>
      </w:tr>
      <w:tr w14:paraId="19B35C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1903" w:type="dxa"/>
            <w:tcBorders>
              <w:top w:val="single" w:color="auto" w:sz="4" w:space="0"/>
              <w:left w:val="single" w:color="auto" w:sz="4" w:space="0"/>
              <w:bottom w:val="single" w:color="auto" w:sz="4" w:space="0"/>
              <w:right w:val="single" w:color="auto" w:sz="4" w:space="0"/>
            </w:tcBorders>
            <w:noWrap w:val="0"/>
            <w:vAlign w:val="center"/>
          </w:tcPr>
          <w:p w14:paraId="14A60C75">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成立时间</w:t>
            </w:r>
          </w:p>
        </w:tc>
        <w:tc>
          <w:tcPr>
            <w:tcW w:w="7536" w:type="dxa"/>
            <w:gridSpan w:val="4"/>
            <w:tcBorders>
              <w:top w:val="single" w:color="auto" w:sz="4" w:space="0"/>
              <w:left w:val="single" w:color="auto" w:sz="4" w:space="0"/>
              <w:bottom w:val="single" w:color="auto" w:sz="4" w:space="0"/>
              <w:right w:val="single" w:color="auto" w:sz="4" w:space="0"/>
            </w:tcBorders>
            <w:noWrap w:val="0"/>
            <w:vAlign w:val="center"/>
          </w:tcPr>
          <w:p w14:paraId="5FA71B86">
            <w:pPr>
              <w:topLinePunct/>
              <w:spacing w:line="360" w:lineRule="auto"/>
              <w:ind w:firstLine="120" w:firstLineChars="50"/>
              <w:jc w:val="center"/>
              <w:outlineLvl w:val="9"/>
              <w:rPr>
                <w:rFonts w:hint="eastAsia" w:ascii="宋体" w:hAnsi="宋体" w:eastAsia="宋体" w:cs="宋体"/>
                <w:color w:val="auto"/>
                <w:sz w:val="24"/>
                <w:szCs w:val="24"/>
              </w:rPr>
            </w:pPr>
          </w:p>
        </w:tc>
      </w:tr>
      <w:tr w14:paraId="749E1B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40" w:hRule="atLeast"/>
          <w:jc w:val="center"/>
        </w:trPr>
        <w:tc>
          <w:tcPr>
            <w:tcW w:w="1903" w:type="dxa"/>
            <w:tcBorders>
              <w:top w:val="single" w:color="auto" w:sz="4" w:space="0"/>
              <w:left w:val="single" w:color="auto" w:sz="4" w:space="0"/>
              <w:bottom w:val="single" w:color="auto" w:sz="4" w:space="0"/>
              <w:right w:val="single" w:color="auto" w:sz="4" w:space="0"/>
            </w:tcBorders>
            <w:noWrap w:val="0"/>
            <w:vAlign w:val="center"/>
          </w:tcPr>
          <w:p w14:paraId="5E6DC082">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营业执照号</w:t>
            </w:r>
          </w:p>
        </w:tc>
        <w:tc>
          <w:tcPr>
            <w:tcW w:w="7536" w:type="dxa"/>
            <w:gridSpan w:val="4"/>
            <w:tcBorders>
              <w:top w:val="single" w:color="auto" w:sz="4" w:space="0"/>
              <w:left w:val="single" w:color="auto" w:sz="4" w:space="0"/>
              <w:bottom w:val="single" w:color="auto" w:sz="4" w:space="0"/>
              <w:right w:val="single" w:color="auto" w:sz="4" w:space="0"/>
            </w:tcBorders>
            <w:noWrap w:val="0"/>
            <w:vAlign w:val="center"/>
          </w:tcPr>
          <w:p w14:paraId="24E18FBD">
            <w:pPr>
              <w:topLinePunct/>
              <w:spacing w:line="360" w:lineRule="auto"/>
              <w:jc w:val="center"/>
              <w:outlineLvl w:val="9"/>
              <w:rPr>
                <w:rFonts w:hint="eastAsia" w:ascii="宋体" w:hAnsi="宋体" w:eastAsia="宋体" w:cs="宋体"/>
                <w:color w:val="auto"/>
                <w:sz w:val="24"/>
                <w:szCs w:val="24"/>
              </w:rPr>
            </w:pPr>
          </w:p>
        </w:tc>
      </w:tr>
      <w:tr w14:paraId="41C218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2" w:hRule="atLeast"/>
          <w:jc w:val="center"/>
        </w:trPr>
        <w:tc>
          <w:tcPr>
            <w:tcW w:w="1903" w:type="dxa"/>
            <w:tcBorders>
              <w:top w:val="single" w:color="auto" w:sz="4" w:space="0"/>
              <w:left w:val="single" w:color="auto" w:sz="4" w:space="0"/>
              <w:bottom w:val="single" w:color="auto" w:sz="4" w:space="0"/>
              <w:right w:val="single" w:color="auto" w:sz="4" w:space="0"/>
            </w:tcBorders>
            <w:noWrap w:val="0"/>
            <w:vAlign w:val="center"/>
          </w:tcPr>
          <w:p w14:paraId="14957BE7">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注册资金</w:t>
            </w:r>
          </w:p>
        </w:tc>
        <w:tc>
          <w:tcPr>
            <w:tcW w:w="7536" w:type="dxa"/>
            <w:gridSpan w:val="4"/>
            <w:tcBorders>
              <w:top w:val="single" w:color="auto" w:sz="4" w:space="0"/>
              <w:left w:val="single" w:color="auto" w:sz="4" w:space="0"/>
              <w:bottom w:val="single" w:color="auto" w:sz="4" w:space="0"/>
              <w:right w:val="single" w:color="auto" w:sz="4" w:space="0"/>
            </w:tcBorders>
            <w:noWrap w:val="0"/>
            <w:vAlign w:val="center"/>
          </w:tcPr>
          <w:p w14:paraId="16C8EFD0">
            <w:pPr>
              <w:topLinePunct/>
              <w:spacing w:line="360" w:lineRule="auto"/>
              <w:jc w:val="center"/>
              <w:outlineLvl w:val="9"/>
              <w:rPr>
                <w:rFonts w:hint="eastAsia" w:ascii="宋体" w:hAnsi="宋体" w:eastAsia="宋体" w:cs="宋体"/>
                <w:color w:val="auto"/>
                <w:sz w:val="24"/>
                <w:szCs w:val="24"/>
              </w:rPr>
            </w:pPr>
          </w:p>
        </w:tc>
      </w:tr>
      <w:tr w14:paraId="1F32C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5" w:hRule="atLeast"/>
          <w:jc w:val="center"/>
        </w:trPr>
        <w:tc>
          <w:tcPr>
            <w:tcW w:w="1903" w:type="dxa"/>
            <w:tcBorders>
              <w:top w:val="single" w:color="auto" w:sz="4" w:space="0"/>
              <w:left w:val="single" w:color="auto" w:sz="4" w:space="0"/>
              <w:bottom w:val="single" w:color="auto" w:sz="4" w:space="0"/>
              <w:right w:val="single" w:color="auto" w:sz="4" w:space="0"/>
            </w:tcBorders>
            <w:noWrap w:val="0"/>
            <w:vAlign w:val="center"/>
          </w:tcPr>
          <w:p w14:paraId="59BDCB2B">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开户银行</w:t>
            </w:r>
          </w:p>
        </w:tc>
        <w:tc>
          <w:tcPr>
            <w:tcW w:w="7536" w:type="dxa"/>
            <w:gridSpan w:val="4"/>
            <w:tcBorders>
              <w:top w:val="single" w:color="auto" w:sz="4" w:space="0"/>
              <w:left w:val="single" w:color="auto" w:sz="4" w:space="0"/>
              <w:bottom w:val="single" w:color="auto" w:sz="4" w:space="0"/>
              <w:right w:val="single" w:color="auto" w:sz="4" w:space="0"/>
            </w:tcBorders>
            <w:noWrap w:val="0"/>
            <w:vAlign w:val="center"/>
          </w:tcPr>
          <w:p w14:paraId="552DBCFE">
            <w:pPr>
              <w:topLinePunct/>
              <w:spacing w:line="360" w:lineRule="auto"/>
              <w:jc w:val="center"/>
              <w:outlineLvl w:val="9"/>
              <w:rPr>
                <w:rFonts w:hint="eastAsia" w:ascii="宋体" w:hAnsi="宋体" w:eastAsia="宋体" w:cs="宋体"/>
                <w:color w:val="auto"/>
                <w:sz w:val="24"/>
                <w:szCs w:val="24"/>
              </w:rPr>
            </w:pPr>
          </w:p>
        </w:tc>
      </w:tr>
      <w:tr w14:paraId="3955C4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2" w:hRule="atLeast"/>
          <w:jc w:val="center"/>
        </w:trPr>
        <w:tc>
          <w:tcPr>
            <w:tcW w:w="1903" w:type="dxa"/>
            <w:tcBorders>
              <w:top w:val="single" w:color="auto" w:sz="4" w:space="0"/>
              <w:left w:val="single" w:color="auto" w:sz="4" w:space="0"/>
              <w:bottom w:val="single" w:color="auto" w:sz="4" w:space="0"/>
              <w:right w:val="single" w:color="auto" w:sz="4" w:space="0"/>
            </w:tcBorders>
            <w:noWrap w:val="0"/>
            <w:vAlign w:val="center"/>
          </w:tcPr>
          <w:p w14:paraId="1DEC85BC">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账号</w:t>
            </w:r>
          </w:p>
        </w:tc>
        <w:tc>
          <w:tcPr>
            <w:tcW w:w="7536" w:type="dxa"/>
            <w:gridSpan w:val="4"/>
            <w:tcBorders>
              <w:top w:val="single" w:color="auto" w:sz="4" w:space="0"/>
              <w:left w:val="single" w:color="auto" w:sz="4" w:space="0"/>
              <w:bottom w:val="single" w:color="auto" w:sz="4" w:space="0"/>
              <w:right w:val="single" w:color="auto" w:sz="4" w:space="0"/>
            </w:tcBorders>
            <w:noWrap w:val="0"/>
            <w:vAlign w:val="center"/>
          </w:tcPr>
          <w:p w14:paraId="5889E1E0">
            <w:pPr>
              <w:topLinePunct/>
              <w:spacing w:line="360" w:lineRule="auto"/>
              <w:jc w:val="center"/>
              <w:outlineLvl w:val="9"/>
              <w:rPr>
                <w:rFonts w:hint="eastAsia" w:ascii="宋体" w:hAnsi="宋体" w:eastAsia="宋体" w:cs="宋体"/>
                <w:color w:val="auto"/>
                <w:sz w:val="24"/>
                <w:szCs w:val="24"/>
              </w:rPr>
            </w:pPr>
          </w:p>
        </w:tc>
      </w:tr>
      <w:tr w14:paraId="7AE66F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87" w:hRule="atLeast"/>
          <w:jc w:val="center"/>
        </w:trPr>
        <w:tc>
          <w:tcPr>
            <w:tcW w:w="1903" w:type="dxa"/>
            <w:tcBorders>
              <w:top w:val="single" w:color="auto" w:sz="4" w:space="0"/>
              <w:left w:val="single" w:color="auto" w:sz="4" w:space="0"/>
              <w:right w:val="single" w:color="auto" w:sz="4" w:space="0"/>
            </w:tcBorders>
            <w:noWrap w:val="0"/>
            <w:vAlign w:val="center"/>
          </w:tcPr>
          <w:p w14:paraId="7D48BA19">
            <w:pPr>
              <w:topLinePunct/>
              <w:spacing w:line="360" w:lineRule="auto"/>
              <w:ind w:firstLine="240" w:firstLineChars="10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经营范围</w:t>
            </w:r>
          </w:p>
        </w:tc>
        <w:tc>
          <w:tcPr>
            <w:tcW w:w="7536" w:type="dxa"/>
            <w:gridSpan w:val="4"/>
            <w:tcBorders>
              <w:top w:val="single" w:color="auto" w:sz="4" w:space="0"/>
              <w:left w:val="single" w:color="auto" w:sz="4" w:space="0"/>
              <w:right w:val="single" w:color="auto" w:sz="4" w:space="0"/>
            </w:tcBorders>
            <w:noWrap w:val="0"/>
            <w:vAlign w:val="center"/>
          </w:tcPr>
          <w:p w14:paraId="4B290627">
            <w:pPr>
              <w:topLinePunct/>
              <w:spacing w:line="360" w:lineRule="auto"/>
              <w:outlineLvl w:val="9"/>
              <w:rPr>
                <w:rFonts w:hint="eastAsia" w:ascii="宋体" w:hAnsi="宋体" w:eastAsia="宋体" w:cs="宋体"/>
                <w:color w:val="auto"/>
                <w:sz w:val="24"/>
                <w:szCs w:val="24"/>
              </w:rPr>
            </w:pPr>
          </w:p>
        </w:tc>
      </w:tr>
      <w:tr w14:paraId="2CA454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1903" w:type="dxa"/>
            <w:tcBorders>
              <w:top w:val="single" w:color="auto" w:sz="4" w:space="0"/>
              <w:left w:val="single" w:color="auto" w:sz="4" w:space="0"/>
              <w:bottom w:val="single" w:color="auto" w:sz="4" w:space="0"/>
              <w:right w:val="single" w:color="auto" w:sz="4" w:space="0"/>
            </w:tcBorders>
            <w:noWrap w:val="0"/>
            <w:vAlign w:val="center"/>
          </w:tcPr>
          <w:p w14:paraId="3094047C">
            <w:pPr>
              <w:topLinePunct/>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c>
          <w:tcPr>
            <w:tcW w:w="7536" w:type="dxa"/>
            <w:gridSpan w:val="4"/>
            <w:tcBorders>
              <w:top w:val="single" w:color="auto" w:sz="4" w:space="0"/>
              <w:left w:val="single" w:color="auto" w:sz="4" w:space="0"/>
              <w:bottom w:val="single" w:color="auto" w:sz="4" w:space="0"/>
              <w:right w:val="single" w:color="auto" w:sz="4" w:space="0"/>
            </w:tcBorders>
            <w:noWrap w:val="0"/>
            <w:vAlign w:val="center"/>
          </w:tcPr>
          <w:p w14:paraId="07A139EF">
            <w:pPr>
              <w:spacing w:line="360" w:lineRule="auto"/>
              <w:jc w:val="left"/>
              <w:outlineLvl w:val="9"/>
              <w:rPr>
                <w:rFonts w:hint="eastAsia" w:ascii="宋体" w:hAnsi="宋体" w:eastAsia="宋体" w:cs="宋体"/>
                <w:color w:val="auto"/>
                <w:sz w:val="24"/>
                <w:szCs w:val="24"/>
              </w:rPr>
            </w:pPr>
          </w:p>
        </w:tc>
      </w:tr>
    </w:tbl>
    <w:p w14:paraId="3D2C585F">
      <w:pPr>
        <w:spacing w:line="360" w:lineRule="auto"/>
        <w:ind w:right="480"/>
        <w:jc w:val="both"/>
        <w:rPr>
          <w:rFonts w:hint="eastAsia" w:ascii="宋体" w:hAnsi="宋体" w:eastAsia="宋体" w:cs="宋体"/>
          <w:b/>
          <w:sz w:val="32"/>
          <w:szCs w:val="32"/>
        </w:rPr>
      </w:pPr>
    </w:p>
    <w:p w14:paraId="17A4FE8F">
      <w:pPr>
        <w:spacing w:line="360" w:lineRule="auto"/>
        <w:ind w:right="480"/>
        <w:jc w:val="center"/>
        <w:rPr>
          <w:rFonts w:hint="eastAsia" w:ascii="宋体" w:hAnsi="宋体" w:eastAsia="宋体" w:cs="宋体"/>
          <w:b/>
          <w:sz w:val="32"/>
          <w:szCs w:val="32"/>
        </w:rPr>
        <w:sectPr>
          <w:footerReference r:id="rId10" w:type="first"/>
          <w:footerReference r:id="rId9" w:type="default"/>
          <w:pgSz w:w="11906" w:h="16838"/>
          <w:pgMar w:top="1440" w:right="1644" w:bottom="1440" w:left="1644" w:header="851" w:footer="992" w:gutter="0"/>
          <w:pgNumType w:fmt="decimal"/>
          <w:cols w:space="720" w:num="1"/>
          <w:docGrid w:type="lines" w:linePitch="312" w:charSpace="0"/>
        </w:sectPr>
      </w:pPr>
    </w:p>
    <w:p w14:paraId="076C3B4F">
      <w:pPr>
        <w:pStyle w:val="4"/>
        <w:bidi w:val="0"/>
        <w:spacing w:line="360" w:lineRule="auto"/>
        <w:jc w:val="center"/>
        <w:rPr>
          <w:rFonts w:hint="eastAsia"/>
        </w:rPr>
      </w:pPr>
      <w:r>
        <w:rPr>
          <w:rFonts w:hint="eastAsia"/>
        </w:rPr>
        <w:t>商务偏离表</w:t>
      </w:r>
      <w:bookmarkEnd w:id="280"/>
    </w:p>
    <w:p w14:paraId="51ABEB92">
      <w:pPr>
        <w:spacing w:line="360" w:lineRule="auto"/>
        <w:rPr>
          <w:rFonts w:hint="eastAsia" w:ascii="宋体" w:hAnsi="宋体" w:eastAsia="宋体" w:cs="宋体"/>
          <w:szCs w:val="32"/>
        </w:rPr>
      </w:pPr>
    </w:p>
    <w:p w14:paraId="4C7CCC54">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供应商名称：</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项目编号</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tbl>
      <w:tblPr>
        <w:tblStyle w:val="2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19"/>
        <w:gridCol w:w="2629"/>
        <w:gridCol w:w="2678"/>
        <w:gridCol w:w="1157"/>
        <w:gridCol w:w="1709"/>
      </w:tblGrid>
      <w:tr w14:paraId="7AC0E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619" w:type="dxa"/>
            <w:noWrap w:val="0"/>
            <w:vAlign w:val="center"/>
          </w:tcPr>
          <w:p w14:paraId="06BD9724">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629" w:type="dxa"/>
            <w:noWrap w:val="0"/>
            <w:vAlign w:val="center"/>
          </w:tcPr>
          <w:p w14:paraId="0ED96076">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招标文件商务要求</w:t>
            </w:r>
          </w:p>
        </w:tc>
        <w:tc>
          <w:tcPr>
            <w:tcW w:w="2678" w:type="dxa"/>
            <w:noWrap w:val="0"/>
            <w:vAlign w:val="center"/>
          </w:tcPr>
          <w:p w14:paraId="24B47A10">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投标文件商务响应</w:t>
            </w:r>
          </w:p>
        </w:tc>
        <w:tc>
          <w:tcPr>
            <w:tcW w:w="1157" w:type="dxa"/>
            <w:noWrap w:val="0"/>
            <w:vAlign w:val="center"/>
          </w:tcPr>
          <w:p w14:paraId="0CD94FF9">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偏离</w:t>
            </w:r>
          </w:p>
        </w:tc>
        <w:tc>
          <w:tcPr>
            <w:tcW w:w="1709" w:type="dxa"/>
            <w:noWrap w:val="0"/>
            <w:vAlign w:val="center"/>
          </w:tcPr>
          <w:p w14:paraId="503171B7">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说明</w:t>
            </w:r>
          </w:p>
        </w:tc>
      </w:tr>
      <w:tr w14:paraId="37753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7BAF6903">
            <w:pPr>
              <w:spacing w:line="360" w:lineRule="auto"/>
              <w:jc w:val="center"/>
              <w:rPr>
                <w:rFonts w:hint="eastAsia" w:ascii="宋体" w:hAnsi="宋体" w:eastAsia="宋体" w:cs="宋体"/>
                <w:sz w:val="24"/>
                <w:szCs w:val="24"/>
              </w:rPr>
            </w:pPr>
          </w:p>
        </w:tc>
        <w:tc>
          <w:tcPr>
            <w:tcW w:w="2629" w:type="dxa"/>
            <w:noWrap w:val="0"/>
            <w:vAlign w:val="center"/>
          </w:tcPr>
          <w:p w14:paraId="38518EA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服务期</w:t>
            </w:r>
          </w:p>
        </w:tc>
        <w:tc>
          <w:tcPr>
            <w:tcW w:w="2678" w:type="dxa"/>
            <w:noWrap w:val="0"/>
            <w:vAlign w:val="center"/>
          </w:tcPr>
          <w:p w14:paraId="328486C4">
            <w:pPr>
              <w:spacing w:line="360" w:lineRule="auto"/>
              <w:jc w:val="center"/>
              <w:rPr>
                <w:rFonts w:hint="eastAsia" w:ascii="宋体" w:hAnsi="宋体" w:eastAsia="宋体" w:cs="宋体"/>
                <w:sz w:val="24"/>
                <w:szCs w:val="24"/>
              </w:rPr>
            </w:pPr>
          </w:p>
        </w:tc>
        <w:tc>
          <w:tcPr>
            <w:tcW w:w="1157" w:type="dxa"/>
            <w:noWrap w:val="0"/>
            <w:vAlign w:val="center"/>
          </w:tcPr>
          <w:p w14:paraId="511A41F1">
            <w:pPr>
              <w:spacing w:line="360" w:lineRule="auto"/>
              <w:jc w:val="center"/>
              <w:rPr>
                <w:rFonts w:hint="eastAsia" w:ascii="宋体" w:hAnsi="宋体" w:eastAsia="宋体" w:cs="宋体"/>
                <w:sz w:val="24"/>
                <w:szCs w:val="24"/>
              </w:rPr>
            </w:pPr>
          </w:p>
        </w:tc>
        <w:tc>
          <w:tcPr>
            <w:tcW w:w="1709" w:type="dxa"/>
            <w:noWrap w:val="0"/>
            <w:vAlign w:val="center"/>
          </w:tcPr>
          <w:p w14:paraId="3CA27219">
            <w:pPr>
              <w:spacing w:line="360" w:lineRule="auto"/>
              <w:jc w:val="center"/>
              <w:rPr>
                <w:rFonts w:hint="eastAsia" w:ascii="宋体" w:hAnsi="宋体" w:eastAsia="宋体" w:cs="宋体"/>
                <w:sz w:val="24"/>
                <w:szCs w:val="24"/>
              </w:rPr>
            </w:pPr>
          </w:p>
        </w:tc>
      </w:tr>
      <w:tr w14:paraId="38196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056BD702">
            <w:pPr>
              <w:spacing w:line="360" w:lineRule="auto"/>
              <w:jc w:val="center"/>
              <w:rPr>
                <w:rFonts w:hint="eastAsia" w:ascii="宋体" w:hAnsi="宋体" w:eastAsia="宋体" w:cs="宋体"/>
                <w:sz w:val="24"/>
                <w:szCs w:val="24"/>
              </w:rPr>
            </w:pPr>
          </w:p>
        </w:tc>
        <w:tc>
          <w:tcPr>
            <w:tcW w:w="2629" w:type="dxa"/>
            <w:noWrap w:val="0"/>
            <w:vAlign w:val="center"/>
          </w:tcPr>
          <w:p w14:paraId="5B73CFB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lang w:val="zh-CN"/>
              </w:rPr>
              <w:t>付款方式</w:t>
            </w:r>
          </w:p>
        </w:tc>
        <w:tc>
          <w:tcPr>
            <w:tcW w:w="2678" w:type="dxa"/>
            <w:noWrap w:val="0"/>
            <w:vAlign w:val="center"/>
          </w:tcPr>
          <w:p w14:paraId="06DFC94E">
            <w:pPr>
              <w:spacing w:line="360" w:lineRule="auto"/>
              <w:jc w:val="center"/>
              <w:rPr>
                <w:rFonts w:hint="eastAsia" w:ascii="宋体" w:hAnsi="宋体" w:eastAsia="宋体" w:cs="宋体"/>
                <w:sz w:val="24"/>
                <w:szCs w:val="24"/>
              </w:rPr>
            </w:pPr>
          </w:p>
        </w:tc>
        <w:tc>
          <w:tcPr>
            <w:tcW w:w="1157" w:type="dxa"/>
            <w:noWrap w:val="0"/>
            <w:vAlign w:val="center"/>
          </w:tcPr>
          <w:p w14:paraId="750462C7">
            <w:pPr>
              <w:spacing w:line="360" w:lineRule="auto"/>
              <w:jc w:val="center"/>
              <w:rPr>
                <w:rFonts w:hint="eastAsia" w:ascii="宋体" w:hAnsi="宋体" w:eastAsia="宋体" w:cs="宋体"/>
                <w:sz w:val="24"/>
                <w:szCs w:val="24"/>
              </w:rPr>
            </w:pPr>
          </w:p>
        </w:tc>
        <w:tc>
          <w:tcPr>
            <w:tcW w:w="1709" w:type="dxa"/>
            <w:noWrap w:val="0"/>
            <w:vAlign w:val="center"/>
          </w:tcPr>
          <w:p w14:paraId="20708FFF">
            <w:pPr>
              <w:spacing w:line="360" w:lineRule="auto"/>
              <w:jc w:val="center"/>
              <w:rPr>
                <w:rFonts w:hint="eastAsia" w:ascii="宋体" w:hAnsi="宋体" w:eastAsia="宋体" w:cs="宋体"/>
                <w:sz w:val="24"/>
                <w:szCs w:val="24"/>
              </w:rPr>
            </w:pPr>
          </w:p>
        </w:tc>
      </w:tr>
      <w:tr w14:paraId="08537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109EB1BD">
            <w:pPr>
              <w:spacing w:line="360" w:lineRule="auto"/>
              <w:jc w:val="center"/>
              <w:rPr>
                <w:rFonts w:hint="eastAsia" w:ascii="宋体" w:hAnsi="宋体" w:eastAsia="宋体" w:cs="宋体"/>
                <w:sz w:val="24"/>
                <w:szCs w:val="24"/>
              </w:rPr>
            </w:pPr>
          </w:p>
        </w:tc>
        <w:tc>
          <w:tcPr>
            <w:tcW w:w="2629" w:type="dxa"/>
            <w:noWrap w:val="0"/>
            <w:vAlign w:val="center"/>
          </w:tcPr>
          <w:p w14:paraId="4F2A26F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服务地点</w:t>
            </w:r>
          </w:p>
        </w:tc>
        <w:tc>
          <w:tcPr>
            <w:tcW w:w="2678" w:type="dxa"/>
            <w:noWrap w:val="0"/>
            <w:vAlign w:val="center"/>
          </w:tcPr>
          <w:p w14:paraId="1E1D267C">
            <w:pPr>
              <w:spacing w:line="360" w:lineRule="auto"/>
              <w:jc w:val="center"/>
              <w:rPr>
                <w:rFonts w:hint="eastAsia" w:ascii="宋体" w:hAnsi="宋体" w:eastAsia="宋体" w:cs="宋体"/>
                <w:sz w:val="24"/>
                <w:szCs w:val="24"/>
              </w:rPr>
            </w:pPr>
          </w:p>
        </w:tc>
        <w:tc>
          <w:tcPr>
            <w:tcW w:w="1157" w:type="dxa"/>
            <w:noWrap w:val="0"/>
            <w:vAlign w:val="center"/>
          </w:tcPr>
          <w:p w14:paraId="74CB7870">
            <w:pPr>
              <w:spacing w:line="360" w:lineRule="auto"/>
              <w:jc w:val="center"/>
              <w:rPr>
                <w:rFonts w:hint="eastAsia" w:ascii="宋体" w:hAnsi="宋体" w:eastAsia="宋体" w:cs="宋体"/>
                <w:sz w:val="24"/>
                <w:szCs w:val="24"/>
              </w:rPr>
            </w:pPr>
          </w:p>
        </w:tc>
        <w:tc>
          <w:tcPr>
            <w:tcW w:w="1709" w:type="dxa"/>
            <w:noWrap w:val="0"/>
            <w:vAlign w:val="center"/>
          </w:tcPr>
          <w:p w14:paraId="03B4A0BC">
            <w:pPr>
              <w:spacing w:line="360" w:lineRule="auto"/>
              <w:jc w:val="center"/>
              <w:rPr>
                <w:rFonts w:hint="eastAsia" w:ascii="宋体" w:hAnsi="宋体" w:eastAsia="宋体" w:cs="宋体"/>
                <w:sz w:val="24"/>
                <w:szCs w:val="24"/>
              </w:rPr>
            </w:pPr>
          </w:p>
        </w:tc>
      </w:tr>
      <w:tr w14:paraId="1D9F2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60F8394B">
            <w:pPr>
              <w:spacing w:line="360" w:lineRule="auto"/>
              <w:jc w:val="center"/>
              <w:rPr>
                <w:rFonts w:hint="eastAsia" w:ascii="宋体" w:hAnsi="宋体" w:eastAsia="宋体" w:cs="宋体"/>
                <w:sz w:val="24"/>
                <w:szCs w:val="24"/>
              </w:rPr>
            </w:pPr>
          </w:p>
        </w:tc>
        <w:tc>
          <w:tcPr>
            <w:tcW w:w="2629" w:type="dxa"/>
            <w:noWrap w:val="0"/>
            <w:vAlign w:val="center"/>
          </w:tcPr>
          <w:p w14:paraId="6FF9E38C">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w:t>
            </w:r>
          </w:p>
        </w:tc>
        <w:tc>
          <w:tcPr>
            <w:tcW w:w="2678" w:type="dxa"/>
            <w:noWrap w:val="0"/>
            <w:vAlign w:val="center"/>
          </w:tcPr>
          <w:p w14:paraId="5517A723">
            <w:pPr>
              <w:spacing w:line="360" w:lineRule="auto"/>
              <w:jc w:val="center"/>
              <w:rPr>
                <w:rFonts w:hint="eastAsia" w:ascii="宋体" w:hAnsi="宋体" w:eastAsia="宋体" w:cs="宋体"/>
                <w:sz w:val="24"/>
                <w:szCs w:val="24"/>
              </w:rPr>
            </w:pPr>
          </w:p>
        </w:tc>
        <w:tc>
          <w:tcPr>
            <w:tcW w:w="1157" w:type="dxa"/>
            <w:noWrap w:val="0"/>
            <w:vAlign w:val="center"/>
          </w:tcPr>
          <w:p w14:paraId="2CE7DFE5">
            <w:pPr>
              <w:spacing w:line="360" w:lineRule="auto"/>
              <w:jc w:val="center"/>
              <w:rPr>
                <w:rFonts w:hint="eastAsia" w:ascii="宋体" w:hAnsi="宋体" w:eastAsia="宋体" w:cs="宋体"/>
                <w:sz w:val="24"/>
                <w:szCs w:val="24"/>
              </w:rPr>
            </w:pPr>
          </w:p>
        </w:tc>
        <w:tc>
          <w:tcPr>
            <w:tcW w:w="1709" w:type="dxa"/>
            <w:noWrap w:val="0"/>
            <w:vAlign w:val="center"/>
          </w:tcPr>
          <w:p w14:paraId="517C526A">
            <w:pPr>
              <w:spacing w:line="360" w:lineRule="auto"/>
              <w:jc w:val="center"/>
              <w:rPr>
                <w:rFonts w:hint="eastAsia" w:ascii="宋体" w:hAnsi="宋体" w:eastAsia="宋体" w:cs="宋体"/>
                <w:sz w:val="24"/>
                <w:szCs w:val="24"/>
              </w:rPr>
            </w:pPr>
          </w:p>
        </w:tc>
      </w:tr>
      <w:tr w14:paraId="33BFE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1BAA0650">
            <w:pPr>
              <w:spacing w:line="360" w:lineRule="auto"/>
              <w:jc w:val="center"/>
              <w:rPr>
                <w:rFonts w:hint="eastAsia" w:ascii="宋体" w:hAnsi="宋体" w:eastAsia="宋体" w:cs="宋体"/>
                <w:sz w:val="24"/>
                <w:szCs w:val="24"/>
              </w:rPr>
            </w:pPr>
          </w:p>
        </w:tc>
        <w:tc>
          <w:tcPr>
            <w:tcW w:w="2629" w:type="dxa"/>
            <w:noWrap w:val="0"/>
            <w:vAlign w:val="center"/>
          </w:tcPr>
          <w:p w14:paraId="1761375F">
            <w:pPr>
              <w:spacing w:line="360" w:lineRule="auto"/>
              <w:jc w:val="center"/>
              <w:rPr>
                <w:rFonts w:hint="eastAsia" w:ascii="宋体" w:hAnsi="宋体" w:eastAsia="宋体" w:cs="宋体"/>
                <w:sz w:val="24"/>
                <w:szCs w:val="24"/>
              </w:rPr>
            </w:pPr>
          </w:p>
        </w:tc>
        <w:tc>
          <w:tcPr>
            <w:tcW w:w="2678" w:type="dxa"/>
            <w:noWrap w:val="0"/>
            <w:vAlign w:val="center"/>
          </w:tcPr>
          <w:p w14:paraId="69D6950B">
            <w:pPr>
              <w:spacing w:line="360" w:lineRule="auto"/>
              <w:jc w:val="center"/>
              <w:rPr>
                <w:rFonts w:hint="eastAsia" w:ascii="宋体" w:hAnsi="宋体" w:eastAsia="宋体" w:cs="宋体"/>
                <w:sz w:val="24"/>
                <w:szCs w:val="24"/>
              </w:rPr>
            </w:pPr>
          </w:p>
        </w:tc>
        <w:tc>
          <w:tcPr>
            <w:tcW w:w="1157" w:type="dxa"/>
            <w:noWrap w:val="0"/>
            <w:vAlign w:val="center"/>
          </w:tcPr>
          <w:p w14:paraId="06F91337">
            <w:pPr>
              <w:spacing w:line="360" w:lineRule="auto"/>
              <w:jc w:val="center"/>
              <w:rPr>
                <w:rFonts w:hint="eastAsia" w:ascii="宋体" w:hAnsi="宋体" w:eastAsia="宋体" w:cs="宋体"/>
                <w:sz w:val="24"/>
                <w:szCs w:val="24"/>
              </w:rPr>
            </w:pPr>
          </w:p>
        </w:tc>
        <w:tc>
          <w:tcPr>
            <w:tcW w:w="1709" w:type="dxa"/>
            <w:noWrap w:val="0"/>
            <w:vAlign w:val="center"/>
          </w:tcPr>
          <w:p w14:paraId="5336C755">
            <w:pPr>
              <w:spacing w:line="360" w:lineRule="auto"/>
              <w:jc w:val="center"/>
              <w:rPr>
                <w:rFonts w:hint="eastAsia" w:ascii="宋体" w:hAnsi="宋体" w:eastAsia="宋体" w:cs="宋体"/>
                <w:sz w:val="24"/>
                <w:szCs w:val="24"/>
              </w:rPr>
            </w:pPr>
          </w:p>
        </w:tc>
      </w:tr>
      <w:tr w14:paraId="702A3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6CEF81AD">
            <w:pPr>
              <w:spacing w:line="360" w:lineRule="auto"/>
              <w:jc w:val="center"/>
              <w:rPr>
                <w:rFonts w:hint="eastAsia" w:ascii="宋体" w:hAnsi="宋体" w:eastAsia="宋体" w:cs="宋体"/>
                <w:sz w:val="24"/>
                <w:szCs w:val="24"/>
              </w:rPr>
            </w:pPr>
          </w:p>
        </w:tc>
        <w:tc>
          <w:tcPr>
            <w:tcW w:w="2629" w:type="dxa"/>
            <w:noWrap w:val="0"/>
            <w:vAlign w:val="center"/>
          </w:tcPr>
          <w:p w14:paraId="36F2E689">
            <w:pPr>
              <w:spacing w:line="360" w:lineRule="auto"/>
              <w:jc w:val="center"/>
              <w:rPr>
                <w:rFonts w:hint="eastAsia" w:ascii="宋体" w:hAnsi="宋体" w:eastAsia="宋体" w:cs="宋体"/>
                <w:sz w:val="24"/>
                <w:szCs w:val="24"/>
              </w:rPr>
            </w:pPr>
          </w:p>
        </w:tc>
        <w:tc>
          <w:tcPr>
            <w:tcW w:w="2678" w:type="dxa"/>
            <w:noWrap w:val="0"/>
            <w:vAlign w:val="center"/>
          </w:tcPr>
          <w:p w14:paraId="4E931FF6">
            <w:pPr>
              <w:spacing w:line="360" w:lineRule="auto"/>
              <w:jc w:val="center"/>
              <w:rPr>
                <w:rFonts w:hint="eastAsia" w:ascii="宋体" w:hAnsi="宋体" w:eastAsia="宋体" w:cs="宋体"/>
                <w:sz w:val="24"/>
                <w:szCs w:val="24"/>
              </w:rPr>
            </w:pPr>
          </w:p>
        </w:tc>
        <w:tc>
          <w:tcPr>
            <w:tcW w:w="1157" w:type="dxa"/>
            <w:noWrap w:val="0"/>
            <w:vAlign w:val="center"/>
          </w:tcPr>
          <w:p w14:paraId="7623493F">
            <w:pPr>
              <w:spacing w:line="360" w:lineRule="auto"/>
              <w:jc w:val="center"/>
              <w:rPr>
                <w:rFonts w:hint="eastAsia" w:ascii="宋体" w:hAnsi="宋体" w:eastAsia="宋体" w:cs="宋体"/>
                <w:sz w:val="24"/>
                <w:szCs w:val="24"/>
              </w:rPr>
            </w:pPr>
          </w:p>
        </w:tc>
        <w:tc>
          <w:tcPr>
            <w:tcW w:w="1709" w:type="dxa"/>
            <w:noWrap w:val="0"/>
            <w:vAlign w:val="center"/>
          </w:tcPr>
          <w:p w14:paraId="2B81B879">
            <w:pPr>
              <w:spacing w:line="360" w:lineRule="auto"/>
              <w:jc w:val="center"/>
              <w:rPr>
                <w:rFonts w:hint="eastAsia" w:ascii="宋体" w:hAnsi="宋体" w:eastAsia="宋体" w:cs="宋体"/>
                <w:sz w:val="24"/>
                <w:szCs w:val="24"/>
              </w:rPr>
            </w:pPr>
          </w:p>
        </w:tc>
      </w:tr>
      <w:tr w14:paraId="1D733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72D2777D">
            <w:pPr>
              <w:spacing w:line="360" w:lineRule="auto"/>
              <w:jc w:val="center"/>
              <w:rPr>
                <w:rFonts w:hint="eastAsia" w:ascii="宋体" w:hAnsi="宋体" w:eastAsia="宋体" w:cs="宋体"/>
                <w:sz w:val="24"/>
                <w:szCs w:val="24"/>
              </w:rPr>
            </w:pPr>
          </w:p>
        </w:tc>
        <w:tc>
          <w:tcPr>
            <w:tcW w:w="2629" w:type="dxa"/>
            <w:noWrap w:val="0"/>
            <w:vAlign w:val="center"/>
          </w:tcPr>
          <w:p w14:paraId="17801030">
            <w:pPr>
              <w:spacing w:line="360" w:lineRule="auto"/>
              <w:jc w:val="center"/>
              <w:rPr>
                <w:rFonts w:hint="eastAsia" w:ascii="宋体" w:hAnsi="宋体" w:eastAsia="宋体" w:cs="宋体"/>
                <w:sz w:val="24"/>
                <w:szCs w:val="24"/>
              </w:rPr>
            </w:pPr>
          </w:p>
        </w:tc>
        <w:tc>
          <w:tcPr>
            <w:tcW w:w="2678" w:type="dxa"/>
            <w:noWrap w:val="0"/>
            <w:vAlign w:val="center"/>
          </w:tcPr>
          <w:p w14:paraId="2C33D4F5">
            <w:pPr>
              <w:spacing w:line="360" w:lineRule="auto"/>
              <w:jc w:val="center"/>
              <w:rPr>
                <w:rFonts w:hint="eastAsia" w:ascii="宋体" w:hAnsi="宋体" w:eastAsia="宋体" w:cs="宋体"/>
                <w:sz w:val="24"/>
                <w:szCs w:val="24"/>
              </w:rPr>
            </w:pPr>
          </w:p>
        </w:tc>
        <w:tc>
          <w:tcPr>
            <w:tcW w:w="1157" w:type="dxa"/>
            <w:noWrap w:val="0"/>
            <w:vAlign w:val="center"/>
          </w:tcPr>
          <w:p w14:paraId="16B090BC">
            <w:pPr>
              <w:spacing w:line="360" w:lineRule="auto"/>
              <w:jc w:val="center"/>
              <w:rPr>
                <w:rFonts w:hint="eastAsia" w:ascii="宋体" w:hAnsi="宋体" w:eastAsia="宋体" w:cs="宋体"/>
                <w:sz w:val="24"/>
                <w:szCs w:val="24"/>
              </w:rPr>
            </w:pPr>
          </w:p>
        </w:tc>
        <w:tc>
          <w:tcPr>
            <w:tcW w:w="1709" w:type="dxa"/>
            <w:noWrap w:val="0"/>
            <w:vAlign w:val="center"/>
          </w:tcPr>
          <w:p w14:paraId="01F862E2">
            <w:pPr>
              <w:spacing w:line="360" w:lineRule="auto"/>
              <w:jc w:val="center"/>
              <w:rPr>
                <w:rFonts w:hint="eastAsia" w:ascii="宋体" w:hAnsi="宋体" w:eastAsia="宋体" w:cs="宋体"/>
                <w:sz w:val="24"/>
                <w:szCs w:val="24"/>
              </w:rPr>
            </w:pPr>
          </w:p>
        </w:tc>
      </w:tr>
      <w:tr w14:paraId="772B9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54A71036">
            <w:pPr>
              <w:spacing w:line="360" w:lineRule="auto"/>
              <w:jc w:val="center"/>
              <w:rPr>
                <w:rFonts w:hint="eastAsia" w:ascii="宋体" w:hAnsi="宋体" w:eastAsia="宋体" w:cs="宋体"/>
                <w:sz w:val="24"/>
                <w:szCs w:val="24"/>
              </w:rPr>
            </w:pPr>
          </w:p>
        </w:tc>
        <w:tc>
          <w:tcPr>
            <w:tcW w:w="2629" w:type="dxa"/>
            <w:noWrap w:val="0"/>
            <w:vAlign w:val="center"/>
          </w:tcPr>
          <w:p w14:paraId="64558E70">
            <w:pPr>
              <w:spacing w:line="360" w:lineRule="auto"/>
              <w:jc w:val="center"/>
              <w:rPr>
                <w:rFonts w:hint="eastAsia" w:ascii="宋体" w:hAnsi="宋体" w:eastAsia="宋体" w:cs="宋体"/>
                <w:sz w:val="24"/>
                <w:szCs w:val="24"/>
              </w:rPr>
            </w:pPr>
          </w:p>
        </w:tc>
        <w:tc>
          <w:tcPr>
            <w:tcW w:w="2678" w:type="dxa"/>
            <w:noWrap w:val="0"/>
            <w:vAlign w:val="center"/>
          </w:tcPr>
          <w:p w14:paraId="1BBACAC0">
            <w:pPr>
              <w:spacing w:line="360" w:lineRule="auto"/>
              <w:jc w:val="center"/>
              <w:rPr>
                <w:rFonts w:hint="eastAsia" w:ascii="宋体" w:hAnsi="宋体" w:eastAsia="宋体" w:cs="宋体"/>
                <w:sz w:val="24"/>
                <w:szCs w:val="24"/>
              </w:rPr>
            </w:pPr>
          </w:p>
        </w:tc>
        <w:tc>
          <w:tcPr>
            <w:tcW w:w="1157" w:type="dxa"/>
            <w:noWrap w:val="0"/>
            <w:vAlign w:val="center"/>
          </w:tcPr>
          <w:p w14:paraId="0529D86F">
            <w:pPr>
              <w:spacing w:line="360" w:lineRule="auto"/>
              <w:jc w:val="center"/>
              <w:rPr>
                <w:rFonts w:hint="eastAsia" w:ascii="宋体" w:hAnsi="宋体" w:eastAsia="宋体" w:cs="宋体"/>
                <w:sz w:val="24"/>
                <w:szCs w:val="24"/>
              </w:rPr>
            </w:pPr>
          </w:p>
        </w:tc>
        <w:tc>
          <w:tcPr>
            <w:tcW w:w="1709" w:type="dxa"/>
            <w:noWrap w:val="0"/>
            <w:vAlign w:val="center"/>
          </w:tcPr>
          <w:p w14:paraId="186042A0">
            <w:pPr>
              <w:spacing w:line="360" w:lineRule="auto"/>
              <w:jc w:val="center"/>
              <w:rPr>
                <w:rFonts w:hint="eastAsia" w:ascii="宋体" w:hAnsi="宋体" w:eastAsia="宋体" w:cs="宋体"/>
                <w:sz w:val="24"/>
                <w:szCs w:val="24"/>
              </w:rPr>
            </w:pPr>
          </w:p>
        </w:tc>
      </w:tr>
      <w:tr w14:paraId="4D786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46FD2288">
            <w:pPr>
              <w:spacing w:line="360" w:lineRule="auto"/>
              <w:jc w:val="center"/>
              <w:rPr>
                <w:rFonts w:hint="eastAsia" w:ascii="宋体" w:hAnsi="宋体" w:eastAsia="宋体" w:cs="宋体"/>
                <w:sz w:val="24"/>
                <w:szCs w:val="24"/>
              </w:rPr>
            </w:pPr>
          </w:p>
        </w:tc>
        <w:tc>
          <w:tcPr>
            <w:tcW w:w="2629" w:type="dxa"/>
            <w:noWrap w:val="0"/>
            <w:vAlign w:val="center"/>
          </w:tcPr>
          <w:p w14:paraId="7D181980">
            <w:pPr>
              <w:spacing w:line="360" w:lineRule="auto"/>
              <w:jc w:val="center"/>
              <w:rPr>
                <w:rFonts w:hint="eastAsia" w:ascii="宋体" w:hAnsi="宋体" w:eastAsia="宋体" w:cs="宋体"/>
                <w:sz w:val="24"/>
                <w:szCs w:val="24"/>
              </w:rPr>
            </w:pPr>
          </w:p>
        </w:tc>
        <w:tc>
          <w:tcPr>
            <w:tcW w:w="2678" w:type="dxa"/>
            <w:noWrap w:val="0"/>
            <w:vAlign w:val="center"/>
          </w:tcPr>
          <w:p w14:paraId="3F70425A">
            <w:pPr>
              <w:spacing w:line="360" w:lineRule="auto"/>
              <w:jc w:val="center"/>
              <w:rPr>
                <w:rFonts w:hint="eastAsia" w:ascii="宋体" w:hAnsi="宋体" w:eastAsia="宋体" w:cs="宋体"/>
                <w:sz w:val="24"/>
                <w:szCs w:val="24"/>
              </w:rPr>
            </w:pPr>
          </w:p>
        </w:tc>
        <w:tc>
          <w:tcPr>
            <w:tcW w:w="1157" w:type="dxa"/>
            <w:noWrap w:val="0"/>
            <w:vAlign w:val="center"/>
          </w:tcPr>
          <w:p w14:paraId="2E730464">
            <w:pPr>
              <w:spacing w:line="360" w:lineRule="auto"/>
              <w:jc w:val="center"/>
              <w:rPr>
                <w:rFonts w:hint="eastAsia" w:ascii="宋体" w:hAnsi="宋体" w:eastAsia="宋体" w:cs="宋体"/>
                <w:sz w:val="24"/>
                <w:szCs w:val="24"/>
              </w:rPr>
            </w:pPr>
          </w:p>
        </w:tc>
        <w:tc>
          <w:tcPr>
            <w:tcW w:w="1709" w:type="dxa"/>
            <w:noWrap w:val="0"/>
            <w:vAlign w:val="center"/>
          </w:tcPr>
          <w:p w14:paraId="7CD630F0">
            <w:pPr>
              <w:spacing w:line="360" w:lineRule="auto"/>
              <w:jc w:val="center"/>
              <w:rPr>
                <w:rFonts w:hint="eastAsia" w:ascii="宋体" w:hAnsi="宋体" w:eastAsia="宋体" w:cs="宋体"/>
                <w:sz w:val="24"/>
                <w:szCs w:val="24"/>
              </w:rPr>
            </w:pPr>
          </w:p>
        </w:tc>
      </w:tr>
      <w:tr w14:paraId="55549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5D0317CB">
            <w:pPr>
              <w:spacing w:line="360" w:lineRule="auto"/>
              <w:jc w:val="center"/>
              <w:rPr>
                <w:rFonts w:hint="eastAsia" w:ascii="宋体" w:hAnsi="宋体" w:eastAsia="宋体" w:cs="宋体"/>
                <w:sz w:val="24"/>
                <w:szCs w:val="24"/>
              </w:rPr>
            </w:pPr>
          </w:p>
        </w:tc>
        <w:tc>
          <w:tcPr>
            <w:tcW w:w="2629" w:type="dxa"/>
            <w:noWrap w:val="0"/>
            <w:vAlign w:val="center"/>
          </w:tcPr>
          <w:p w14:paraId="1408A12B">
            <w:pPr>
              <w:spacing w:line="360" w:lineRule="auto"/>
              <w:jc w:val="center"/>
              <w:rPr>
                <w:rFonts w:hint="eastAsia" w:ascii="宋体" w:hAnsi="宋体" w:eastAsia="宋体" w:cs="宋体"/>
                <w:sz w:val="24"/>
                <w:szCs w:val="24"/>
              </w:rPr>
            </w:pPr>
          </w:p>
        </w:tc>
        <w:tc>
          <w:tcPr>
            <w:tcW w:w="2678" w:type="dxa"/>
            <w:noWrap w:val="0"/>
            <w:vAlign w:val="center"/>
          </w:tcPr>
          <w:p w14:paraId="601CAAC1">
            <w:pPr>
              <w:spacing w:line="360" w:lineRule="auto"/>
              <w:jc w:val="center"/>
              <w:rPr>
                <w:rFonts w:hint="eastAsia" w:ascii="宋体" w:hAnsi="宋体" w:eastAsia="宋体" w:cs="宋体"/>
                <w:sz w:val="24"/>
                <w:szCs w:val="24"/>
              </w:rPr>
            </w:pPr>
          </w:p>
        </w:tc>
        <w:tc>
          <w:tcPr>
            <w:tcW w:w="1157" w:type="dxa"/>
            <w:noWrap w:val="0"/>
            <w:vAlign w:val="center"/>
          </w:tcPr>
          <w:p w14:paraId="6315B2EE">
            <w:pPr>
              <w:spacing w:line="360" w:lineRule="auto"/>
              <w:jc w:val="center"/>
              <w:rPr>
                <w:rFonts w:hint="eastAsia" w:ascii="宋体" w:hAnsi="宋体" w:eastAsia="宋体" w:cs="宋体"/>
                <w:sz w:val="24"/>
                <w:szCs w:val="24"/>
              </w:rPr>
            </w:pPr>
          </w:p>
        </w:tc>
        <w:tc>
          <w:tcPr>
            <w:tcW w:w="1709" w:type="dxa"/>
            <w:noWrap w:val="0"/>
            <w:vAlign w:val="center"/>
          </w:tcPr>
          <w:p w14:paraId="061D89D8">
            <w:pPr>
              <w:spacing w:line="360" w:lineRule="auto"/>
              <w:jc w:val="center"/>
              <w:rPr>
                <w:rFonts w:hint="eastAsia" w:ascii="宋体" w:hAnsi="宋体" w:eastAsia="宋体" w:cs="宋体"/>
                <w:sz w:val="24"/>
                <w:szCs w:val="24"/>
              </w:rPr>
            </w:pPr>
          </w:p>
        </w:tc>
      </w:tr>
      <w:tr w14:paraId="5220B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6AC0135F">
            <w:pPr>
              <w:spacing w:line="360" w:lineRule="auto"/>
              <w:jc w:val="center"/>
              <w:rPr>
                <w:rFonts w:hint="eastAsia" w:ascii="宋体" w:hAnsi="宋体" w:eastAsia="宋体" w:cs="宋体"/>
                <w:sz w:val="24"/>
                <w:szCs w:val="24"/>
              </w:rPr>
            </w:pPr>
          </w:p>
        </w:tc>
        <w:tc>
          <w:tcPr>
            <w:tcW w:w="2629" w:type="dxa"/>
            <w:noWrap w:val="0"/>
            <w:vAlign w:val="center"/>
          </w:tcPr>
          <w:p w14:paraId="50694802">
            <w:pPr>
              <w:spacing w:line="360" w:lineRule="auto"/>
              <w:jc w:val="center"/>
              <w:rPr>
                <w:rFonts w:hint="eastAsia" w:ascii="宋体" w:hAnsi="宋体" w:eastAsia="宋体" w:cs="宋体"/>
                <w:sz w:val="24"/>
                <w:szCs w:val="24"/>
              </w:rPr>
            </w:pPr>
          </w:p>
        </w:tc>
        <w:tc>
          <w:tcPr>
            <w:tcW w:w="2678" w:type="dxa"/>
            <w:noWrap w:val="0"/>
            <w:vAlign w:val="center"/>
          </w:tcPr>
          <w:p w14:paraId="7F69D6F6">
            <w:pPr>
              <w:spacing w:line="360" w:lineRule="auto"/>
              <w:jc w:val="center"/>
              <w:rPr>
                <w:rFonts w:hint="eastAsia" w:ascii="宋体" w:hAnsi="宋体" w:eastAsia="宋体" w:cs="宋体"/>
                <w:sz w:val="24"/>
                <w:szCs w:val="24"/>
              </w:rPr>
            </w:pPr>
          </w:p>
        </w:tc>
        <w:tc>
          <w:tcPr>
            <w:tcW w:w="1157" w:type="dxa"/>
            <w:noWrap w:val="0"/>
            <w:vAlign w:val="center"/>
          </w:tcPr>
          <w:p w14:paraId="58817D32">
            <w:pPr>
              <w:spacing w:line="360" w:lineRule="auto"/>
              <w:jc w:val="center"/>
              <w:rPr>
                <w:rFonts w:hint="eastAsia" w:ascii="宋体" w:hAnsi="宋体" w:eastAsia="宋体" w:cs="宋体"/>
                <w:sz w:val="24"/>
                <w:szCs w:val="24"/>
              </w:rPr>
            </w:pPr>
          </w:p>
        </w:tc>
        <w:tc>
          <w:tcPr>
            <w:tcW w:w="1709" w:type="dxa"/>
            <w:noWrap w:val="0"/>
            <w:vAlign w:val="center"/>
          </w:tcPr>
          <w:p w14:paraId="4E86D01E">
            <w:pPr>
              <w:spacing w:line="360" w:lineRule="auto"/>
              <w:jc w:val="center"/>
              <w:rPr>
                <w:rFonts w:hint="eastAsia" w:ascii="宋体" w:hAnsi="宋体" w:eastAsia="宋体" w:cs="宋体"/>
                <w:sz w:val="24"/>
                <w:szCs w:val="24"/>
              </w:rPr>
            </w:pPr>
          </w:p>
        </w:tc>
      </w:tr>
    </w:tbl>
    <w:p w14:paraId="7C3D82EF">
      <w:pPr>
        <w:spacing w:line="360" w:lineRule="auto"/>
        <w:ind w:right="-161" w:firstLine="480" w:firstLineChars="200"/>
        <w:rPr>
          <w:rFonts w:hint="eastAsia" w:ascii="宋体" w:hAnsi="宋体" w:eastAsia="宋体" w:cs="宋体"/>
          <w:color w:val="000000"/>
          <w:sz w:val="24"/>
        </w:rPr>
      </w:pPr>
      <w:r>
        <w:rPr>
          <w:rFonts w:hint="eastAsia" w:ascii="宋体" w:hAnsi="宋体" w:eastAsia="宋体" w:cs="宋体"/>
          <w:color w:val="000000"/>
          <w:sz w:val="24"/>
        </w:rPr>
        <w:t>1、竞争性磋商响应文件根据磋商文件的商务要求</w:t>
      </w:r>
      <w:r>
        <w:rPr>
          <w:rFonts w:hint="eastAsia" w:ascii="宋体" w:hAnsi="宋体" w:eastAsia="宋体" w:cs="宋体"/>
          <w:color w:val="000000"/>
          <w:sz w:val="24"/>
          <w:szCs w:val="22"/>
        </w:rPr>
        <w:t>如</w:t>
      </w:r>
      <w:r>
        <w:rPr>
          <w:rFonts w:hint="eastAsia" w:ascii="宋体" w:hAnsi="宋体" w:eastAsia="宋体" w:cs="宋体"/>
          <w:color w:val="000000"/>
          <w:sz w:val="24"/>
        </w:rPr>
        <w:t>实填写。</w:t>
      </w:r>
    </w:p>
    <w:p w14:paraId="76AA0087">
      <w:pPr>
        <w:spacing w:line="360" w:lineRule="auto"/>
        <w:ind w:right="-161" w:firstLine="480" w:firstLineChars="200"/>
        <w:rPr>
          <w:rFonts w:hint="eastAsia" w:ascii="宋体" w:hAnsi="宋体" w:eastAsia="宋体" w:cs="宋体"/>
          <w:color w:val="000000"/>
          <w:sz w:val="24"/>
        </w:rPr>
      </w:pPr>
      <w:r>
        <w:rPr>
          <w:rFonts w:hint="eastAsia" w:ascii="宋体" w:hAnsi="宋体" w:eastAsia="宋体" w:cs="宋体"/>
          <w:color w:val="000000"/>
          <w:sz w:val="24"/>
        </w:rPr>
        <w:t>2、偏离情况填写：正偏离、无偏离、负偏离。</w:t>
      </w:r>
    </w:p>
    <w:p w14:paraId="6B85CF2B">
      <w:pPr>
        <w:autoSpaceDE w:val="0"/>
        <w:autoSpaceDN w:val="0"/>
        <w:adjustRightIn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3、响应说明填写：优于、相同、低于并对偏离情况做出详细的说明。</w:t>
      </w:r>
    </w:p>
    <w:p w14:paraId="75581D14">
      <w:pPr>
        <w:spacing w:line="360" w:lineRule="auto"/>
        <w:ind w:right="-161" w:firstLine="480" w:firstLineChars="200"/>
        <w:rPr>
          <w:rFonts w:hint="eastAsia" w:ascii="宋体" w:hAnsi="宋体" w:eastAsia="宋体" w:cs="宋体"/>
          <w:color w:val="000000"/>
          <w:sz w:val="24"/>
          <w:szCs w:val="22"/>
          <w:lang w:val="en-US" w:eastAsia="zh-CN"/>
        </w:rPr>
      </w:pPr>
      <w:r>
        <w:rPr>
          <w:rFonts w:hint="eastAsia" w:ascii="宋体" w:hAnsi="宋体" w:eastAsia="宋体" w:cs="宋体"/>
          <w:color w:val="000000"/>
          <w:sz w:val="24"/>
          <w:szCs w:val="22"/>
          <w:lang w:val="en-US" w:eastAsia="zh-CN"/>
        </w:rPr>
        <w:t>4</w:t>
      </w:r>
      <w:r>
        <w:rPr>
          <w:rFonts w:hint="eastAsia" w:ascii="宋体" w:hAnsi="宋体" w:eastAsia="宋体" w:cs="宋体"/>
          <w:color w:val="000000"/>
          <w:sz w:val="24"/>
          <w:szCs w:val="22"/>
        </w:rPr>
        <w:t>、</w:t>
      </w:r>
      <w:r>
        <w:rPr>
          <w:rFonts w:hint="eastAsia" w:ascii="宋体" w:hAnsi="宋体" w:eastAsia="宋体" w:cs="宋体"/>
          <w:color w:val="000000"/>
          <w:sz w:val="24"/>
          <w:szCs w:val="22"/>
          <w:lang w:val="en-US" w:eastAsia="zh-CN"/>
        </w:rPr>
        <w:t>若与</w:t>
      </w:r>
      <w:r>
        <w:rPr>
          <w:rFonts w:hint="eastAsia" w:ascii="宋体" w:hAnsi="宋体" w:eastAsia="宋体" w:cs="宋体"/>
          <w:color w:val="000000"/>
          <w:sz w:val="24"/>
          <w:szCs w:val="22"/>
        </w:rPr>
        <w:t>竞争性磋商响应文件根据磋商文件的商务要求</w:t>
      </w:r>
      <w:r>
        <w:rPr>
          <w:rFonts w:hint="eastAsia" w:ascii="宋体" w:hAnsi="宋体" w:eastAsia="宋体" w:cs="宋体"/>
          <w:color w:val="000000"/>
          <w:sz w:val="24"/>
          <w:szCs w:val="22"/>
          <w:lang w:val="en-US" w:eastAsia="zh-CN"/>
        </w:rPr>
        <w:t>无偏离，可不填写此表，但需提供空白表</w:t>
      </w:r>
      <w:r>
        <w:rPr>
          <w:rFonts w:hint="eastAsia" w:ascii="宋体" w:hAnsi="宋体" w:cs="宋体"/>
          <w:color w:val="000000"/>
          <w:sz w:val="24"/>
          <w:szCs w:val="22"/>
          <w:lang w:val="en-US" w:eastAsia="zh-CN"/>
        </w:rPr>
        <w:t>。</w:t>
      </w:r>
    </w:p>
    <w:p w14:paraId="2E7A2D32">
      <w:pPr>
        <w:spacing w:line="360" w:lineRule="auto"/>
        <w:ind w:right="-161" w:firstLine="2640" w:firstLineChars="1100"/>
        <w:rPr>
          <w:rFonts w:hint="eastAsia" w:ascii="宋体" w:hAnsi="宋体" w:eastAsia="宋体" w:cs="宋体"/>
          <w:sz w:val="24"/>
          <w:u w:val="single"/>
        </w:rPr>
      </w:pPr>
      <w:r>
        <w:rPr>
          <w:rFonts w:hint="eastAsia" w:ascii="宋体" w:hAnsi="宋体" w:eastAsia="宋体" w:cs="宋体"/>
          <w:sz w:val="24"/>
          <w:lang w:eastAsia="zh-CN"/>
        </w:rPr>
        <w:t>法定代表人</w:t>
      </w:r>
      <w:r>
        <w:rPr>
          <w:rFonts w:hint="eastAsia" w:ascii="宋体" w:hAnsi="宋体" w:eastAsia="宋体" w:cs="宋体"/>
          <w:sz w:val="24"/>
        </w:rPr>
        <w:t>或被授权代表签字：</w:t>
      </w:r>
      <w:r>
        <w:rPr>
          <w:rFonts w:hint="eastAsia" w:ascii="宋体" w:hAnsi="宋体" w:eastAsia="宋体" w:cs="宋体"/>
          <w:sz w:val="24"/>
          <w:u w:val="single"/>
        </w:rPr>
        <w:t xml:space="preserve">                           </w:t>
      </w:r>
    </w:p>
    <w:p w14:paraId="4E1C2690">
      <w:pPr>
        <w:spacing w:line="360" w:lineRule="auto"/>
        <w:ind w:right="-161" w:firstLine="2640" w:firstLineChars="1100"/>
        <w:rPr>
          <w:rFonts w:hint="eastAsia" w:ascii="宋体" w:hAnsi="宋体" w:eastAsia="宋体" w:cs="宋体"/>
          <w:sz w:val="24"/>
        </w:rPr>
      </w:pPr>
      <w:r>
        <w:rPr>
          <w:rFonts w:hint="eastAsia" w:ascii="宋体" w:hAnsi="宋体" w:eastAsia="宋体" w:cs="宋体"/>
          <w:sz w:val="24"/>
          <w:szCs w:val="24"/>
        </w:rPr>
        <w:t>投   标   人  公  章：</w:t>
      </w:r>
      <w:r>
        <w:rPr>
          <w:rFonts w:hint="eastAsia" w:ascii="宋体" w:hAnsi="宋体" w:eastAsia="宋体" w:cs="宋体"/>
          <w:sz w:val="24"/>
          <w:szCs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p>
    <w:p w14:paraId="3F1E12A0">
      <w:pPr>
        <w:bidi w:val="0"/>
        <w:spacing w:line="360" w:lineRule="auto"/>
        <w:ind w:firstLine="2640" w:firstLineChars="1100"/>
        <w:rPr>
          <w:rFonts w:hint="eastAsia" w:ascii="宋体" w:hAnsi="宋体" w:eastAsia="宋体" w:cs="宋体"/>
          <w:sz w:val="24"/>
          <w:u w:val="single"/>
        </w:rPr>
      </w:pPr>
      <w:bookmarkStart w:id="286" w:name="_Toc3282"/>
      <w:r>
        <w:rPr>
          <w:rFonts w:hint="eastAsia" w:ascii="宋体" w:hAnsi="宋体" w:eastAsia="宋体" w:cs="宋体"/>
          <w:sz w:val="24"/>
        </w:rPr>
        <w:t>日                      期：</w:t>
      </w:r>
      <w:bookmarkEnd w:id="286"/>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p>
    <w:p w14:paraId="2ADCA41B">
      <w:pPr>
        <w:rPr>
          <w:rFonts w:hint="eastAsia"/>
          <w:lang w:val="en-US" w:eastAsia="zh-CN"/>
        </w:rPr>
      </w:pPr>
      <w:bookmarkStart w:id="287" w:name="_Toc20680"/>
      <w:r>
        <w:rPr>
          <w:rFonts w:hint="eastAsia"/>
          <w:lang w:val="en-US" w:eastAsia="zh-CN"/>
        </w:rPr>
        <w:br w:type="page"/>
      </w:r>
    </w:p>
    <w:p w14:paraId="26B135D6">
      <w:pPr>
        <w:spacing w:before="49" w:line="222" w:lineRule="auto"/>
        <w:ind w:left="131"/>
        <w:outlineLvl w:val="2"/>
        <w:rPr>
          <w:rFonts w:hint="eastAsia" w:ascii="Times New Roman" w:hAnsi="Times New Roman" w:eastAsia="宋体" w:cs="Times New Roman"/>
          <w:b/>
          <w:bCs/>
          <w:kern w:val="2"/>
          <w:sz w:val="32"/>
          <w:szCs w:val="32"/>
          <w:lang w:val="en-US" w:eastAsia="zh-CN" w:bidi="ar-SA"/>
        </w:rPr>
      </w:pPr>
      <w:r>
        <w:rPr>
          <w:rFonts w:hint="eastAsia" w:ascii="Times New Roman" w:hAnsi="Times New Roman" w:eastAsia="宋体" w:cs="Times New Roman"/>
          <w:b/>
          <w:bCs/>
          <w:kern w:val="2"/>
          <w:sz w:val="32"/>
          <w:szCs w:val="32"/>
          <w:lang w:val="en-US" w:eastAsia="zh-CN" w:bidi="ar-SA"/>
        </w:rPr>
        <w:t>拟投入本项目人员汇总表</w:t>
      </w:r>
    </w:p>
    <w:p w14:paraId="4CEAADEE">
      <w:pPr>
        <w:spacing w:line="141" w:lineRule="exact"/>
        <w:rPr>
          <w:rFonts w:hint="eastAsia" w:asciiTheme="minorEastAsia" w:hAnsiTheme="minorEastAsia" w:eastAsiaTheme="minorEastAsia" w:cstheme="minorEastAsia"/>
          <w:sz w:val="24"/>
          <w:szCs w:val="24"/>
        </w:rPr>
      </w:pPr>
    </w:p>
    <w:tbl>
      <w:tblPr>
        <w:tblStyle w:val="76"/>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98"/>
        <w:gridCol w:w="1421"/>
        <w:gridCol w:w="707"/>
        <w:gridCol w:w="804"/>
        <w:gridCol w:w="968"/>
        <w:gridCol w:w="804"/>
        <w:gridCol w:w="868"/>
        <w:gridCol w:w="2249"/>
      </w:tblGrid>
      <w:tr w14:paraId="20CC7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463" w:type="pct"/>
            <w:vAlign w:val="top"/>
          </w:tcPr>
          <w:p w14:paraId="2863B2AD">
            <w:pPr>
              <w:pStyle w:val="77"/>
              <w:spacing w:before="42" w:line="222" w:lineRule="auto"/>
              <w:ind w:left="12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序号</w:t>
            </w:r>
          </w:p>
        </w:tc>
        <w:tc>
          <w:tcPr>
            <w:tcW w:w="824" w:type="pct"/>
            <w:vAlign w:val="top"/>
          </w:tcPr>
          <w:p w14:paraId="511B977E">
            <w:pPr>
              <w:pStyle w:val="77"/>
              <w:spacing w:before="42" w:line="224" w:lineRule="auto"/>
              <w:ind w:left="35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姓</w:t>
            </w:r>
            <w:r>
              <w:rPr>
                <w:rFonts w:hint="eastAsia" w:asciiTheme="minorEastAsia" w:hAnsiTheme="minorEastAsia" w:eastAsiaTheme="minorEastAsia" w:cstheme="minorEastAsia"/>
                <w:spacing w:val="5"/>
                <w:sz w:val="24"/>
                <w:szCs w:val="24"/>
              </w:rPr>
              <w:t xml:space="preserve">   </w:t>
            </w:r>
            <w:r>
              <w:rPr>
                <w:rFonts w:hint="eastAsia" w:asciiTheme="minorEastAsia" w:hAnsiTheme="minorEastAsia" w:eastAsiaTheme="minorEastAsia" w:cstheme="minorEastAsia"/>
                <w:spacing w:val="-8"/>
                <w:sz w:val="24"/>
                <w:szCs w:val="24"/>
              </w:rPr>
              <w:t>名</w:t>
            </w:r>
          </w:p>
        </w:tc>
        <w:tc>
          <w:tcPr>
            <w:tcW w:w="410" w:type="pct"/>
            <w:vAlign w:val="top"/>
          </w:tcPr>
          <w:p w14:paraId="478200ED">
            <w:pPr>
              <w:pStyle w:val="77"/>
              <w:spacing w:before="42" w:line="222" w:lineRule="auto"/>
              <w:ind w:left="12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
                <w:sz w:val="24"/>
                <w:szCs w:val="24"/>
              </w:rPr>
              <w:t>年龄</w:t>
            </w:r>
          </w:p>
        </w:tc>
        <w:tc>
          <w:tcPr>
            <w:tcW w:w="466" w:type="pct"/>
            <w:vAlign w:val="top"/>
          </w:tcPr>
          <w:p w14:paraId="44A06305">
            <w:pPr>
              <w:pStyle w:val="77"/>
              <w:spacing w:before="41" w:line="220" w:lineRule="auto"/>
              <w:ind w:left="12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性别</w:t>
            </w:r>
          </w:p>
        </w:tc>
        <w:tc>
          <w:tcPr>
            <w:tcW w:w="561" w:type="pct"/>
            <w:vAlign w:val="top"/>
          </w:tcPr>
          <w:p w14:paraId="7DF785DA">
            <w:pPr>
              <w:pStyle w:val="77"/>
              <w:spacing w:before="41" w:line="223" w:lineRule="auto"/>
              <w:ind w:left="13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rPr>
              <w:t>学</w:t>
            </w:r>
            <w:r>
              <w:rPr>
                <w:rFonts w:hint="eastAsia" w:asciiTheme="minorEastAsia" w:hAnsiTheme="minorEastAsia" w:eastAsiaTheme="minorEastAsia" w:cstheme="minorEastAsia"/>
                <w:spacing w:val="18"/>
                <w:sz w:val="24"/>
                <w:szCs w:val="24"/>
              </w:rPr>
              <w:t xml:space="preserve"> </w:t>
            </w:r>
            <w:r>
              <w:rPr>
                <w:rFonts w:hint="eastAsia" w:asciiTheme="minorEastAsia" w:hAnsiTheme="minorEastAsia" w:eastAsiaTheme="minorEastAsia" w:cstheme="minorEastAsia"/>
                <w:spacing w:val="-14"/>
                <w:sz w:val="24"/>
                <w:szCs w:val="24"/>
              </w:rPr>
              <w:t>历</w:t>
            </w:r>
          </w:p>
        </w:tc>
        <w:tc>
          <w:tcPr>
            <w:tcW w:w="466" w:type="pct"/>
            <w:vAlign w:val="top"/>
          </w:tcPr>
          <w:p w14:paraId="022269D7">
            <w:pPr>
              <w:pStyle w:val="77"/>
              <w:spacing w:before="41" w:line="224" w:lineRule="auto"/>
              <w:ind w:left="12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专业</w:t>
            </w:r>
          </w:p>
        </w:tc>
        <w:tc>
          <w:tcPr>
            <w:tcW w:w="503" w:type="pct"/>
            <w:vAlign w:val="top"/>
          </w:tcPr>
          <w:p w14:paraId="416D610D">
            <w:pPr>
              <w:pStyle w:val="77"/>
              <w:spacing w:before="41" w:line="221" w:lineRule="auto"/>
              <w:ind w:left="12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职称</w:t>
            </w:r>
          </w:p>
        </w:tc>
        <w:tc>
          <w:tcPr>
            <w:tcW w:w="1304" w:type="pct"/>
            <w:vAlign w:val="top"/>
          </w:tcPr>
          <w:p w14:paraId="20B13169">
            <w:pPr>
              <w:pStyle w:val="77"/>
              <w:spacing w:before="42" w:line="219" w:lineRule="auto"/>
              <w:ind w:left="12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在本项目拟任职务</w:t>
            </w:r>
          </w:p>
        </w:tc>
      </w:tr>
      <w:tr w14:paraId="69CB52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463" w:type="pct"/>
            <w:vAlign w:val="top"/>
          </w:tcPr>
          <w:p w14:paraId="390F4C11">
            <w:pPr>
              <w:rPr>
                <w:rFonts w:hint="eastAsia" w:asciiTheme="minorEastAsia" w:hAnsiTheme="minorEastAsia" w:eastAsiaTheme="minorEastAsia" w:cstheme="minorEastAsia"/>
                <w:sz w:val="24"/>
                <w:szCs w:val="24"/>
              </w:rPr>
            </w:pPr>
          </w:p>
        </w:tc>
        <w:tc>
          <w:tcPr>
            <w:tcW w:w="824" w:type="pct"/>
            <w:vAlign w:val="top"/>
          </w:tcPr>
          <w:p w14:paraId="2B744336">
            <w:pPr>
              <w:rPr>
                <w:rFonts w:hint="eastAsia" w:asciiTheme="minorEastAsia" w:hAnsiTheme="minorEastAsia" w:eastAsiaTheme="minorEastAsia" w:cstheme="minorEastAsia"/>
                <w:sz w:val="24"/>
                <w:szCs w:val="24"/>
              </w:rPr>
            </w:pPr>
          </w:p>
        </w:tc>
        <w:tc>
          <w:tcPr>
            <w:tcW w:w="410" w:type="pct"/>
            <w:vAlign w:val="top"/>
          </w:tcPr>
          <w:p w14:paraId="66E2BAE2">
            <w:pPr>
              <w:rPr>
                <w:rFonts w:hint="eastAsia" w:asciiTheme="minorEastAsia" w:hAnsiTheme="minorEastAsia" w:eastAsiaTheme="minorEastAsia" w:cstheme="minorEastAsia"/>
                <w:sz w:val="24"/>
                <w:szCs w:val="24"/>
              </w:rPr>
            </w:pPr>
          </w:p>
        </w:tc>
        <w:tc>
          <w:tcPr>
            <w:tcW w:w="466" w:type="pct"/>
            <w:vAlign w:val="top"/>
          </w:tcPr>
          <w:p w14:paraId="684A9B9A">
            <w:pPr>
              <w:rPr>
                <w:rFonts w:hint="eastAsia" w:asciiTheme="minorEastAsia" w:hAnsiTheme="minorEastAsia" w:eastAsiaTheme="minorEastAsia" w:cstheme="minorEastAsia"/>
                <w:sz w:val="24"/>
                <w:szCs w:val="24"/>
              </w:rPr>
            </w:pPr>
          </w:p>
        </w:tc>
        <w:tc>
          <w:tcPr>
            <w:tcW w:w="561" w:type="pct"/>
            <w:vAlign w:val="top"/>
          </w:tcPr>
          <w:p w14:paraId="184BDC73">
            <w:pPr>
              <w:rPr>
                <w:rFonts w:hint="eastAsia" w:asciiTheme="minorEastAsia" w:hAnsiTheme="minorEastAsia" w:eastAsiaTheme="minorEastAsia" w:cstheme="minorEastAsia"/>
                <w:sz w:val="24"/>
                <w:szCs w:val="24"/>
              </w:rPr>
            </w:pPr>
          </w:p>
        </w:tc>
        <w:tc>
          <w:tcPr>
            <w:tcW w:w="466" w:type="pct"/>
            <w:vAlign w:val="top"/>
          </w:tcPr>
          <w:p w14:paraId="2E054A56">
            <w:pPr>
              <w:rPr>
                <w:rFonts w:hint="eastAsia" w:asciiTheme="minorEastAsia" w:hAnsiTheme="minorEastAsia" w:eastAsiaTheme="minorEastAsia" w:cstheme="minorEastAsia"/>
                <w:sz w:val="24"/>
                <w:szCs w:val="24"/>
              </w:rPr>
            </w:pPr>
          </w:p>
        </w:tc>
        <w:tc>
          <w:tcPr>
            <w:tcW w:w="503" w:type="pct"/>
            <w:vAlign w:val="top"/>
          </w:tcPr>
          <w:p w14:paraId="4D9C0675">
            <w:pPr>
              <w:rPr>
                <w:rFonts w:hint="eastAsia" w:asciiTheme="minorEastAsia" w:hAnsiTheme="minorEastAsia" w:eastAsiaTheme="minorEastAsia" w:cstheme="minorEastAsia"/>
                <w:sz w:val="24"/>
                <w:szCs w:val="24"/>
              </w:rPr>
            </w:pPr>
          </w:p>
        </w:tc>
        <w:tc>
          <w:tcPr>
            <w:tcW w:w="1304" w:type="pct"/>
            <w:vAlign w:val="top"/>
          </w:tcPr>
          <w:p w14:paraId="0C24EBE1">
            <w:pPr>
              <w:rPr>
                <w:rFonts w:hint="eastAsia" w:asciiTheme="minorEastAsia" w:hAnsiTheme="minorEastAsia" w:eastAsiaTheme="minorEastAsia" w:cstheme="minorEastAsia"/>
                <w:sz w:val="24"/>
                <w:szCs w:val="24"/>
              </w:rPr>
            </w:pPr>
          </w:p>
        </w:tc>
      </w:tr>
      <w:tr w14:paraId="12FF0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463" w:type="pct"/>
            <w:vAlign w:val="top"/>
          </w:tcPr>
          <w:p w14:paraId="3C3BEF68">
            <w:pPr>
              <w:rPr>
                <w:rFonts w:hint="eastAsia" w:asciiTheme="minorEastAsia" w:hAnsiTheme="minorEastAsia" w:eastAsiaTheme="minorEastAsia" w:cstheme="minorEastAsia"/>
                <w:sz w:val="24"/>
                <w:szCs w:val="24"/>
              </w:rPr>
            </w:pPr>
          </w:p>
        </w:tc>
        <w:tc>
          <w:tcPr>
            <w:tcW w:w="824" w:type="pct"/>
            <w:vAlign w:val="top"/>
          </w:tcPr>
          <w:p w14:paraId="5CF4243D">
            <w:pPr>
              <w:rPr>
                <w:rFonts w:hint="eastAsia" w:asciiTheme="minorEastAsia" w:hAnsiTheme="minorEastAsia" w:eastAsiaTheme="minorEastAsia" w:cstheme="minorEastAsia"/>
                <w:sz w:val="24"/>
                <w:szCs w:val="24"/>
              </w:rPr>
            </w:pPr>
          </w:p>
        </w:tc>
        <w:tc>
          <w:tcPr>
            <w:tcW w:w="410" w:type="pct"/>
            <w:vAlign w:val="top"/>
          </w:tcPr>
          <w:p w14:paraId="05CCE168">
            <w:pPr>
              <w:rPr>
                <w:rFonts w:hint="eastAsia" w:asciiTheme="minorEastAsia" w:hAnsiTheme="minorEastAsia" w:eastAsiaTheme="minorEastAsia" w:cstheme="minorEastAsia"/>
                <w:sz w:val="24"/>
                <w:szCs w:val="24"/>
              </w:rPr>
            </w:pPr>
          </w:p>
        </w:tc>
        <w:tc>
          <w:tcPr>
            <w:tcW w:w="466" w:type="pct"/>
            <w:vAlign w:val="top"/>
          </w:tcPr>
          <w:p w14:paraId="53FC4664">
            <w:pPr>
              <w:rPr>
                <w:rFonts w:hint="eastAsia" w:asciiTheme="minorEastAsia" w:hAnsiTheme="minorEastAsia" w:eastAsiaTheme="minorEastAsia" w:cstheme="minorEastAsia"/>
                <w:sz w:val="24"/>
                <w:szCs w:val="24"/>
              </w:rPr>
            </w:pPr>
          </w:p>
        </w:tc>
        <w:tc>
          <w:tcPr>
            <w:tcW w:w="561" w:type="pct"/>
            <w:vAlign w:val="top"/>
          </w:tcPr>
          <w:p w14:paraId="15D89A6D">
            <w:pPr>
              <w:rPr>
                <w:rFonts w:hint="eastAsia" w:asciiTheme="minorEastAsia" w:hAnsiTheme="minorEastAsia" w:eastAsiaTheme="minorEastAsia" w:cstheme="minorEastAsia"/>
                <w:sz w:val="24"/>
                <w:szCs w:val="24"/>
              </w:rPr>
            </w:pPr>
          </w:p>
        </w:tc>
        <w:tc>
          <w:tcPr>
            <w:tcW w:w="466" w:type="pct"/>
            <w:vAlign w:val="top"/>
          </w:tcPr>
          <w:p w14:paraId="0242B405">
            <w:pPr>
              <w:rPr>
                <w:rFonts w:hint="eastAsia" w:asciiTheme="minorEastAsia" w:hAnsiTheme="minorEastAsia" w:eastAsiaTheme="minorEastAsia" w:cstheme="minorEastAsia"/>
                <w:sz w:val="24"/>
                <w:szCs w:val="24"/>
              </w:rPr>
            </w:pPr>
          </w:p>
        </w:tc>
        <w:tc>
          <w:tcPr>
            <w:tcW w:w="503" w:type="pct"/>
            <w:vAlign w:val="top"/>
          </w:tcPr>
          <w:p w14:paraId="0CC9CCD7">
            <w:pPr>
              <w:rPr>
                <w:rFonts w:hint="eastAsia" w:asciiTheme="minorEastAsia" w:hAnsiTheme="minorEastAsia" w:eastAsiaTheme="minorEastAsia" w:cstheme="minorEastAsia"/>
                <w:sz w:val="24"/>
                <w:szCs w:val="24"/>
              </w:rPr>
            </w:pPr>
          </w:p>
        </w:tc>
        <w:tc>
          <w:tcPr>
            <w:tcW w:w="1304" w:type="pct"/>
            <w:vAlign w:val="top"/>
          </w:tcPr>
          <w:p w14:paraId="62380A34">
            <w:pPr>
              <w:rPr>
                <w:rFonts w:hint="eastAsia" w:asciiTheme="minorEastAsia" w:hAnsiTheme="minorEastAsia" w:eastAsiaTheme="minorEastAsia" w:cstheme="minorEastAsia"/>
                <w:sz w:val="24"/>
                <w:szCs w:val="24"/>
              </w:rPr>
            </w:pPr>
          </w:p>
        </w:tc>
      </w:tr>
      <w:tr w14:paraId="79BEF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463" w:type="pct"/>
            <w:vAlign w:val="top"/>
          </w:tcPr>
          <w:p w14:paraId="3B07793C">
            <w:pPr>
              <w:rPr>
                <w:rFonts w:hint="eastAsia" w:asciiTheme="minorEastAsia" w:hAnsiTheme="minorEastAsia" w:eastAsiaTheme="minorEastAsia" w:cstheme="minorEastAsia"/>
                <w:sz w:val="24"/>
                <w:szCs w:val="24"/>
              </w:rPr>
            </w:pPr>
          </w:p>
        </w:tc>
        <w:tc>
          <w:tcPr>
            <w:tcW w:w="824" w:type="pct"/>
            <w:vAlign w:val="top"/>
          </w:tcPr>
          <w:p w14:paraId="0FE55AE3">
            <w:pPr>
              <w:rPr>
                <w:rFonts w:hint="eastAsia" w:asciiTheme="minorEastAsia" w:hAnsiTheme="minorEastAsia" w:eastAsiaTheme="minorEastAsia" w:cstheme="minorEastAsia"/>
                <w:sz w:val="24"/>
                <w:szCs w:val="24"/>
              </w:rPr>
            </w:pPr>
          </w:p>
        </w:tc>
        <w:tc>
          <w:tcPr>
            <w:tcW w:w="410" w:type="pct"/>
            <w:vAlign w:val="top"/>
          </w:tcPr>
          <w:p w14:paraId="685D9416">
            <w:pPr>
              <w:rPr>
                <w:rFonts w:hint="eastAsia" w:asciiTheme="minorEastAsia" w:hAnsiTheme="minorEastAsia" w:eastAsiaTheme="minorEastAsia" w:cstheme="minorEastAsia"/>
                <w:sz w:val="24"/>
                <w:szCs w:val="24"/>
              </w:rPr>
            </w:pPr>
          </w:p>
        </w:tc>
        <w:tc>
          <w:tcPr>
            <w:tcW w:w="466" w:type="pct"/>
            <w:vAlign w:val="top"/>
          </w:tcPr>
          <w:p w14:paraId="4823F57B">
            <w:pPr>
              <w:rPr>
                <w:rFonts w:hint="eastAsia" w:asciiTheme="minorEastAsia" w:hAnsiTheme="minorEastAsia" w:eastAsiaTheme="minorEastAsia" w:cstheme="minorEastAsia"/>
                <w:sz w:val="24"/>
                <w:szCs w:val="24"/>
              </w:rPr>
            </w:pPr>
          </w:p>
        </w:tc>
        <w:tc>
          <w:tcPr>
            <w:tcW w:w="561" w:type="pct"/>
            <w:vAlign w:val="top"/>
          </w:tcPr>
          <w:p w14:paraId="17CFA104">
            <w:pPr>
              <w:rPr>
                <w:rFonts w:hint="eastAsia" w:asciiTheme="minorEastAsia" w:hAnsiTheme="minorEastAsia" w:eastAsiaTheme="minorEastAsia" w:cstheme="minorEastAsia"/>
                <w:sz w:val="24"/>
                <w:szCs w:val="24"/>
              </w:rPr>
            </w:pPr>
          </w:p>
        </w:tc>
        <w:tc>
          <w:tcPr>
            <w:tcW w:w="466" w:type="pct"/>
            <w:vAlign w:val="top"/>
          </w:tcPr>
          <w:p w14:paraId="616EE693">
            <w:pPr>
              <w:rPr>
                <w:rFonts w:hint="eastAsia" w:asciiTheme="minorEastAsia" w:hAnsiTheme="minorEastAsia" w:eastAsiaTheme="minorEastAsia" w:cstheme="minorEastAsia"/>
                <w:sz w:val="24"/>
                <w:szCs w:val="24"/>
              </w:rPr>
            </w:pPr>
          </w:p>
        </w:tc>
        <w:tc>
          <w:tcPr>
            <w:tcW w:w="503" w:type="pct"/>
            <w:vAlign w:val="top"/>
          </w:tcPr>
          <w:p w14:paraId="09442B4C">
            <w:pPr>
              <w:rPr>
                <w:rFonts w:hint="eastAsia" w:asciiTheme="minorEastAsia" w:hAnsiTheme="minorEastAsia" w:eastAsiaTheme="minorEastAsia" w:cstheme="minorEastAsia"/>
                <w:sz w:val="24"/>
                <w:szCs w:val="24"/>
              </w:rPr>
            </w:pPr>
          </w:p>
        </w:tc>
        <w:tc>
          <w:tcPr>
            <w:tcW w:w="1304" w:type="pct"/>
            <w:vAlign w:val="top"/>
          </w:tcPr>
          <w:p w14:paraId="7F867215">
            <w:pPr>
              <w:rPr>
                <w:rFonts w:hint="eastAsia" w:asciiTheme="minorEastAsia" w:hAnsiTheme="minorEastAsia" w:eastAsiaTheme="minorEastAsia" w:cstheme="minorEastAsia"/>
                <w:sz w:val="24"/>
                <w:szCs w:val="24"/>
              </w:rPr>
            </w:pPr>
          </w:p>
        </w:tc>
      </w:tr>
      <w:tr w14:paraId="2D48C2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463" w:type="pct"/>
            <w:vAlign w:val="top"/>
          </w:tcPr>
          <w:p w14:paraId="6C10CD6C">
            <w:pPr>
              <w:rPr>
                <w:rFonts w:hint="eastAsia" w:asciiTheme="minorEastAsia" w:hAnsiTheme="minorEastAsia" w:eastAsiaTheme="minorEastAsia" w:cstheme="minorEastAsia"/>
                <w:sz w:val="24"/>
                <w:szCs w:val="24"/>
              </w:rPr>
            </w:pPr>
          </w:p>
        </w:tc>
        <w:tc>
          <w:tcPr>
            <w:tcW w:w="824" w:type="pct"/>
            <w:vAlign w:val="top"/>
          </w:tcPr>
          <w:p w14:paraId="1EA2852B">
            <w:pPr>
              <w:rPr>
                <w:rFonts w:hint="eastAsia" w:asciiTheme="minorEastAsia" w:hAnsiTheme="minorEastAsia" w:eastAsiaTheme="minorEastAsia" w:cstheme="minorEastAsia"/>
                <w:sz w:val="24"/>
                <w:szCs w:val="24"/>
              </w:rPr>
            </w:pPr>
          </w:p>
        </w:tc>
        <w:tc>
          <w:tcPr>
            <w:tcW w:w="410" w:type="pct"/>
            <w:vAlign w:val="top"/>
          </w:tcPr>
          <w:p w14:paraId="4B6A4091">
            <w:pPr>
              <w:rPr>
                <w:rFonts w:hint="eastAsia" w:asciiTheme="minorEastAsia" w:hAnsiTheme="minorEastAsia" w:eastAsiaTheme="minorEastAsia" w:cstheme="minorEastAsia"/>
                <w:sz w:val="24"/>
                <w:szCs w:val="24"/>
              </w:rPr>
            </w:pPr>
          </w:p>
        </w:tc>
        <w:tc>
          <w:tcPr>
            <w:tcW w:w="466" w:type="pct"/>
            <w:vAlign w:val="top"/>
          </w:tcPr>
          <w:p w14:paraId="409286C6">
            <w:pPr>
              <w:rPr>
                <w:rFonts w:hint="eastAsia" w:asciiTheme="minorEastAsia" w:hAnsiTheme="minorEastAsia" w:eastAsiaTheme="minorEastAsia" w:cstheme="minorEastAsia"/>
                <w:sz w:val="24"/>
                <w:szCs w:val="24"/>
              </w:rPr>
            </w:pPr>
          </w:p>
        </w:tc>
        <w:tc>
          <w:tcPr>
            <w:tcW w:w="561" w:type="pct"/>
            <w:vAlign w:val="top"/>
          </w:tcPr>
          <w:p w14:paraId="33025F75">
            <w:pPr>
              <w:rPr>
                <w:rFonts w:hint="eastAsia" w:asciiTheme="minorEastAsia" w:hAnsiTheme="minorEastAsia" w:eastAsiaTheme="minorEastAsia" w:cstheme="minorEastAsia"/>
                <w:sz w:val="24"/>
                <w:szCs w:val="24"/>
              </w:rPr>
            </w:pPr>
          </w:p>
        </w:tc>
        <w:tc>
          <w:tcPr>
            <w:tcW w:w="466" w:type="pct"/>
            <w:vAlign w:val="top"/>
          </w:tcPr>
          <w:p w14:paraId="21D82961">
            <w:pPr>
              <w:rPr>
                <w:rFonts w:hint="eastAsia" w:asciiTheme="minorEastAsia" w:hAnsiTheme="minorEastAsia" w:eastAsiaTheme="minorEastAsia" w:cstheme="minorEastAsia"/>
                <w:sz w:val="24"/>
                <w:szCs w:val="24"/>
              </w:rPr>
            </w:pPr>
          </w:p>
        </w:tc>
        <w:tc>
          <w:tcPr>
            <w:tcW w:w="503" w:type="pct"/>
            <w:vAlign w:val="top"/>
          </w:tcPr>
          <w:p w14:paraId="041C72A1">
            <w:pPr>
              <w:rPr>
                <w:rFonts w:hint="eastAsia" w:asciiTheme="minorEastAsia" w:hAnsiTheme="minorEastAsia" w:eastAsiaTheme="minorEastAsia" w:cstheme="minorEastAsia"/>
                <w:sz w:val="24"/>
                <w:szCs w:val="24"/>
              </w:rPr>
            </w:pPr>
          </w:p>
        </w:tc>
        <w:tc>
          <w:tcPr>
            <w:tcW w:w="1304" w:type="pct"/>
            <w:vAlign w:val="top"/>
          </w:tcPr>
          <w:p w14:paraId="4007EA90">
            <w:pPr>
              <w:rPr>
                <w:rFonts w:hint="eastAsia" w:asciiTheme="minorEastAsia" w:hAnsiTheme="minorEastAsia" w:eastAsiaTheme="minorEastAsia" w:cstheme="minorEastAsia"/>
                <w:sz w:val="24"/>
                <w:szCs w:val="24"/>
              </w:rPr>
            </w:pPr>
          </w:p>
        </w:tc>
      </w:tr>
      <w:tr w14:paraId="66E5A9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463" w:type="pct"/>
            <w:vAlign w:val="top"/>
          </w:tcPr>
          <w:p w14:paraId="2F60A4A5">
            <w:pPr>
              <w:rPr>
                <w:rFonts w:hint="eastAsia" w:asciiTheme="minorEastAsia" w:hAnsiTheme="minorEastAsia" w:eastAsiaTheme="minorEastAsia" w:cstheme="minorEastAsia"/>
                <w:sz w:val="24"/>
                <w:szCs w:val="24"/>
              </w:rPr>
            </w:pPr>
          </w:p>
        </w:tc>
        <w:tc>
          <w:tcPr>
            <w:tcW w:w="824" w:type="pct"/>
            <w:vAlign w:val="top"/>
          </w:tcPr>
          <w:p w14:paraId="4B083B5B">
            <w:pPr>
              <w:rPr>
                <w:rFonts w:hint="eastAsia" w:asciiTheme="minorEastAsia" w:hAnsiTheme="minorEastAsia" w:eastAsiaTheme="minorEastAsia" w:cstheme="minorEastAsia"/>
                <w:sz w:val="24"/>
                <w:szCs w:val="24"/>
              </w:rPr>
            </w:pPr>
          </w:p>
        </w:tc>
        <w:tc>
          <w:tcPr>
            <w:tcW w:w="410" w:type="pct"/>
            <w:vAlign w:val="top"/>
          </w:tcPr>
          <w:p w14:paraId="1EECB1A5">
            <w:pPr>
              <w:rPr>
                <w:rFonts w:hint="eastAsia" w:asciiTheme="minorEastAsia" w:hAnsiTheme="minorEastAsia" w:eastAsiaTheme="minorEastAsia" w:cstheme="minorEastAsia"/>
                <w:sz w:val="24"/>
                <w:szCs w:val="24"/>
              </w:rPr>
            </w:pPr>
          </w:p>
        </w:tc>
        <w:tc>
          <w:tcPr>
            <w:tcW w:w="466" w:type="pct"/>
            <w:vAlign w:val="top"/>
          </w:tcPr>
          <w:p w14:paraId="57B4FF24">
            <w:pPr>
              <w:rPr>
                <w:rFonts w:hint="eastAsia" w:asciiTheme="minorEastAsia" w:hAnsiTheme="minorEastAsia" w:eastAsiaTheme="minorEastAsia" w:cstheme="minorEastAsia"/>
                <w:sz w:val="24"/>
                <w:szCs w:val="24"/>
              </w:rPr>
            </w:pPr>
          </w:p>
        </w:tc>
        <w:tc>
          <w:tcPr>
            <w:tcW w:w="561" w:type="pct"/>
            <w:vAlign w:val="top"/>
          </w:tcPr>
          <w:p w14:paraId="66D78B07">
            <w:pPr>
              <w:rPr>
                <w:rFonts w:hint="eastAsia" w:asciiTheme="minorEastAsia" w:hAnsiTheme="minorEastAsia" w:eastAsiaTheme="minorEastAsia" w:cstheme="minorEastAsia"/>
                <w:sz w:val="24"/>
                <w:szCs w:val="24"/>
              </w:rPr>
            </w:pPr>
          </w:p>
        </w:tc>
        <w:tc>
          <w:tcPr>
            <w:tcW w:w="466" w:type="pct"/>
            <w:vAlign w:val="top"/>
          </w:tcPr>
          <w:p w14:paraId="0D977931">
            <w:pPr>
              <w:rPr>
                <w:rFonts w:hint="eastAsia" w:asciiTheme="minorEastAsia" w:hAnsiTheme="minorEastAsia" w:eastAsiaTheme="minorEastAsia" w:cstheme="minorEastAsia"/>
                <w:sz w:val="24"/>
                <w:szCs w:val="24"/>
              </w:rPr>
            </w:pPr>
          </w:p>
        </w:tc>
        <w:tc>
          <w:tcPr>
            <w:tcW w:w="503" w:type="pct"/>
            <w:vAlign w:val="top"/>
          </w:tcPr>
          <w:p w14:paraId="59C4CABF">
            <w:pPr>
              <w:rPr>
                <w:rFonts w:hint="eastAsia" w:asciiTheme="minorEastAsia" w:hAnsiTheme="minorEastAsia" w:eastAsiaTheme="minorEastAsia" w:cstheme="minorEastAsia"/>
                <w:sz w:val="24"/>
                <w:szCs w:val="24"/>
              </w:rPr>
            </w:pPr>
          </w:p>
        </w:tc>
        <w:tc>
          <w:tcPr>
            <w:tcW w:w="1304" w:type="pct"/>
            <w:vAlign w:val="top"/>
          </w:tcPr>
          <w:p w14:paraId="3F836257">
            <w:pPr>
              <w:rPr>
                <w:rFonts w:hint="eastAsia" w:asciiTheme="minorEastAsia" w:hAnsiTheme="minorEastAsia" w:eastAsiaTheme="minorEastAsia" w:cstheme="minorEastAsia"/>
                <w:sz w:val="24"/>
                <w:szCs w:val="24"/>
              </w:rPr>
            </w:pPr>
          </w:p>
        </w:tc>
      </w:tr>
      <w:tr w14:paraId="5F1C20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463" w:type="pct"/>
            <w:vAlign w:val="top"/>
          </w:tcPr>
          <w:p w14:paraId="14E1F8EE">
            <w:pPr>
              <w:rPr>
                <w:rFonts w:hint="eastAsia" w:asciiTheme="minorEastAsia" w:hAnsiTheme="minorEastAsia" w:eastAsiaTheme="minorEastAsia" w:cstheme="minorEastAsia"/>
                <w:sz w:val="24"/>
                <w:szCs w:val="24"/>
              </w:rPr>
            </w:pPr>
          </w:p>
        </w:tc>
        <w:tc>
          <w:tcPr>
            <w:tcW w:w="824" w:type="pct"/>
            <w:vAlign w:val="top"/>
          </w:tcPr>
          <w:p w14:paraId="0ABF00E6">
            <w:pPr>
              <w:rPr>
                <w:rFonts w:hint="eastAsia" w:asciiTheme="minorEastAsia" w:hAnsiTheme="minorEastAsia" w:eastAsiaTheme="minorEastAsia" w:cstheme="minorEastAsia"/>
                <w:sz w:val="24"/>
                <w:szCs w:val="24"/>
              </w:rPr>
            </w:pPr>
          </w:p>
        </w:tc>
        <w:tc>
          <w:tcPr>
            <w:tcW w:w="410" w:type="pct"/>
            <w:vAlign w:val="top"/>
          </w:tcPr>
          <w:p w14:paraId="160BDC1D">
            <w:pPr>
              <w:rPr>
                <w:rFonts w:hint="eastAsia" w:asciiTheme="minorEastAsia" w:hAnsiTheme="minorEastAsia" w:eastAsiaTheme="minorEastAsia" w:cstheme="minorEastAsia"/>
                <w:sz w:val="24"/>
                <w:szCs w:val="24"/>
              </w:rPr>
            </w:pPr>
          </w:p>
        </w:tc>
        <w:tc>
          <w:tcPr>
            <w:tcW w:w="466" w:type="pct"/>
            <w:vAlign w:val="top"/>
          </w:tcPr>
          <w:p w14:paraId="28AE50EA">
            <w:pPr>
              <w:rPr>
                <w:rFonts w:hint="eastAsia" w:asciiTheme="minorEastAsia" w:hAnsiTheme="minorEastAsia" w:eastAsiaTheme="minorEastAsia" w:cstheme="minorEastAsia"/>
                <w:sz w:val="24"/>
                <w:szCs w:val="24"/>
              </w:rPr>
            </w:pPr>
          </w:p>
        </w:tc>
        <w:tc>
          <w:tcPr>
            <w:tcW w:w="561" w:type="pct"/>
            <w:vAlign w:val="top"/>
          </w:tcPr>
          <w:p w14:paraId="481CC04F">
            <w:pPr>
              <w:rPr>
                <w:rFonts w:hint="eastAsia" w:asciiTheme="minorEastAsia" w:hAnsiTheme="minorEastAsia" w:eastAsiaTheme="minorEastAsia" w:cstheme="minorEastAsia"/>
                <w:sz w:val="24"/>
                <w:szCs w:val="24"/>
              </w:rPr>
            </w:pPr>
          </w:p>
        </w:tc>
        <w:tc>
          <w:tcPr>
            <w:tcW w:w="466" w:type="pct"/>
            <w:vAlign w:val="top"/>
          </w:tcPr>
          <w:p w14:paraId="485CCA0C">
            <w:pPr>
              <w:rPr>
                <w:rFonts w:hint="eastAsia" w:asciiTheme="minorEastAsia" w:hAnsiTheme="minorEastAsia" w:eastAsiaTheme="minorEastAsia" w:cstheme="minorEastAsia"/>
                <w:sz w:val="24"/>
                <w:szCs w:val="24"/>
              </w:rPr>
            </w:pPr>
          </w:p>
        </w:tc>
        <w:tc>
          <w:tcPr>
            <w:tcW w:w="503" w:type="pct"/>
            <w:vAlign w:val="top"/>
          </w:tcPr>
          <w:p w14:paraId="73BCEF95">
            <w:pPr>
              <w:rPr>
                <w:rFonts w:hint="eastAsia" w:asciiTheme="minorEastAsia" w:hAnsiTheme="minorEastAsia" w:eastAsiaTheme="minorEastAsia" w:cstheme="minorEastAsia"/>
                <w:sz w:val="24"/>
                <w:szCs w:val="24"/>
              </w:rPr>
            </w:pPr>
          </w:p>
        </w:tc>
        <w:tc>
          <w:tcPr>
            <w:tcW w:w="1304" w:type="pct"/>
            <w:vAlign w:val="top"/>
          </w:tcPr>
          <w:p w14:paraId="52B0E284">
            <w:pPr>
              <w:rPr>
                <w:rFonts w:hint="eastAsia" w:asciiTheme="minorEastAsia" w:hAnsiTheme="minorEastAsia" w:eastAsiaTheme="minorEastAsia" w:cstheme="minorEastAsia"/>
                <w:sz w:val="24"/>
                <w:szCs w:val="24"/>
              </w:rPr>
            </w:pPr>
          </w:p>
        </w:tc>
      </w:tr>
      <w:tr w14:paraId="4B562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463" w:type="pct"/>
            <w:vAlign w:val="top"/>
          </w:tcPr>
          <w:p w14:paraId="31633517">
            <w:pPr>
              <w:rPr>
                <w:rFonts w:hint="eastAsia" w:asciiTheme="minorEastAsia" w:hAnsiTheme="minorEastAsia" w:eastAsiaTheme="minorEastAsia" w:cstheme="minorEastAsia"/>
                <w:sz w:val="24"/>
                <w:szCs w:val="24"/>
              </w:rPr>
            </w:pPr>
          </w:p>
        </w:tc>
        <w:tc>
          <w:tcPr>
            <w:tcW w:w="824" w:type="pct"/>
            <w:vAlign w:val="top"/>
          </w:tcPr>
          <w:p w14:paraId="6C6B747D">
            <w:pPr>
              <w:rPr>
                <w:rFonts w:hint="eastAsia" w:asciiTheme="minorEastAsia" w:hAnsiTheme="minorEastAsia" w:eastAsiaTheme="minorEastAsia" w:cstheme="minorEastAsia"/>
                <w:sz w:val="24"/>
                <w:szCs w:val="24"/>
              </w:rPr>
            </w:pPr>
          </w:p>
        </w:tc>
        <w:tc>
          <w:tcPr>
            <w:tcW w:w="410" w:type="pct"/>
            <w:vAlign w:val="top"/>
          </w:tcPr>
          <w:p w14:paraId="249B368F">
            <w:pPr>
              <w:rPr>
                <w:rFonts w:hint="eastAsia" w:asciiTheme="minorEastAsia" w:hAnsiTheme="minorEastAsia" w:eastAsiaTheme="minorEastAsia" w:cstheme="minorEastAsia"/>
                <w:sz w:val="24"/>
                <w:szCs w:val="24"/>
              </w:rPr>
            </w:pPr>
          </w:p>
        </w:tc>
        <w:tc>
          <w:tcPr>
            <w:tcW w:w="466" w:type="pct"/>
            <w:vAlign w:val="top"/>
          </w:tcPr>
          <w:p w14:paraId="564CDA01">
            <w:pPr>
              <w:rPr>
                <w:rFonts w:hint="eastAsia" w:asciiTheme="minorEastAsia" w:hAnsiTheme="minorEastAsia" w:eastAsiaTheme="minorEastAsia" w:cstheme="minorEastAsia"/>
                <w:sz w:val="24"/>
                <w:szCs w:val="24"/>
              </w:rPr>
            </w:pPr>
          </w:p>
        </w:tc>
        <w:tc>
          <w:tcPr>
            <w:tcW w:w="561" w:type="pct"/>
            <w:vAlign w:val="top"/>
          </w:tcPr>
          <w:p w14:paraId="4FF7F5BB">
            <w:pPr>
              <w:rPr>
                <w:rFonts w:hint="eastAsia" w:asciiTheme="minorEastAsia" w:hAnsiTheme="minorEastAsia" w:eastAsiaTheme="minorEastAsia" w:cstheme="minorEastAsia"/>
                <w:sz w:val="24"/>
                <w:szCs w:val="24"/>
              </w:rPr>
            </w:pPr>
          </w:p>
        </w:tc>
        <w:tc>
          <w:tcPr>
            <w:tcW w:w="466" w:type="pct"/>
            <w:vAlign w:val="top"/>
          </w:tcPr>
          <w:p w14:paraId="38C54423">
            <w:pPr>
              <w:rPr>
                <w:rFonts w:hint="eastAsia" w:asciiTheme="minorEastAsia" w:hAnsiTheme="minorEastAsia" w:eastAsiaTheme="minorEastAsia" w:cstheme="minorEastAsia"/>
                <w:sz w:val="24"/>
                <w:szCs w:val="24"/>
              </w:rPr>
            </w:pPr>
          </w:p>
        </w:tc>
        <w:tc>
          <w:tcPr>
            <w:tcW w:w="503" w:type="pct"/>
            <w:vAlign w:val="top"/>
          </w:tcPr>
          <w:p w14:paraId="46F99BC3">
            <w:pPr>
              <w:rPr>
                <w:rFonts w:hint="eastAsia" w:asciiTheme="minorEastAsia" w:hAnsiTheme="minorEastAsia" w:eastAsiaTheme="minorEastAsia" w:cstheme="minorEastAsia"/>
                <w:sz w:val="24"/>
                <w:szCs w:val="24"/>
              </w:rPr>
            </w:pPr>
          </w:p>
        </w:tc>
        <w:tc>
          <w:tcPr>
            <w:tcW w:w="1304" w:type="pct"/>
            <w:vAlign w:val="top"/>
          </w:tcPr>
          <w:p w14:paraId="46AE43B6">
            <w:pPr>
              <w:rPr>
                <w:rFonts w:hint="eastAsia" w:asciiTheme="minorEastAsia" w:hAnsiTheme="minorEastAsia" w:eastAsiaTheme="minorEastAsia" w:cstheme="minorEastAsia"/>
                <w:sz w:val="24"/>
                <w:szCs w:val="24"/>
              </w:rPr>
            </w:pPr>
          </w:p>
        </w:tc>
      </w:tr>
      <w:tr w14:paraId="5C01E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463" w:type="pct"/>
            <w:vAlign w:val="top"/>
          </w:tcPr>
          <w:p w14:paraId="0135310F">
            <w:pPr>
              <w:rPr>
                <w:rFonts w:hint="eastAsia" w:asciiTheme="minorEastAsia" w:hAnsiTheme="minorEastAsia" w:eastAsiaTheme="minorEastAsia" w:cstheme="minorEastAsia"/>
                <w:sz w:val="24"/>
                <w:szCs w:val="24"/>
              </w:rPr>
            </w:pPr>
          </w:p>
        </w:tc>
        <w:tc>
          <w:tcPr>
            <w:tcW w:w="824" w:type="pct"/>
            <w:vAlign w:val="top"/>
          </w:tcPr>
          <w:p w14:paraId="74243D73">
            <w:pPr>
              <w:rPr>
                <w:rFonts w:hint="eastAsia" w:asciiTheme="minorEastAsia" w:hAnsiTheme="minorEastAsia" w:eastAsiaTheme="minorEastAsia" w:cstheme="minorEastAsia"/>
                <w:sz w:val="24"/>
                <w:szCs w:val="24"/>
              </w:rPr>
            </w:pPr>
          </w:p>
        </w:tc>
        <w:tc>
          <w:tcPr>
            <w:tcW w:w="410" w:type="pct"/>
            <w:vAlign w:val="top"/>
          </w:tcPr>
          <w:p w14:paraId="2116C99C">
            <w:pPr>
              <w:rPr>
                <w:rFonts w:hint="eastAsia" w:asciiTheme="minorEastAsia" w:hAnsiTheme="minorEastAsia" w:eastAsiaTheme="minorEastAsia" w:cstheme="minorEastAsia"/>
                <w:sz w:val="24"/>
                <w:szCs w:val="24"/>
              </w:rPr>
            </w:pPr>
          </w:p>
        </w:tc>
        <w:tc>
          <w:tcPr>
            <w:tcW w:w="466" w:type="pct"/>
            <w:vAlign w:val="top"/>
          </w:tcPr>
          <w:p w14:paraId="665644B7">
            <w:pPr>
              <w:rPr>
                <w:rFonts w:hint="eastAsia" w:asciiTheme="minorEastAsia" w:hAnsiTheme="minorEastAsia" w:eastAsiaTheme="minorEastAsia" w:cstheme="minorEastAsia"/>
                <w:sz w:val="24"/>
                <w:szCs w:val="24"/>
              </w:rPr>
            </w:pPr>
          </w:p>
        </w:tc>
        <w:tc>
          <w:tcPr>
            <w:tcW w:w="561" w:type="pct"/>
            <w:vAlign w:val="top"/>
          </w:tcPr>
          <w:p w14:paraId="05A0069A">
            <w:pPr>
              <w:rPr>
                <w:rFonts w:hint="eastAsia" w:asciiTheme="minorEastAsia" w:hAnsiTheme="minorEastAsia" w:eastAsiaTheme="minorEastAsia" w:cstheme="minorEastAsia"/>
                <w:sz w:val="24"/>
                <w:szCs w:val="24"/>
              </w:rPr>
            </w:pPr>
          </w:p>
        </w:tc>
        <w:tc>
          <w:tcPr>
            <w:tcW w:w="466" w:type="pct"/>
            <w:vAlign w:val="top"/>
          </w:tcPr>
          <w:p w14:paraId="7D3F488F">
            <w:pPr>
              <w:rPr>
                <w:rFonts w:hint="eastAsia" w:asciiTheme="minorEastAsia" w:hAnsiTheme="minorEastAsia" w:eastAsiaTheme="minorEastAsia" w:cstheme="minorEastAsia"/>
                <w:sz w:val="24"/>
                <w:szCs w:val="24"/>
              </w:rPr>
            </w:pPr>
          </w:p>
        </w:tc>
        <w:tc>
          <w:tcPr>
            <w:tcW w:w="503" w:type="pct"/>
            <w:vAlign w:val="top"/>
          </w:tcPr>
          <w:p w14:paraId="25D38883">
            <w:pPr>
              <w:rPr>
                <w:rFonts w:hint="eastAsia" w:asciiTheme="minorEastAsia" w:hAnsiTheme="minorEastAsia" w:eastAsiaTheme="minorEastAsia" w:cstheme="minorEastAsia"/>
                <w:sz w:val="24"/>
                <w:szCs w:val="24"/>
              </w:rPr>
            </w:pPr>
          </w:p>
        </w:tc>
        <w:tc>
          <w:tcPr>
            <w:tcW w:w="1304" w:type="pct"/>
            <w:vAlign w:val="top"/>
          </w:tcPr>
          <w:p w14:paraId="4197CAD8">
            <w:pPr>
              <w:rPr>
                <w:rFonts w:hint="eastAsia" w:asciiTheme="minorEastAsia" w:hAnsiTheme="minorEastAsia" w:eastAsiaTheme="minorEastAsia" w:cstheme="minorEastAsia"/>
                <w:sz w:val="24"/>
                <w:szCs w:val="24"/>
              </w:rPr>
            </w:pPr>
          </w:p>
        </w:tc>
      </w:tr>
      <w:tr w14:paraId="2BEAA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463" w:type="pct"/>
            <w:vAlign w:val="top"/>
          </w:tcPr>
          <w:p w14:paraId="248FDE7E">
            <w:pPr>
              <w:rPr>
                <w:rFonts w:hint="eastAsia" w:asciiTheme="minorEastAsia" w:hAnsiTheme="minorEastAsia" w:eastAsiaTheme="minorEastAsia" w:cstheme="minorEastAsia"/>
                <w:sz w:val="24"/>
                <w:szCs w:val="24"/>
              </w:rPr>
            </w:pPr>
          </w:p>
        </w:tc>
        <w:tc>
          <w:tcPr>
            <w:tcW w:w="824" w:type="pct"/>
            <w:vAlign w:val="top"/>
          </w:tcPr>
          <w:p w14:paraId="02D3D7E6">
            <w:pPr>
              <w:rPr>
                <w:rFonts w:hint="eastAsia" w:asciiTheme="minorEastAsia" w:hAnsiTheme="minorEastAsia" w:eastAsiaTheme="minorEastAsia" w:cstheme="minorEastAsia"/>
                <w:sz w:val="24"/>
                <w:szCs w:val="24"/>
              </w:rPr>
            </w:pPr>
          </w:p>
        </w:tc>
        <w:tc>
          <w:tcPr>
            <w:tcW w:w="410" w:type="pct"/>
            <w:vAlign w:val="top"/>
          </w:tcPr>
          <w:p w14:paraId="080FB57E">
            <w:pPr>
              <w:rPr>
                <w:rFonts w:hint="eastAsia" w:asciiTheme="minorEastAsia" w:hAnsiTheme="minorEastAsia" w:eastAsiaTheme="minorEastAsia" w:cstheme="minorEastAsia"/>
                <w:sz w:val="24"/>
                <w:szCs w:val="24"/>
              </w:rPr>
            </w:pPr>
          </w:p>
        </w:tc>
        <w:tc>
          <w:tcPr>
            <w:tcW w:w="466" w:type="pct"/>
            <w:vAlign w:val="top"/>
          </w:tcPr>
          <w:p w14:paraId="012B8400">
            <w:pPr>
              <w:rPr>
                <w:rFonts w:hint="eastAsia" w:asciiTheme="minorEastAsia" w:hAnsiTheme="minorEastAsia" w:eastAsiaTheme="minorEastAsia" w:cstheme="minorEastAsia"/>
                <w:sz w:val="24"/>
                <w:szCs w:val="24"/>
              </w:rPr>
            </w:pPr>
          </w:p>
        </w:tc>
        <w:tc>
          <w:tcPr>
            <w:tcW w:w="561" w:type="pct"/>
            <w:vAlign w:val="top"/>
          </w:tcPr>
          <w:p w14:paraId="2E6D4D08">
            <w:pPr>
              <w:rPr>
                <w:rFonts w:hint="eastAsia" w:asciiTheme="minorEastAsia" w:hAnsiTheme="minorEastAsia" w:eastAsiaTheme="minorEastAsia" w:cstheme="minorEastAsia"/>
                <w:sz w:val="24"/>
                <w:szCs w:val="24"/>
              </w:rPr>
            </w:pPr>
          </w:p>
        </w:tc>
        <w:tc>
          <w:tcPr>
            <w:tcW w:w="466" w:type="pct"/>
            <w:vAlign w:val="top"/>
          </w:tcPr>
          <w:p w14:paraId="08B7BD74">
            <w:pPr>
              <w:rPr>
                <w:rFonts w:hint="eastAsia" w:asciiTheme="minorEastAsia" w:hAnsiTheme="minorEastAsia" w:eastAsiaTheme="minorEastAsia" w:cstheme="minorEastAsia"/>
                <w:sz w:val="24"/>
                <w:szCs w:val="24"/>
              </w:rPr>
            </w:pPr>
          </w:p>
        </w:tc>
        <w:tc>
          <w:tcPr>
            <w:tcW w:w="503" w:type="pct"/>
            <w:vAlign w:val="top"/>
          </w:tcPr>
          <w:p w14:paraId="5C37ED4D">
            <w:pPr>
              <w:rPr>
                <w:rFonts w:hint="eastAsia" w:asciiTheme="minorEastAsia" w:hAnsiTheme="minorEastAsia" w:eastAsiaTheme="minorEastAsia" w:cstheme="minorEastAsia"/>
                <w:sz w:val="24"/>
                <w:szCs w:val="24"/>
              </w:rPr>
            </w:pPr>
          </w:p>
        </w:tc>
        <w:tc>
          <w:tcPr>
            <w:tcW w:w="1304" w:type="pct"/>
            <w:vAlign w:val="top"/>
          </w:tcPr>
          <w:p w14:paraId="1341CC9F">
            <w:pPr>
              <w:rPr>
                <w:rFonts w:hint="eastAsia" w:asciiTheme="minorEastAsia" w:hAnsiTheme="minorEastAsia" w:eastAsiaTheme="minorEastAsia" w:cstheme="minorEastAsia"/>
                <w:sz w:val="24"/>
                <w:szCs w:val="24"/>
              </w:rPr>
            </w:pPr>
          </w:p>
        </w:tc>
      </w:tr>
      <w:tr w14:paraId="1AE5EC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463" w:type="pct"/>
            <w:vAlign w:val="top"/>
          </w:tcPr>
          <w:p w14:paraId="7EFA4B1C">
            <w:pPr>
              <w:rPr>
                <w:rFonts w:hint="eastAsia" w:asciiTheme="minorEastAsia" w:hAnsiTheme="minorEastAsia" w:eastAsiaTheme="minorEastAsia" w:cstheme="minorEastAsia"/>
                <w:sz w:val="24"/>
                <w:szCs w:val="24"/>
              </w:rPr>
            </w:pPr>
          </w:p>
        </w:tc>
        <w:tc>
          <w:tcPr>
            <w:tcW w:w="824" w:type="pct"/>
            <w:vAlign w:val="top"/>
          </w:tcPr>
          <w:p w14:paraId="63657FD0">
            <w:pPr>
              <w:rPr>
                <w:rFonts w:hint="eastAsia" w:asciiTheme="minorEastAsia" w:hAnsiTheme="minorEastAsia" w:eastAsiaTheme="minorEastAsia" w:cstheme="minorEastAsia"/>
                <w:sz w:val="24"/>
                <w:szCs w:val="24"/>
              </w:rPr>
            </w:pPr>
          </w:p>
        </w:tc>
        <w:tc>
          <w:tcPr>
            <w:tcW w:w="410" w:type="pct"/>
            <w:vAlign w:val="top"/>
          </w:tcPr>
          <w:p w14:paraId="7D5B67F9">
            <w:pPr>
              <w:rPr>
                <w:rFonts w:hint="eastAsia" w:asciiTheme="minorEastAsia" w:hAnsiTheme="minorEastAsia" w:eastAsiaTheme="minorEastAsia" w:cstheme="minorEastAsia"/>
                <w:sz w:val="24"/>
                <w:szCs w:val="24"/>
              </w:rPr>
            </w:pPr>
          </w:p>
        </w:tc>
        <w:tc>
          <w:tcPr>
            <w:tcW w:w="466" w:type="pct"/>
            <w:vAlign w:val="top"/>
          </w:tcPr>
          <w:p w14:paraId="75A9BEFF">
            <w:pPr>
              <w:rPr>
                <w:rFonts w:hint="eastAsia" w:asciiTheme="minorEastAsia" w:hAnsiTheme="minorEastAsia" w:eastAsiaTheme="minorEastAsia" w:cstheme="minorEastAsia"/>
                <w:sz w:val="24"/>
                <w:szCs w:val="24"/>
              </w:rPr>
            </w:pPr>
          </w:p>
        </w:tc>
        <w:tc>
          <w:tcPr>
            <w:tcW w:w="561" w:type="pct"/>
            <w:vAlign w:val="top"/>
          </w:tcPr>
          <w:p w14:paraId="48E05DA7">
            <w:pPr>
              <w:rPr>
                <w:rFonts w:hint="eastAsia" w:asciiTheme="minorEastAsia" w:hAnsiTheme="minorEastAsia" w:eastAsiaTheme="minorEastAsia" w:cstheme="minorEastAsia"/>
                <w:sz w:val="24"/>
                <w:szCs w:val="24"/>
              </w:rPr>
            </w:pPr>
          </w:p>
        </w:tc>
        <w:tc>
          <w:tcPr>
            <w:tcW w:w="466" w:type="pct"/>
            <w:vAlign w:val="top"/>
          </w:tcPr>
          <w:p w14:paraId="069A9A67">
            <w:pPr>
              <w:rPr>
                <w:rFonts w:hint="eastAsia" w:asciiTheme="minorEastAsia" w:hAnsiTheme="minorEastAsia" w:eastAsiaTheme="minorEastAsia" w:cstheme="minorEastAsia"/>
                <w:sz w:val="24"/>
                <w:szCs w:val="24"/>
              </w:rPr>
            </w:pPr>
          </w:p>
        </w:tc>
        <w:tc>
          <w:tcPr>
            <w:tcW w:w="503" w:type="pct"/>
            <w:vAlign w:val="top"/>
          </w:tcPr>
          <w:p w14:paraId="62C097D4">
            <w:pPr>
              <w:rPr>
                <w:rFonts w:hint="eastAsia" w:asciiTheme="minorEastAsia" w:hAnsiTheme="minorEastAsia" w:eastAsiaTheme="minorEastAsia" w:cstheme="minorEastAsia"/>
                <w:sz w:val="24"/>
                <w:szCs w:val="24"/>
              </w:rPr>
            </w:pPr>
          </w:p>
        </w:tc>
        <w:tc>
          <w:tcPr>
            <w:tcW w:w="1304" w:type="pct"/>
            <w:vAlign w:val="top"/>
          </w:tcPr>
          <w:p w14:paraId="07B473E2">
            <w:pPr>
              <w:rPr>
                <w:rFonts w:hint="eastAsia" w:asciiTheme="minorEastAsia" w:hAnsiTheme="minorEastAsia" w:eastAsiaTheme="minorEastAsia" w:cstheme="minorEastAsia"/>
                <w:sz w:val="24"/>
                <w:szCs w:val="24"/>
              </w:rPr>
            </w:pPr>
          </w:p>
        </w:tc>
      </w:tr>
      <w:tr w14:paraId="396742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463" w:type="pct"/>
            <w:vAlign w:val="top"/>
          </w:tcPr>
          <w:p w14:paraId="494F9022">
            <w:pPr>
              <w:rPr>
                <w:rFonts w:hint="eastAsia" w:asciiTheme="minorEastAsia" w:hAnsiTheme="minorEastAsia" w:eastAsiaTheme="minorEastAsia" w:cstheme="minorEastAsia"/>
                <w:sz w:val="24"/>
                <w:szCs w:val="24"/>
              </w:rPr>
            </w:pPr>
          </w:p>
        </w:tc>
        <w:tc>
          <w:tcPr>
            <w:tcW w:w="824" w:type="pct"/>
            <w:vAlign w:val="top"/>
          </w:tcPr>
          <w:p w14:paraId="4B9D5FD2">
            <w:pPr>
              <w:rPr>
                <w:rFonts w:hint="eastAsia" w:asciiTheme="minorEastAsia" w:hAnsiTheme="minorEastAsia" w:eastAsiaTheme="minorEastAsia" w:cstheme="minorEastAsia"/>
                <w:sz w:val="24"/>
                <w:szCs w:val="24"/>
              </w:rPr>
            </w:pPr>
          </w:p>
        </w:tc>
        <w:tc>
          <w:tcPr>
            <w:tcW w:w="410" w:type="pct"/>
            <w:vAlign w:val="top"/>
          </w:tcPr>
          <w:p w14:paraId="502CC3F9">
            <w:pPr>
              <w:rPr>
                <w:rFonts w:hint="eastAsia" w:asciiTheme="minorEastAsia" w:hAnsiTheme="minorEastAsia" w:eastAsiaTheme="minorEastAsia" w:cstheme="minorEastAsia"/>
                <w:sz w:val="24"/>
                <w:szCs w:val="24"/>
              </w:rPr>
            </w:pPr>
          </w:p>
        </w:tc>
        <w:tc>
          <w:tcPr>
            <w:tcW w:w="466" w:type="pct"/>
            <w:vAlign w:val="top"/>
          </w:tcPr>
          <w:p w14:paraId="5C7CD054">
            <w:pPr>
              <w:rPr>
                <w:rFonts w:hint="eastAsia" w:asciiTheme="minorEastAsia" w:hAnsiTheme="minorEastAsia" w:eastAsiaTheme="minorEastAsia" w:cstheme="minorEastAsia"/>
                <w:sz w:val="24"/>
                <w:szCs w:val="24"/>
              </w:rPr>
            </w:pPr>
          </w:p>
        </w:tc>
        <w:tc>
          <w:tcPr>
            <w:tcW w:w="561" w:type="pct"/>
            <w:vAlign w:val="top"/>
          </w:tcPr>
          <w:p w14:paraId="2AD32EC3">
            <w:pPr>
              <w:rPr>
                <w:rFonts w:hint="eastAsia" w:asciiTheme="minorEastAsia" w:hAnsiTheme="minorEastAsia" w:eastAsiaTheme="minorEastAsia" w:cstheme="minorEastAsia"/>
                <w:sz w:val="24"/>
                <w:szCs w:val="24"/>
              </w:rPr>
            </w:pPr>
          </w:p>
        </w:tc>
        <w:tc>
          <w:tcPr>
            <w:tcW w:w="466" w:type="pct"/>
            <w:vAlign w:val="top"/>
          </w:tcPr>
          <w:p w14:paraId="4BE08217">
            <w:pPr>
              <w:rPr>
                <w:rFonts w:hint="eastAsia" w:asciiTheme="minorEastAsia" w:hAnsiTheme="minorEastAsia" w:eastAsiaTheme="minorEastAsia" w:cstheme="minorEastAsia"/>
                <w:sz w:val="24"/>
                <w:szCs w:val="24"/>
              </w:rPr>
            </w:pPr>
          </w:p>
        </w:tc>
        <w:tc>
          <w:tcPr>
            <w:tcW w:w="503" w:type="pct"/>
            <w:vAlign w:val="top"/>
          </w:tcPr>
          <w:p w14:paraId="2066E0FE">
            <w:pPr>
              <w:rPr>
                <w:rFonts w:hint="eastAsia" w:asciiTheme="minorEastAsia" w:hAnsiTheme="minorEastAsia" w:eastAsiaTheme="minorEastAsia" w:cstheme="minorEastAsia"/>
                <w:sz w:val="24"/>
                <w:szCs w:val="24"/>
              </w:rPr>
            </w:pPr>
          </w:p>
        </w:tc>
        <w:tc>
          <w:tcPr>
            <w:tcW w:w="1304" w:type="pct"/>
            <w:vAlign w:val="top"/>
          </w:tcPr>
          <w:p w14:paraId="21FFF3BC">
            <w:pPr>
              <w:rPr>
                <w:rFonts w:hint="eastAsia" w:asciiTheme="minorEastAsia" w:hAnsiTheme="minorEastAsia" w:eastAsiaTheme="minorEastAsia" w:cstheme="minorEastAsia"/>
                <w:sz w:val="24"/>
                <w:szCs w:val="24"/>
              </w:rPr>
            </w:pPr>
          </w:p>
        </w:tc>
      </w:tr>
      <w:tr w14:paraId="6D831E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463" w:type="pct"/>
            <w:vAlign w:val="top"/>
          </w:tcPr>
          <w:p w14:paraId="1B5EB1FA">
            <w:pPr>
              <w:rPr>
                <w:rFonts w:hint="eastAsia" w:asciiTheme="minorEastAsia" w:hAnsiTheme="minorEastAsia" w:eastAsiaTheme="minorEastAsia" w:cstheme="minorEastAsia"/>
                <w:sz w:val="24"/>
                <w:szCs w:val="24"/>
              </w:rPr>
            </w:pPr>
          </w:p>
        </w:tc>
        <w:tc>
          <w:tcPr>
            <w:tcW w:w="824" w:type="pct"/>
            <w:vAlign w:val="top"/>
          </w:tcPr>
          <w:p w14:paraId="431308C7">
            <w:pPr>
              <w:rPr>
                <w:rFonts w:hint="eastAsia" w:asciiTheme="minorEastAsia" w:hAnsiTheme="minorEastAsia" w:eastAsiaTheme="minorEastAsia" w:cstheme="minorEastAsia"/>
                <w:sz w:val="24"/>
                <w:szCs w:val="24"/>
              </w:rPr>
            </w:pPr>
          </w:p>
        </w:tc>
        <w:tc>
          <w:tcPr>
            <w:tcW w:w="410" w:type="pct"/>
            <w:vAlign w:val="top"/>
          </w:tcPr>
          <w:p w14:paraId="72C83B3A">
            <w:pPr>
              <w:rPr>
                <w:rFonts w:hint="eastAsia" w:asciiTheme="minorEastAsia" w:hAnsiTheme="minorEastAsia" w:eastAsiaTheme="minorEastAsia" w:cstheme="minorEastAsia"/>
                <w:sz w:val="24"/>
                <w:szCs w:val="24"/>
              </w:rPr>
            </w:pPr>
          </w:p>
        </w:tc>
        <w:tc>
          <w:tcPr>
            <w:tcW w:w="466" w:type="pct"/>
            <w:vAlign w:val="top"/>
          </w:tcPr>
          <w:p w14:paraId="62CA76E9">
            <w:pPr>
              <w:rPr>
                <w:rFonts w:hint="eastAsia" w:asciiTheme="minorEastAsia" w:hAnsiTheme="minorEastAsia" w:eastAsiaTheme="minorEastAsia" w:cstheme="minorEastAsia"/>
                <w:sz w:val="24"/>
                <w:szCs w:val="24"/>
              </w:rPr>
            </w:pPr>
          </w:p>
        </w:tc>
        <w:tc>
          <w:tcPr>
            <w:tcW w:w="561" w:type="pct"/>
            <w:vAlign w:val="top"/>
          </w:tcPr>
          <w:p w14:paraId="085986E2">
            <w:pPr>
              <w:rPr>
                <w:rFonts w:hint="eastAsia" w:asciiTheme="minorEastAsia" w:hAnsiTheme="minorEastAsia" w:eastAsiaTheme="minorEastAsia" w:cstheme="minorEastAsia"/>
                <w:sz w:val="24"/>
                <w:szCs w:val="24"/>
              </w:rPr>
            </w:pPr>
          </w:p>
        </w:tc>
        <w:tc>
          <w:tcPr>
            <w:tcW w:w="466" w:type="pct"/>
            <w:vAlign w:val="top"/>
          </w:tcPr>
          <w:p w14:paraId="1F49ED82">
            <w:pPr>
              <w:rPr>
                <w:rFonts w:hint="eastAsia" w:asciiTheme="minorEastAsia" w:hAnsiTheme="minorEastAsia" w:eastAsiaTheme="minorEastAsia" w:cstheme="minorEastAsia"/>
                <w:sz w:val="24"/>
                <w:szCs w:val="24"/>
              </w:rPr>
            </w:pPr>
          </w:p>
        </w:tc>
        <w:tc>
          <w:tcPr>
            <w:tcW w:w="503" w:type="pct"/>
            <w:vAlign w:val="top"/>
          </w:tcPr>
          <w:p w14:paraId="0ACE8B0E">
            <w:pPr>
              <w:rPr>
                <w:rFonts w:hint="eastAsia" w:asciiTheme="minorEastAsia" w:hAnsiTheme="minorEastAsia" w:eastAsiaTheme="minorEastAsia" w:cstheme="minorEastAsia"/>
                <w:sz w:val="24"/>
                <w:szCs w:val="24"/>
              </w:rPr>
            </w:pPr>
          </w:p>
        </w:tc>
        <w:tc>
          <w:tcPr>
            <w:tcW w:w="1304" w:type="pct"/>
            <w:vAlign w:val="top"/>
          </w:tcPr>
          <w:p w14:paraId="6ABEDF5D">
            <w:pPr>
              <w:rPr>
                <w:rFonts w:hint="eastAsia" w:asciiTheme="minorEastAsia" w:hAnsiTheme="minorEastAsia" w:eastAsiaTheme="minorEastAsia" w:cstheme="minorEastAsia"/>
                <w:sz w:val="24"/>
                <w:szCs w:val="24"/>
              </w:rPr>
            </w:pPr>
          </w:p>
        </w:tc>
      </w:tr>
      <w:tr w14:paraId="0BBFD9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463" w:type="pct"/>
            <w:vAlign w:val="top"/>
          </w:tcPr>
          <w:p w14:paraId="21E6F80C">
            <w:pPr>
              <w:rPr>
                <w:rFonts w:hint="eastAsia" w:asciiTheme="minorEastAsia" w:hAnsiTheme="minorEastAsia" w:eastAsiaTheme="minorEastAsia" w:cstheme="minorEastAsia"/>
                <w:sz w:val="24"/>
                <w:szCs w:val="24"/>
              </w:rPr>
            </w:pPr>
          </w:p>
        </w:tc>
        <w:tc>
          <w:tcPr>
            <w:tcW w:w="824" w:type="pct"/>
            <w:vAlign w:val="top"/>
          </w:tcPr>
          <w:p w14:paraId="7557456B">
            <w:pPr>
              <w:rPr>
                <w:rFonts w:hint="eastAsia" w:asciiTheme="minorEastAsia" w:hAnsiTheme="minorEastAsia" w:eastAsiaTheme="minorEastAsia" w:cstheme="minorEastAsia"/>
                <w:sz w:val="24"/>
                <w:szCs w:val="24"/>
              </w:rPr>
            </w:pPr>
          </w:p>
        </w:tc>
        <w:tc>
          <w:tcPr>
            <w:tcW w:w="410" w:type="pct"/>
            <w:vAlign w:val="top"/>
          </w:tcPr>
          <w:p w14:paraId="0352D74B">
            <w:pPr>
              <w:rPr>
                <w:rFonts w:hint="eastAsia" w:asciiTheme="minorEastAsia" w:hAnsiTheme="minorEastAsia" w:eastAsiaTheme="minorEastAsia" w:cstheme="minorEastAsia"/>
                <w:sz w:val="24"/>
                <w:szCs w:val="24"/>
              </w:rPr>
            </w:pPr>
          </w:p>
        </w:tc>
        <w:tc>
          <w:tcPr>
            <w:tcW w:w="466" w:type="pct"/>
            <w:vAlign w:val="top"/>
          </w:tcPr>
          <w:p w14:paraId="27E87931">
            <w:pPr>
              <w:rPr>
                <w:rFonts w:hint="eastAsia" w:asciiTheme="minorEastAsia" w:hAnsiTheme="minorEastAsia" w:eastAsiaTheme="minorEastAsia" w:cstheme="minorEastAsia"/>
                <w:sz w:val="24"/>
                <w:szCs w:val="24"/>
              </w:rPr>
            </w:pPr>
          </w:p>
        </w:tc>
        <w:tc>
          <w:tcPr>
            <w:tcW w:w="561" w:type="pct"/>
            <w:vAlign w:val="top"/>
          </w:tcPr>
          <w:p w14:paraId="2690CD64">
            <w:pPr>
              <w:rPr>
                <w:rFonts w:hint="eastAsia" w:asciiTheme="minorEastAsia" w:hAnsiTheme="minorEastAsia" w:eastAsiaTheme="minorEastAsia" w:cstheme="minorEastAsia"/>
                <w:sz w:val="24"/>
                <w:szCs w:val="24"/>
              </w:rPr>
            </w:pPr>
          </w:p>
        </w:tc>
        <w:tc>
          <w:tcPr>
            <w:tcW w:w="466" w:type="pct"/>
            <w:vAlign w:val="top"/>
          </w:tcPr>
          <w:p w14:paraId="55C3C948">
            <w:pPr>
              <w:rPr>
                <w:rFonts w:hint="eastAsia" w:asciiTheme="minorEastAsia" w:hAnsiTheme="minorEastAsia" w:eastAsiaTheme="minorEastAsia" w:cstheme="minorEastAsia"/>
                <w:sz w:val="24"/>
                <w:szCs w:val="24"/>
              </w:rPr>
            </w:pPr>
          </w:p>
        </w:tc>
        <w:tc>
          <w:tcPr>
            <w:tcW w:w="503" w:type="pct"/>
            <w:vAlign w:val="top"/>
          </w:tcPr>
          <w:p w14:paraId="2F973DAF">
            <w:pPr>
              <w:rPr>
                <w:rFonts w:hint="eastAsia" w:asciiTheme="minorEastAsia" w:hAnsiTheme="minorEastAsia" w:eastAsiaTheme="minorEastAsia" w:cstheme="minorEastAsia"/>
                <w:sz w:val="24"/>
                <w:szCs w:val="24"/>
              </w:rPr>
            </w:pPr>
          </w:p>
        </w:tc>
        <w:tc>
          <w:tcPr>
            <w:tcW w:w="1304" w:type="pct"/>
            <w:vAlign w:val="top"/>
          </w:tcPr>
          <w:p w14:paraId="59390323">
            <w:pPr>
              <w:rPr>
                <w:rFonts w:hint="eastAsia" w:asciiTheme="minorEastAsia" w:hAnsiTheme="minorEastAsia" w:eastAsiaTheme="minorEastAsia" w:cstheme="minorEastAsia"/>
                <w:sz w:val="24"/>
                <w:szCs w:val="24"/>
              </w:rPr>
            </w:pPr>
          </w:p>
        </w:tc>
      </w:tr>
      <w:tr w14:paraId="28AF7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463" w:type="pct"/>
            <w:vAlign w:val="top"/>
          </w:tcPr>
          <w:p w14:paraId="6BA80F3C">
            <w:pPr>
              <w:rPr>
                <w:rFonts w:hint="eastAsia" w:asciiTheme="minorEastAsia" w:hAnsiTheme="minorEastAsia" w:eastAsiaTheme="minorEastAsia" w:cstheme="minorEastAsia"/>
                <w:sz w:val="24"/>
                <w:szCs w:val="24"/>
              </w:rPr>
            </w:pPr>
          </w:p>
        </w:tc>
        <w:tc>
          <w:tcPr>
            <w:tcW w:w="824" w:type="pct"/>
            <w:vAlign w:val="top"/>
          </w:tcPr>
          <w:p w14:paraId="558D5336">
            <w:pPr>
              <w:rPr>
                <w:rFonts w:hint="eastAsia" w:asciiTheme="minorEastAsia" w:hAnsiTheme="minorEastAsia" w:eastAsiaTheme="minorEastAsia" w:cstheme="minorEastAsia"/>
                <w:sz w:val="24"/>
                <w:szCs w:val="24"/>
              </w:rPr>
            </w:pPr>
          </w:p>
        </w:tc>
        <w:tc>
          <w:tcPr>
            <w:tcW w:w="410" w:type="pct"/>
            <w:vAlign w:val="top"/>
          </w:tcPr>
          <w:p w14:paraId="0DD6E9C3">
            <w:pPr>
              <w:rPr>
                <w:rFonts w:hint="eastAsia" w:asciiTheme="minorEastAsia" w:hAnsiTheme="minorEastAsia" w:eastAsiaTheme="minorEastAsia" w:cstheme="minorEastAsia"/>
                <w:sz w:val="24"/>
                <w:szCs w:val="24"/>
              </w:rPr>
            </w:pPr>
          </w:p>
        </w:tc>
        <w:tc>
          <w:tcPr>
            <w:tcW w:w="466" w:type="pct"/>
            <w:vAlign w:val="top"/>
          </w:tcPr>
          <w:p w14:paraId="26487E73">
            <w:pPr>
              <w:rPr>
                <w:rFonts w:hint="eastAsia" w:asciiTheme="minorEastAsia" w:hAnsiTheme="minorEastAsia" w:eastAsiaTheme="minorEastAsia" w:cstheme="minorEastAsia"/>
                <w:sz w:val="24"/>
                <w:szCs w:val="24"/>
              </w:rPr>
            </w:pPr>
          </w:p>
        </w:tc>
        <w:tc>
          <w:tcPr>
            <w:tcW w:w="561" w:type="pct"/>
            <w:vAlign w:val="top"/>
          </w:tcPr>
          <w:p w14:paraId="6C1E4946">
            <w:pPr>
              <w:rPr>
                <w:rFonts w:hint="eastAsia" w:asciiTheme="minorEastAsia" w:hAnsiTheme="minorEastAsia" w:eastAsiaTheme="minorEastAsia" w:cstheme="minorEastAsia"/>
                <w:sz w:val="24"/>
                <w:szCs w:val="24"/>
              </w:rPr>
            </w:pPr>
          </w:p>
        </w:tc>
        <w:tc>
          <w:tcPr>
            <w:tcW w:w="466" w:type="pct"/>
            <w:vAlign w:val="top"/>
          </w:tcPr>
          <w:p w14:paraId="3BEB305B">
            <w:pPr>
              <w:rPr>
                <w:rFonts w:hint="eastAsia" w:asciiTheme="minorEastAsia" w:hAnsiTheme="minorEastAsia" w:eastAsiaTheme="minorEastAsia" w:cstheme="minorEastAsia"/>
                <w:sz w:val="24"/>
                <w:szCs w:val="24"/>
              </w:rPr>
            </w:pPr>
          </w:p>
        </w:tc>
        <w:tc>
          <w:tcPr>
            <w:tcW w:w="503" w:type="pct"/>
            <w:vAlign w:val="top"/>
          </w:tcPr>
          <w:p w14:paraId="41AB0035">
            <w:pPr>
              <w:rPr>
                <w:rFonts w:hint="eastAsia" w:asciiTheme="minorEastAsia" w:hAnsiTheme="minorEastAsia" w:eastAsiaTheme="minorEastAsia" w:cstheme="minorEastAsia"/>
                <w:sz w:val="24"/>
                <w:szCs w:val="24"/>
              </w:rPr>
            </w:pPr>
          </w:p>
        </w:tc>
        <w:tc>
          <w:tcPr>
            <w:tcW w:w="1304" w:type="pct"/>
            <w:vAlign w:val="top"/>
          </w:tcPr>
          <w:p w14:paraId="69A4BD99">
            <w:pPr>
              <w:rPr>
                <w:rFonts w:hint="eastAsia" w:asciiTheme="minorEastAsia" w:hAnsiTheme="minorEastAsia" w:eastAsiaTheme="minorEastAsia" w:cstheme="minorEastAsia"/>
                <w:sz w:val="24"/>
                <w:szCs w:val="24"/>
              </w:rPr>
            </w:pPr>
          </w:p>
        </w:tc>
      </w:tr>
      <w:tr w14:paraId="1D435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463" w:type="pct"/>
            <w:vAlign w:val="top"/>
          </w:tcPr>
          <w:p w14:paraId="79AD745D">
            <w:pPr>
              <w:rPr>
                <w:rFonts w:hint="eastAsia" w:asciiTheme="minorEastAsia" w:hAnsiTheme="minorEastAsia" w:eastAsiaTheme="minorEastAsia" w:cstheme="minorEastAsia"/>
                <w:sz w:val="24"/>
                <w:szCs w:val="24"/>
              </w:rPr>
            </w:pPr>
          </w:p>
        </w:tc>
        <w:tc>
          <w:tcPr>
            <w:tcW w:w="824" w:type="pct"/>
            <w:vAlign w:val="top"/>
          </w:tcPr>
          <w:p w14:paraId="34904A21">
            <w:pPr>
              <w:rPr>
                <w:rFonts w:hint="eastAsia" w:asciiTheme="minorEastAsia" w:hAnsiTheme="minorEastAsia" w:eastAsiaTheme="minorEastAsia" w:cstheme="minorEastAsia"/>
                <w:sz w:val="24"/>
                <w:szCs w:val="24"/>
              </w:rPr>
            </w:pPr>
          </w:p>
        </w:tc>
        <w:tc>
          <w:tcPr>
            <w:tcW w:w="410" w:type="pct"/>
            <w:vAlign w:val="top"/>
          </w:tcPr>
          <w:p w14:paraId="75BF1860">
            <w:pPr>
              <w:rPr>
                <w:rFonts w:hint="eastAsia" w:asciiTheme="minorEastAsia" w:hAnsiTheme="minorEastAsia" w:eastAsiaTheme="minorEastAsia" w:cstheme="minorEastAsia"/>
                <w:sz w:val="24"/>
                <w:szCs w:val="24"/>
              </w:rPr>
            </w:pPr>
          </w:p>
        </w:tc>
        <w:tc>
          <w:tcPr>
            <w:tcW w:w="466" w:type="pct"/>
            <w:vAlign w:val="top"/>
          </w:tcPr>
          <w:p w14:paraId="3752AACB">
            <w:pPr>
              <w:rPr>
                <w:rFonts w:hint="eastAsia" w:asciiTheme="minorEastAsia" w:hAnsiTheme="minorEastAsia" w:eastAsiaTheme="minorEastAsia" w:cstheme="minorEastAsia"/>
                <w:sz w:val="24"/>
                <w:szCs w:val="24"/>
              </w:rPr>
            </w:pPr>
          </w:p>
        </w:tc>
        <w:tc>
          <w:tcPr>
            <w:tcW w:w="561" w:type="pct"/>
            <w:vAlign w:val="top"/>
          </w:tcPr>
          <w:p w14:paraId="34854DC6">
            <w:pPr>
              <w:rPr>
                <w:rFonts w:hint="eastAsia" w:asciiTheme="minorEastAsia" w:hAnsiTheme="minorEastAsia" w:eastAsiaTheme="minorEastAsia" w:cstheme="minorEastAsia"/>
                <w:sz w:val="24"/>
                <w:szCs w:val="24"/>
              </w:rPr>
            </w:pPr>
          </w:p>
        </w:tc>
        <w:tc>
          <w:tcPr>
            <w:tcW w:w="466" w:type="pct"/>
            <w:vAlign w:val="top"/>
          </w:tcPr>
          <w:p w14:paraId="738F01D3">
            <w:pPr>
              <w:rPr>
                <w:rFonts w:hint="eastAsia" w:asciiTheme="minorEastAsia" w:hAnsiTheme="minorEastAsia" w:eastAsiaTheme="minorEastAsia" w:cstheme="minorEastAsia"/>
                <w:sz w:val="24"/>
                <w:szCs w:val="24"/>
              </w:rPr>
            </w:pPr>
          </w:p>
        </w:tc>
        <w:tc>
          <w:tcPr>
            <w:tcW w:w="503" w:type="pct"/>
            <w:vAlign w:val="top"/>
          </w:tcPr>
          <w:p w14:paraId="6D4E7B78">
            <w:pPr>
              <w:rPr>
                <w:rFonts w:hint="eastAsia" w:asciiTheme="minorEastAsia" w:hAnsiTheme="minorEastAsia" w:eastAsiaTheme="minorEastAsia" w:cstheme="minorEastAsia"/>
                <w:sz w:val="24"/>
                <w:szCs w:val="24"/>
              </w:rPr>
            </w:pPr>
          </w:p>
        </w:tc>
        <w:tc>
          <w:tcPr>
            <w:tcW w:w="1304" w:type="pct"/>
            <w:vAlign w:val="top"/>
          </w:tcPr>
          <w:p w14:paraId="775559B0">
            <w:pPr>
              <w:rPr>
                <w:rFonts w:hint="eastAsia" w:asciiTheme="minorEastAsia" w:hAnsiTheme="minorEastAsia" w:eastAsiaTheme="minorEastAsia" w:cstheme="minorEastAsia"/>
                <w:sz w:val="24"/>
                <w:szCs w:val="24"/>
              </w:rPr>
            </w:pPr>
          </w:p>
        </w:tc>
      </w:tr>
      <w:tr w14:paraId="190C0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463" w:type="pct"/>
            <w:vAlign w:val="top"/>
          </w:tcPr>
          <w:p w14:paraId="714A8CFC">
            <w:pPr>
              <w:rPr>
                <w:rFonts w:hint="eastAsia" w:asciiTheme="minorEastAsia" w:hAnsiTheme="minorEastAsia" w:eastAsiaTheme="minorEastAsia" w:cstheme="minorEastAsia"/>
                <w:sz w:val="24"/>
                <w:szCs w:val="24"/>
              </w:rPr>
            </w:pPr>
          </w:p>
        </w:tc>
        <w:tc>
          <w:tcPr>
            <w:tcW w:w="824" w:type="pct"/>
            <w:vAlign w:val="top"/>
          </w:tcPr>
          <w:p w14:paraId="5C711D7A">
            <w:pPr>
              <w:rPr>
                <w:rFonts w:hint="eastAsia" w:asciiTheme="minorEastAsia" w:hAnsiTheme="minorEastAsia" w:eastAsiaTheme="minorEastAsia" w:cstheme="minorEastAsia"/>
                <w:sz w:val="24"/>
                <w:szCs w:val="24"/>
              </w:rPr>
            </w:pPr>
          </w:p>
        </w:tc>
        <w:tc>
          <w:tcPr>
            <w:tcW w:w="410" w:type="pct"/>
            <w:vAlign w:val="top"/>
          </w:tcPr>
          <w:p w14:paraId="60E466F6">
            <w:pPr>
              <w:rPr>
                <w:rFonts w:hint="eastAsia" w:asciiTheme="minorEastAsia" w:hAnsiTheme="minorEastAsia" w:eastAsiaTheme="minorEastAsia" w:cstheme="minorEastAsia"/>
                <w:sz w:val="24"/>
                <w:szCs w:val="24"/>
              </w:rPr>
            </w:pPr>
          </w:p>
        </w:tc>
        <w:tc>
          <w:tcPr>
            <w:tcW w:w="466" w:type="pct"/>
            <w:vAlign w:val="top"/>
          </w:tcPr>
          <w:p w14:paraId="169BCF8C">
            <w:pPr>
              <w:rPr>
                <w:rFonts w:hint="eastAsia" w:asciiTheme="minorEastAsia" w:hAnsiTheme="minorEastAsia" w:eastAsiaTheme="minorEastAsia" w:cstheme="minorEastAsia"/>
                <w:sz w:val="24"/>
                <w:szCs w:val="24"/>
              </w:rPr>
            </w:pPr>
          </w:p>
        </w:tc>
        <w:tc>
          <w:tcPr>
            <w:tcW w:w="561" w:type="pct"/>
            <w:vAlign w:val="top"/>
          </w:tcPr>
          <w:p w14:paraId="7FF66205">
            <w:pPr>
              <w:rPr>
                <w:rFonts w:hint="eastAsia" w:asciiTheme="minorEastAsia" w:hAnsiTheme="minorEastAsia" w:eastAsiaTheme="minorEastAsia" w:cstheme="minorEastAsia"/>
                <w:sz w:val="24"/>
                <w:szCs w:val="24"/>
              </w:rPr>
            </w:pPr>
          </w:p>
        </w:tc>
        <w:tc>
          <w:tcPr>
            <w:tcW w:w="466" w:type="pct"/>
            <w:vAlign w:val="top"/>
          </w:tcPr>
          <w:p w14:paraId="64E93628">
            <w:pPr>
              <w:rPr>
                <w:rFonts w:hint="eastAsia" w:asciiTheme="minorEastAsia" w:hAnsiTheme="minorEastAsia" w:eastAsiaTheme="minorEastAsia" w:cstheme="minorEastAsia"/>
                <w:sz w:val="24"/>
                <w:szCs w:val="24"/>
              </w:rPr>
            </w:pPr>
          </w:p>
        </w:tc>
        <w:tc>
          <w:tcPr>
            <w:tcW w:w="503" w:type="pct"/>
            <w:vAlign w:val="top"/>
          </w:tcPr>
          <w:p w14:paraId="0831F18C">
            <w:pPr>
              <w:rPr>
                <w:rFonts w:hint="eastAsia" w:asciiTheme="minorEastAsia" w:hAnsiTheme="minorEastAsia" w:eastAsiaTheme="minorEastAsia" w:cstheme="minorEastAsia"/>
                <w:sz w:val="24"/>
                <w:szCs w:val="24"/>
              </w:rPr>
            </w:pPr>
          </w:p>
        </w:tc>
        <w:tc>
          <w:tcPr>
            <w:tcW w:w="1304" w:type="pct"/>
            <w:vAlign w:val="top"/>
          </w:tcPr>
          <w:p w14:paraId="3CE81FF2">
            <w:pPr>
              <w:rPr>
                <w:rFonts w:hint="eastAsia" w:asciiTheme="minorEastAsia" w:hAnsiTheme="minorEastAsia" w:eastAsiaTheme="minorEastAsia" w:cstheme="minorEastAsia"/>
                <w:sz w:val="24"/>
                <w:szCs w:val="24"/>
              </w:rPr>
            </w:pPr>
          </w:p>
        </w:tc>
      </w:tr>
      <w:tr w14:paraId="07A9F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463" w:type="pct"/>
            <w:vAlign w:val="top"/>
          </w:tcPr>
          <w:p w14:paraId="64AE9D67">
            <w:pPr>
              <w:rPr>
                <w:rFonts w:hint="eastAsia" w:asciiTheme="minorEastAsia" w:hAnsiTheme="minorEastAsia" w:eastAsiaTheme="minorEastAsia" w:cstheme="minorEastAsia"/>
                <w:sz w:val="24"/>
                <w:szCs w:val="24"/>
              </w:rPr>
            </w:pPr>
          </w:p>
        </w:tc>
        <w:tc>
          <w:tcPr>
            <w:tcW w:w="824" w:type="pct"/>
            <w:vAlign w:val="top"/>
          </w:tcPr>
          <w:p w14:paraId="13A69422">
            <w:pPr>
              <w:rPr>
                <w:rFonts w:hint="eastAsia" w:asciiTheme="minorEastAsia" w:hAnsiTheme="minorEastAsia" w:eastAsiaTheme="minorEastAsia" w:cstheme="minorEastAsia"/>
                <w:sz w:val="24"/>
                <w:szCs w:val="24"/>
              </w:rPr>
            </w:pPr>
          </w:p>
        </w:tc>
        <w:tc>
          <w:tcPr>
            <w:tcW w:w="410" w:type="pct"/>
            <w:vAlign w:val="top"/>
          </w:tcPr>
          <w:p w14:paraId="1F9D9638">
            <w:pPr>
              <w:rPr>
                <w:rFonts w:hint="eastAsia" w:asciiTheme="minorEastAsia" w:hAnsiTheme="minorEastAsia" w:eastAsiaTheme="minorEastAsia" w:cstheme="minorEastAsia"/>
                <w:sz w:val="24"/>
                <w:szCs w:val="24"/>
              </w:rPr>
            </w:pPr>
          </w:p>
        </w:tc>
        <w:tc>
          <w:tcPr>
            <w:tcW w:w="466" w:type="pct"/>
            <w:vAlign w:val="top"/>
          </w:tcPr>
          <w:p w14:paraId="5779381D">
            <w:pPr>
              <w:rPr>
                <w:rFonts w:hint="eastAsia" w:asciiTheme="minorEastAsia" w:hAnsiTheme="minorEastAsia" w:eastAsiaTheme="minorEastAsia" w:cstheme="minorEastAsia"/>
                <w:sz w:val="24"/>
                <w:szCs w:val="24"/>
              </w:rPr>
            </w:pPr>
          </w:p>
        </w:tc>
        <w:tc>
          <w:tcPr>
            <w:tcW w:w="561" w:type="pct"/>
            <w:vAlign w:val="top"/>
          </w:tcPr>
          <w:p w14:paraId="617279F7">
            <w:pPr>
              <w:rPr>
                <w:rFonts w:hint="eastAsia" w:asciiTheme="minorEastAsia" w:hAnsiTheme="minorEastAsia" w:eastAsiaTheme="minorEastAsia" w:cstheme="minorEastAsia"/>
                <w:sz w:val="24"/>
                <w:szCs w:val="24"/>
              </w:rPr>
            </w:pPr>
          </w:p>
        </w:tc>
        <w:tc>
          <w:tcPr>
            <w:tcW w:w="466" w:type="pct"/>
            <w:vAlign w:val="top"/>
          </w:tcPr>
          <w:p w14:paraId="5AAFCB4C">
            <w:pPr>
              <w:rPr>
                <w:rFonts w:hint="eastAsia" w:asciiTheme="minorEastAsia" w:hAnsiTheme="minorEastAsia" w:eastAsiaTheme="minorEastAsia" w:cstheme="minorEastAsia"/>
                <w:sz w:val="24"/>
                <w:szCs w:val="24"/>
              </w:rPr>
            </w:pPr>
          </w:p>
        </w:tc>
        <w:tc>
          <w:tcPr>
            <w:tcW w:w="503" w:type="pct"/>
            <w:vAlign w:val="top"/>
          </w:tcPr>
          <w:p w14:paraId="0E544C9E">
            <w:pPr>
              <w:rPr>
                <w:rFonts w:hint="eastAsia" w:asciiTheme="minorEastAsia" w:hAnsiTheme="minorEastAsia" w:eastAsiaTheme="minorEastAsia" w:cstheme="minorEastAsia"/>
                <w:sz w:val="24"/>
                <w:szCs w:val="24"/>
              </w:rPr>
            </w:pPr>
          </w:p>
        </w:tc>
        <w:tc>
          <w:tcPr>
            <w:tcW w:w="1304" w:type="pct"/>
            <w:vAlign w:val="top"/>
          </w:tcPr>
          <w:p w14:paraId="28C9F10D">
            <w:pPr>
              <w:rPr>
                <w:rFonts w:hint="eastAsia" w:asciiTheme="minorEastAsia" w:hAnsiTheme="minorEastAsia" w:eastAsiaTheme="minorEastAsia" w:cstheme="minorEastAsia"/>
                <w:sz w:val="24"/>
                <w:szCs w:val="24"/>
              </w:rPr>
            </w:pPr>
          </w:p>
        </w:tc>
      </w:tr>
    </w:tbl>
    <w:p w14:paraId="154842C1">
      <w:pPr>
        <w:spacing w:before="34" w:line="222" w:lineRule="auto"/>
        <w:ind w:left="12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注：1.供应商可适当调整该表格式，但不得减少信息内容。</w:t>
      </w:r>
    </w:p>
    <w:p w14:paraId="36DD9930">
      <w:pPr>
        <w:spacing w:before="178" w:line="220" w:lineRule="auto"/>
        <w:ind w:left="5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2.供应商应书面承诺磋商响应文件中人员的真实性。</w:t>
      </w:r>
    </w:p>
    <w:p w14:paraId="17816FFD">
      <w:pPr>
        <w:pStyle w:val="9"/>
        <w:spacing w:line="354" w:lineRule="auto"/>
        <w:rPr>
          <w:rFonts w:hint="eastAsia" w:asciiTheme="minorEastAsia" w:hAnsiTheme="minorEastAsia" w:eastAsiaTheme="minorEastAsia" w:cstheme="minorEastAsia"/>
          <w:sz w:val="24"/>
          <w:szCs w:val="24"/>
        </w:rPr>
      </w:pPr>
    </w:p>
    <w:p w14:paraId="17C07EDA">
      <w:pPr>
        <w:pStyle w:val="9"/>
        <w:spacing w:line="354" w:lineRule="auto"/>
        <w:rPr>
          <w:rFonts w:hint="eastAsia" w:asciiTheme="minorEastAsia" w:hAnsiTheme="minorEastAsia" w:eastAsiaTheme="minorEastAsia" w:cstheme="minorEastAsia"/>
          <w:sz w:val="24"/>
          <w:szCs w:val="24"/>
        </w:rPr>
      </w:pPr>
    </w:p>
    <w:p w14:paraId="41EB1A35">
      <w:pPr>
        <w:spacing w:before="79" w:line="221" w:lineRule="auto"/>
        <w:ind w:left="36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供应商名称（公章</w:t>
      </w:r>
      <w:r>
        <w:rPr>
          <w:rFonts w:hint="eastAsia" w:asciiTheme="minorEastAsia" w:hAnsiTheme="minorEastAsia" w:eastAsiaTheme="minorEastAsia" w:cstheme="minorEastAsia"/>
          <w:spacing w:val="3"/>
          <w:sz w:val="24"/>
          <w:szCs w:val="24"/>
        </w:rPr>
        <w:t>）：</w:t>
      </w:r>
      <w:r>
        <w:rPr>
          <w:rFonts w:hint="eastAsia" w:asciiTheme="minorEastAsia" w:hAnsiTheme="minorEastAsia" w:eastAsiaTheme="minorEastAsia" w:cstheme="minorEastAsia"/>
          <w:sz w:val="24"/>
          <w:szCs w:val="24"/>
          <w:u w:val="single" w:color="auto"/>
        </w:rPr>
        <w:t xml:space="preserve">          </w:t>
      </w:r>
    </w:p>
    <w:p w14:paraId="380D32C0">
      <w:pPr>
        <w:spacing w:before="193" w:line="222" w:lineRule="auto"/>
        <w:ind w:left="36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法定代表人或被授权人（签字或盖章</w:t>
      </w:r>
      <w:r>
        <w:rPr>
          <w:rFonts w:hint="eastAsia" w:asciiTheme="minorEastAsia" w:hAnsiTheme="minorEastAsia" w:eastAsiaTheme="minorEastAsia" w:cstheme="minorEastAsia"/>
          <w:spacing w:val="3"/>
          <w:sz w:val="24"/>
          <w:szCs w:val="24"/>
        </w:rPr>
        <w:t>）：</w:t>
      </w:r>
      <w:r>
        <w:rPr>
          <w:rFonts w:hint="eastAsia" w:asciiTheme="minorEastAsia" w:hAnsiTheme="minorEastAsia" w:eastAsiaTheme="minorEastAsia" w:cstheme="minorEastAsia"/>
          <w:sz w:val="24"/>
          <w:szCs w:val="24"/>
          <w:u w:val="single" w:color="auto"/>
        </w:rPr>
        <w:t xml:space="preserve">      </w:t>
      </w:r>
    </w:p>
    <w:p w14:paraId="136A0C3D">
      <w:pPr>
        <w:spacing w:before="191" w:line="223" w:lineRule="auto"/>
        <w:ind w:left="412"/>
        <w:rPr>
          <w:rFonts w:hint="eastAsia" w:asciiTheme="minorEastAsia" w:hAnsiTheme="minorEastAsia" w:eastAsiaTheme="minorEastAsia" w:cstheme="minorEastAsia"/>
          <w:sz w:val="24"/>
          <w:szCs w:val="24"/>
          <w:u w:val="single" w:color="auto"/>
        </w:rPr>
      </w:pPr>
      <w:r>
        <w:rPr>
          <w:rFonts w:hint="eastAsia" w:asciiTheme="minorEastAsia" w:hAnsiTheme="minorEastAsia" w:eastAsiaTheme="minorEastAsia" w:cstheme="minorEastAsia"/>
          <w:spacing w:val="-39"/>
          <w:sz w:val="24"/>
          <w:szCs w:val="24"/>
        </w:rPr>
        <w:t>日</w:t>
      </w:r>
      <w:r>
        <w:rPr>
          <w:rFonts w:hint="eastAsia" w:asciiTheme="minorEastAsia" w:hAnsiTheme="minorEastAsia" w:eastAsiaTheme="minorEastAsia" w:cstheme="minorEastAsia"/>
          <w:spacing w:val="15"/>
          <w:sz w:val="24"/>
          <w:szCs w:val="24"/>
        </w:rPr>
        <w:t xml:space="preserve"> </w:t>
      </w:r>
      <w:r>
        <w:rPr>
          <w:rFonts w:hint="eastAsia" w:asciiTheme="minorEastAsia" w:hAnsiTheme="minorEastAsia" w:eastAsiaTheme="minorEastAsia" w:cstheme="minorEastAsia"/>
          <w:spacing w:val="-39"/>
          <w:sz w:val="24"/>
          <w:szCs w:val="24"/>
        </w:rPr>
        <w:t>期</w:t>
      </w:r>
      <w:r>
        <w:rPr>
          <w:rFonts w:hint="eastAsia" w:asciiTheme="minorEastAsia" w:hAnsiTheme="minorEastAsia" w:eastAsiaTheme="minorEastAsia" w:cstheme="minorEastAsia"/>
          <w:spacing w:val="-86"/>
          <w:sz w:val="24"/>
          <w:szCs w:val="24"/>
        </w:rPr>
        <w:t xml:space="preserve"> </w:t>
      </w:r>
      <w:r>
        <w:rPr>
          <w:rFonts w:hint="eastAsia" w:asciiTheme="minorEastAsia" w:hAnsiTheme="minorEastAsia" w:eastAsiaTheme="minorEastAsia" w:cstheme="minorEastAsia"/>
          <w:spacing w:val="-39"/>
          <w:sz w:val="24"/>
          <w:szCs w:val="24"/>
        </w:rPr>
        <w:t>：</w:t>
      </w:r>
      <w:r>
        <w:rPr>
          <w:rFonts w:hint="eastAsia" w:asciiTheme="minorEastAsia" w:hAnsiTheme="minorEastAsia" w:eastAsiaTheme="minorEastAsia" w:cstheme="minorEastAsia"/>
          <w:sz w:val="24"/>
          <w:szCs w:val="24"/>
          <w:u w:val="single" w:color="auto"/>
        </w:rPr>
        <w:t xml:space="preserve">                                  </w:t>
      </w:r>
    </w:p>
    <w:p w14:paraId="5EE8BF66">
      <w:pPr>
        <w:rPr>
          <w:rFonts w:hint="eastAsia" w:ascii="Times New Roman" w:hAnsi="Times New Roman" w:eastAsia="宋体" w:cs="Times New Roman"/>
          <w:b/>
          <w:bCs/>
          <w:kern w:val="2"/>
          <w:sz w:val="32"/>
          <w:szCs w:val="32"/>
          <w:lang w:val="en-US" w:eastAsia="zh-CN" w:bidi="ar-SA"/>
        </w:rPr>
      </w:pPr>
      <w:r>
        <w:rPr>
          <w:rFonts w:hint="eastAsia" w:ascii="Times New Roman" w:hAnsi="Times New Roman" w:eastAsia="宋体" w:cs="Times New Roman"/>
          <w:b/>
          <w:bCs/>
          <w:kern w:val="2"/>
          <w:sz w:val="32"/>
          <w:szCs w:val="32"/>
          <w:lang w:val="en-US" w:eastAsia="zh-CN" w:bidi="ar-SA"/>
        </w:rPr>
        <w:br w:type="page"/>
      </w:r>
    </w:p>
    <w:p w14:paraId="76CEB811">
      <w:pPr>
        <w:spacing w:before="49" w:line="222" w:lineRule="auto"/>
        <w:ind w:left="131"/>
        <w:outlineLvl w:val="2"/>
        <w:rPr>
          <w:rFonts w:hint="eastAsia" w:ascii="Times New Roman" w:hAnsi="Times New Roman" w:eastAsia="宋体" w:cs="Times New Roman"/>
          <w:b/>
          <w:bCs/>
          <w:kern w:val="2"/>
          <w:sz w:val="32"/>
          <w:szCs w:val="32"/>
          <w:lang w:val="en-US" w:eastAsia="zh-CN" w:bidi="ar-SA"/>
        </w:rPr>
      </w:pPr>
      <w:r>
        <w:rPr>
          <w:rFonts w:hint="eastAsia" w:ascii="Times New Roman" w:hAnsi="Times New Roman" w:eastAsia="宋体" w:cs="Times New Roman"/>
          <w:b/>
          <w:bCs/>
          <w:kern w:val="2"/>
          <w:sz w:val="32"/>
          <w:szCs w:val="32"/>
          <w:lang w:val="en-US" w:eastAsia="zh-CN" w:bidi="ar-SA"/>
        </w:rPr>
        <w:t>拟投入本项目主要人员简历表</w:t>
      </w:r>
    </w:p>
    <w:p w14:paraId="5A423A2E">
      <w:pPr>
        <w:spacing w:before="7"/>
        <w:rPr>
          <w:rFonts w:hint="eastAsia" w:asciiTheme="minorEastAsia" w:hAnsiTheme="minorEastAsia" w:eastAsiaTheme="minorEastAsia" w:cstheme="minorEastAsia"/>
          <w:sz w:val="24"/>
          <w:szCs w:val="24"/>
        </w:rPr>
      </w:pPr>
    </w:p>
    <w:tbl>
      <w:tblPr>
        <w:tblStyle w:val="76"/>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429"/>
        <w:gridCol w:w="259"/>
        <w:gridCol w:w="1500"/>
        <w:gridCol w:w="1448"/>
        <w:gridCol w:w="1236"/>
        <w:gridCol w:w="1657"/>
        <w:gridCol w:w="1092"/>
      </w:tblGrid>
      <w:tr w14:paraId="38FE2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979" w:type="pct"/>
            <w:gridSpan w:val="2"/>
            <w:vAlign w:val="top"/>
          </w:tcPr>
          <w:p w14:paraId="4352DAB9">
            <w:pPr>
              <w:pStyle w:val="77"/>
              <w:spacing w:before="179" w:line="224" w:lineRule="auto"/>
              <w:ind w:left="62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姓</w:t>
            </w:r>
            <w:r>
              <w:rPr>
                <w:rFonts w:hint="eastAsia" w:asciiTheme="minorEastAsia" w:hAnsiTheme="minorEastAsia" w:eastAsiaTheme="minorEastAsia" w:cstheme="minorEastAsia"/>
                <w:spacing w:val="8"/>
                <w:sz w:val="24"/>
                <w:szCs w:val="24"/>
              </w:rPr>
              <w:t xml:space="preserve">  </w:t>
            </w:r>
            <w:r>
              <w:rPr>
                <w:rFonts w:hint="eastAsia" w:asciiTheme="minorEastAsia" w:hAnsiTheme="minorEastAsia" w:eastAsiaTheme="minorEastAsia" w:cstheme="minorEastAsia"/>
                <w:spacing w:val="-8"/>
                <w:sz w:val="24"/>
                <w:szCs w:val="24"/>
              </w:rPr>
              <w:t>名</w:t>
            </w:r>
          </w:p>
        </w:tc>
        <w:tc>
          <w:tcPr>
            <w:tcW w:w="869" w:type="pct"/>
            <w:vAlign w:val="top"/>
          </w:tcPr>
          <w:p w14:paraId="2A830C0A">
            <w:pPr>
              <w:rPr>
                <w:rFonts w:hint="eastAsia" w:asciiTheme="minorEastAsia" w:hAnsiTheme="minorEastAsia" w:eastAsiaTheme="minorEastAsia" w:cstheme="minorEastAsia"/>
                <w:sz w:val="24"/>
                <w:szCs w:val="24"/>
              </w:rPr>
            </w:pPr>
          </w:p>
        </w:tc>
        <w:tc>
          <w:tcPr>
            <w:tcW w:w="840" w:type="pct"/>
            <w:vAlign w:val="top"/>
          </w:tcPr>
          <w:p w14:paraId="78F434D4">
            <w:pPr>
              <w:pStyle w:val="77"/>
              <w:spacing w:before="179" w:line="220" w:lineRule="auto"/>
              <w:ind w:left="55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性</w:t>
            </w:r>
            <w:r>
              <w:rPr>
                <w:rFonts w:hint="eastAsia" w:asciiTheme="minorEastAsia" w:hAnsiTheme="minorEastAsia" w:eastAsiaTheme="minorEastAsia" w:cstheme="minorEastAsia"/>
                <w:spacing w:val="18"/>
                <w:sz w:val="24"/>
                <w:szCs w:val="24"/>
              </w:rPr>
              <w:t xml:space="preserve"> </w:t>
            </w:r>
            <w:r>
              <w:rPr>
                <w:rFonts w:hint="eastAsia" w:asciiTheme="minorEastAsia" w:hAnsiTheme="minorEastAsia" w:eastAsiaTheme="minorEastAsia" w:cstheme="minorEastAsia"/>
                <w:spacing w:val="-10"/>
                <w:sz w:val="24"/>
                <w:szCs w:val="24"/>
              </w:rPr>
              <w:t>别</w:t>
            </w:r>
          </w:p>
        </w:tc>
        <w:tc>
          <w:tcPr>
            <w:tcW w:w="717" w:type="pct"/>
            <w:vAlign w:val="top"/>
          </w:tcPr>
          <w:p w14:paraId="05D81A04">
            <w:pPr>
              <w:rPr>
                <w:rFonts w:hint="eastAsia" w:asciiTheme="minorEastAsia" w:hAnsiTheme="minorEastAsia" w:eastAsiaTheme="minorEastAsia" w:cstheme="minorEastAsia"/>
                <w:sz w:val="24"/>
                <w:szCs w:val="24"/>
              </w:rPr>
            </w:pPr>
          </w:p>
        </w:tc>
        <w:tc>
          <w:tcPr>
            <w:tcW w:w="960" w:type="pct"/>
            <w:vAlign w:val="top"/>
          </w:tcPr>
          <w:p w14:paraId="35AA510E">
            <w:pPr>
              <w:pStyle w:val="77"/>
              <w:spacing w:before="179" w:line="222" w:lineRule="auto"/>
              <w:ind w:left="69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
                <w:sz w:val="24"/>
                <w:szCs w:val="24"/>
              </w:rPr>
              <w:t>年</w:t>
            </w:r>
            <w:r>
              <w:rPr>
                <w:rFonts w:hint="eastAsia" w:asciiTheme="minorEastAsia" w:hAnsiTheme="minorEastAsia" w:eastAsiaTheme="minorEastAsia" w:cstheme="minorEastAsia"/>
                <w:spacing w:val="15"/>
                <w:sz w:val="24"/>
                <w:szCs w:val="24"/>
              </w:rPr>
              <w:t xml:space="preserve"> </w:t>
            </w:r>
            <w:r>
              <w:rPr>
                <w:rFonts w:hint="eastAsia" w:asciiTheme="minorEastAsia" w:hAnsiTheme="minorEastAsia" w:eastAsiaTheme="minorEastAsia" w:cstheme="minorEastAsia"/>
                <w:spacing w:val="-11"/>
                <w:sz w:val="24"/>
                <w:szCs w:val="24"/>
              </w:rPr>
              <w:t>龄</w:t>
            </w:r>
          </w:p>
        </w:tc>
        <w:tc>
          <w:tcPr>
            <w:tcW w:w="630" w:type="pct"/>
            <w:vAlign w:val="top"/>
          </w:tcPr>
          <w:p w14:paraId="25605108">
            <w:pPr>
              <w:rPr>
                <w:rFonts w:hint="eastAsia" w:asciiTheme="minorEastAsia" w:hAnsiTheme="minorEastAsia" w:eastAsiaTheme="minorEastAsia" w:cstheme="minorEastAsia"/>
                <w:sz w:val="24"/>
                <w:szCs w:val="24"/>
              </w:rPr>
            </w:pPr>
          </w:p>
        </w:tc>
      </w:tr>
      <w:tr w14:paraId="5E7F2C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79" w:type="pct"/>
            <w:gridSpan w:val="2"/>
            <w:vAlign w:val="top"/>
          </w:tcPr>
          <w:p w14:paraId="654694ED">
            <w:pPr>
              <w:pStyle w:val="77"/>
              <w:spacing w:before="176" w:line="221" w:lineRule="auto"/>
              <w:ind w:left="62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职</w:t>
            </w:r>
            <w:r>
              <w:rPr>
                <w:rFonts w:hint="eastAsia" w:asciiTheme="minorEastAsia" w:hAnsiTheme="minorEastAsia" w:eastAsiaTheme="minorEastAsia" w:cstheme="minorEastAsia"/>
                <w:spacing w:val="7"/>
                <w:sz w:val="24"/>
                <w:szCs w:val="24"/>
              </w:rPr>
              <w:t xml:space="preserve">  </w:t>
            </w:r>
            <w:r>
              <w:rPr>
                <w:rFonts w:hint="eastAsia" w:asciiTheme="minorEastAsia" w:hAnsiTheme="minorEastAsia" w:eastAsiaTheme="minorEastAsia" w:cstheme="minorEastAsia"/>
                <w:spacing w:val="-8"/>
                <w:sz w:val="24"/>
                <w:szCs w:val="24"/>
              </w:rPr>
              <w:t>称</w:t>
            </w:r>
          </w:p>
        </w:tc>
        <w:tc>
          <w:tcPr>
            <w:tcW w:w="869" w:type="pct"/>
            <w:vAlign w:val="top"/>
          </w:tcPr>
          <w:p w14:paraId="36E79E0C">
            <w:pPr>
              <w:rPr>
                <w:rFonts w:hint="eastAsia" w:asciiTheme="minorEastAsia" w:hAnsiTheme="minorEastAsia" w:eastAsiaTheme="minorEastAsia" w:cstheme="minorEastAsia"/>
                <w:sz w:val="24"/>
                <w:szCs w:val="24"/>
              </w:rPr>
            </w:pPr>
          </w:p>
        </w:tc>
        <w:tc>
          <w:tcPr>
            <w:tcW w:w="840" w:type="pct"/>
            <w:vAlign w:val="top"/>
          </w:tcPr>
          <w:p w14:paraId="3A1E6B90">
            <w:pPr>
              <w:pStyle w:val="77"/>
              <w:spacing w:before="177" w:line="222" w:lineRule="auto"/>
              <w:ind w:left="37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身份证号</w:t>
            </w:r>
          </w:p>
        </w:tc>
        <w:tc>
          <w:tcPr>
            <w:tcW w:w="717" w:type="pct"/>
            <w:vAlign w:val="top"/>
          </w:tcPr>
          <w:p w14:paraId="754E0F8F">
            <w:pPr>
              <w:rPr>
                <w:rFonts w:hint="eastAsia" w:asciiTheme="minorEastAsia" w:hAnsiTheme="minorEastAsia" w:eastAsiaTheme="minorEastAsia" w:cstheme="minorEastAsia"/>
                <w:sz w:val="24"/>
                <w:szCs w:val="24"/>
              </w:rPr>
            </w:pPr>
          </w:p>
        </w:tc>
        <w:tc>
          <w:tcPr>
            <w:tcW w:w="960" w:type="pct"/>
            <w:vAlign w:val="top"/>
          </w:tcPr>
          <w:p w14:paraId="6C9DC783">
            <w:pPr>
              <w:pStyle w:val="77"/>
              <w:spacing w:before="177" w:line="222" w:lineRule="auto"/>
              <w:ind w:left="4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专业/年限</w:t>
            </w:r>
          </w:p>
        </w:tc>
        <w:tc>
          <w:tcPr>
            <w:tcW w:w="630" w:type="pct"/>
            <w:vAlign w:val="top"/>
          </w:tcPr>
          <w:p w14:paraId="1A7FE106">
            <w:pPr>
              <w:rPr>
                <w:rFonts w:hint="eastAsia" w:asciiTheme="minorEastAsia" w:hAnsiTheme="minorEastAsia" w:eastAsiaTheme="minorEastAsia" w:cstheme="minorEastAsia"/>
                <w:sz w:val="24"/>
                <w:szCs w:val="24"/>
              </w:rPr>
            </w:pPr>
          </w:p>
        </w:tc>
      </w:tr>
      <w:tr w14:paraId="3788F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979" w:type="pct"/>
            <w:gridSpan w:val="2"/>
            <w:vAlign w:val="top"/>
          </w:tcPr>
          <w:p w14:paraId="2ADA0471">
            <w:pPr>
              <w:pStyle w:val="77"/>
              <w:spacing w:before="174" w:line="221" w:lineRule="auto"/>
              <w:ind w:left="5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毕业时间</w:t>
            </w:r>
          </w:p>
        </w:tc>
        <w:tc>
          <w:tcPr>
            <w:tcW w:w="869" w:type="pct"/>
            <w:vAlign w:val="top"/>
          </w:tcPr>
          <w:p w14:paraId="1B64A3F9">
            <w:pPr>
              <w:rPr>
                <w:rFonts w:hint="eastAsia" w:asciiTheme="minorEastAsia" w:hAnsiTheme="minorEastAsia" w:eastAsiaTheme="minorEastAsia" w:cstheme="minorEastAsia"/>
                <w:sz w:val="24"/>
                <w:szCs w:val="24"/>
              </w:rPr>
            </w:pPr>
          </w:p>
        </w:tc>
        <w:tc>
          <w:tcPr>
            <w:tcW w:w="840" w:type="pct"/>
            <w:vAlign w:val="top"/>
          </w:tcPr>
          <w:p w14:paraId="70C56898">
            <w:pPr>
              <w:pStyle w:val="77"/>
              <w:spacing w:before="174" w:line="221" w:lineRule="auto"/>
              <w:ind w:left="37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毕业学校</w:t>
            </w:r>
          </w:p>
        </w:tc>
        <w:tc>
          <w:tcPr>
            <w:tcW w:w="717" w:type="pct"/>
            <w:vAlign w:val="top"/>
          </w:tcPr>
          <w:p w14:paraId="2DDD776E">
            <w:pPr>
              <w:rPr>
                <w:rFonts w:hint="eastAsia" w:asciiTheme="minorEastAsia" w:hAnsiTheme="minorEastAsia" w:eastAsiaTheme="minorEastAsia" w:cstheme="minorEastAsia"/>
                <w:sz w:val="24"/>
                <w:szCs w:val="24"/>
              </w:rPr>
            </w:pPr>
          </w:p>
        </w:tc>
        <w:tc>
          <w:tcPr>
            <w:tcW w:w="960" w:type="pct"/>
            <w:vAlign w:val="top"/>
          </w:tcPr>
          <w:p w14:paraId="34867E7B">
            <w:pPr>
              <w:pStyle w:val="77"/>
              <w:spacing w:before="175" w:line="223" w:lineRule="auto"/>
              <w:ind w:left="45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学历/专业</w:t>
            </w:r>
          </w:p>
        </w:tc>
        <w:tc>
          <w:tcPr>
            <w:tcW w:w="630" w:type="pct"/>
            <w:vAlign w:val="top"/>
          </w:tcPr>
          <w:p w14:paraId="39D1AF64">
            <w:pPr>
              <w:rPr>
                <w:rFonts w:hint="eastAsia" w:asciiTheme="minorEastAsia" w:hAnsiTheme="minorEastAsia" w:eastAsiaTheme="minorEastAsia" w:cstheme="minorEastAsia"/>
                <w:sz w:val="24"/>
                <w:szCs w:val="24"/>
              </w:rPr>
            </w:pPr>
          </w:p>
        </w:tc>
      </w:tr>
      <w:tr w14:paraId="6C6468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979" w:type="pct"/>
            <w:gridSpan w:val="2"/>
            <w:vAlign w:val="top"/>
          </w:tcPr>
          <w:p w14:paraId="2183B726">
            <w:pPr>
              <w:pStyle w:val="77"/>
              <w:spacing w:before="177" w:line="222" w:lineRule="auto"/>
              <w:ind w:left="51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资格证书</w:t>
            </w:r>
          </w:p>
        </w:tc>
        <w:tc>
          <w:tcPr>
            <w:tcW w:w="869" w:type="pct"/>
            <w:vAlign w:val="top"/>
          </w:tcPr>
          <w:p w14:paraId="56C29AED">
            <w:pPr>
              <w:rPr>
                <w:rFonts w:hint="eastAsia" w:asciiTheme="minorEastAsia" w:hAnsiTheme="minorEastAsia" w:eastAsiaTheme="minorEastAsia" w:cstheme="minorEastAsia"/>
                <w:sz w:val="24"/>
                <w:szCs w:val="24"/>
              </w:rPr>
            </w:pPr>
          </w:p>
        </w:tc>
        <w:tc>
          <w:tcPr>
            <w:tcW w:w="840" w:type="pct"/>
            <w:vAlign w:val="top"/>
          </w:tcPr>
          <w:p w14:paraId="0712160E">
            <w:pPr>
              <w:pStyle w:val="77"/>
              <w:spacing w:before="176" w:line="223" w:lineRule="auto"/>
              <w:ind w:left="37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注册时间</w:t>
            </w:r>
          </w:p>
        </w:tc>
        <w:tc>
          <w:tcPr>
            <w:tcW w:w="717" w:type="pct"/>
            <w:vAlign w:val="top"/>
          </w:tcPr>
          <w:p w14:paraId="68C2687C">
            <w:pPr>
              <w:rPr>
                <w:rFonts w:hint="eastAsia" w:asciiTheme="minorEastAsia" w:hAnsiTheme="minorEastAsia" w:eastAsiaTheme="minorEastAsia" w:cstheme="minorEastAsia"/>
                <w:sz w:val="24"/>
                <w:szCs w:val="24"/>
              </w:rPr>
            </w:pPr>
          </w:p>
        </w:tc>
        <w:tc>
          <w:tcPr>
            <w:tcW w:w="960" w:type="pct"/>
            <w:vAlign w:val="top"/>
          </w:tcPr>
          <w:p w14:paraId="47ABDFC9">
            <w:pPr>
              <w:pStyle w:val="77"/>
              <w:spacing w:before="176" w:line="223" w:lineRule="auto"/>
              <w:ind w:left="50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从业时间</w:t>
            </w:r>
          </w:p>
        </w:tc>
        <w:tc>
          <w:tcPr>
            <w:tcW w:w="630" w:type="pct"/>
            <w:vAlign w:val="top"/>
          </w:tcPr>
          <w:p w14:paraId="42D255AE">
            <w:pPr>
              <w:rPr>
                <w:rFonts w:hint="eastAsia" w:asciiTheme="minorEastAsia" w:hAnsiTheme="minorEastAsia" w:eastAsiaTheme="minorEastAsia" w:cstheme="minorEastAsia"/>
                <w:sz w:val="24"/>
                <w:szCs w:val="24"/>
              </w:rPr>
            </w:pPr>
          </w:p>
        </w:tc>
      </w:tr>
      <w:tr w14:paraId="2E28D9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849" w:type="pct"/>
            <w:gridSpan w:val="3"/>
            <w:vAlign w:val="top"/>
          </w:tcPr>
          <w:p w14:paraId="2C7FCA73">
            <w:pPr>
              <w:pStyle w:val="77"/>
              <w:spacing w:before="176" w:line="223" w:lineRule="auto"/>
              <w:ind w:left="65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是否属供应商固定雇员</w:t>
            </w:r>
          </w:p>
        </w:tc>
        <w:tc>
          <w:tcPr>
            <w:tcW w:w="840" w:type="pct"/>
            <w:vAlign w:val="top"/>
          </w:tcPr>
          <w:p w14:paraId="6C2AC3C2">
            <w:pPr>
              <w:rPr>
                <w:rFonts w:hint="eastAsia" w:asciiTheme="minorEastAsia" w:hAnsiTheme="minorEastAsia" w:eastAsiaTheme="minorEastAsia" w:cstheme="minorEastAsia"/>
                <w:sz w:val="24"/>
                <w:szCs w:val="24"/>
              </w:rPr>
            </w:pPr>
          </w:p>
        </w:tc>
        <w:tc>
          <w:tcPr>
            <w:tcW w:w="1678" w:type="pct"/>
            <w:gridSpan w:val="2"/>
            <w:vAlign w:val="top"/>
          </w:tcPr>
          <w:p w14:paraId="434AB336">
            <w:pPr>
              <w:pStyle w:val="77"/>
              <w:spacing w:before="176" w:line="222" w:lineRule="auto"/>
              <w:ind w:left="73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为供应商服务时间</w:t>
            </w:r>
          </w:p>
        </w:tc>
        <w:tc>
          <w:tcPr>
            <w:tcW w:w="630" w:type="pct"/>
            <w:vAlign w:val="top"/>
          </w:tcPr>
          <w:p w14:paraId="15FB2E20">
            <w:pPr>
              <w:rPr>
                <w:rFonts w:hint="eastAsia" w:asciiTheme="minorEastAsia" w:hAnsiTheme="minorEastAsia" w:eastAsiaTheme="minorEastAsia" w:cstheme="minorEastAsia"/>
                <w:sz w:val="24"/>
                <w:szCs w:val="24"/>
              </w:rPr>
            </w:pPr>
          </w:p>
        </w:tc>
      </w:tr>
      <w:tr w14:paraId="6274F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1849" w:type="pct"/>
            <w:gridSpan w:val="3"/>
            <w:vAlign w:val="top"/>
          </w:tcPr>
          <w:p w14:paraId="0BFC9D38">
            <w:pPr>
              <w:pStyle w:val="77"/>
              <w:spacing w:before="175" w:line="219" w:lineRule="auto"/>
              <w:ind w:left="77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拟在本项目担任职务</w:t>
            </w:r>
          </w:p>
        </w:tc>
        <w:tc>
          <w:tcPr>
            <w:tcW w:w="3150" w:type="pct"/>
            <w:gridSpan w:val="4"/>
            <w:vAlign w:val="top"/>
          </w:tcPr>
          <w:p w14:paraId="0699F780">
            <w:pPr>
              <w:rPr>
                <w:rFonts w:hint="eastAsia" w:asciiTheme="minorEastAsia" w:hAnsiTheme="minorEastAsia" w:eastAsiaTheme="minorEastAsia" w:cstheme="minorEastAsia"/>
                <w:sz w:val="24"/>
                <w:szCs w:val="24"/>
              </w:rPr>
            </w:pPr>
          </w:p>
        </w:tc>
      </w:tr>
      <w:tr w14:paraId="67B2D5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5000" w:type="pct"/>
            <w:gridSpan w:val="7"/>
            <w:vAlign w:val="top"/>
          </w:tcPr>
          <w:p w14:paraId="51C612EE">
            <w:pPr>
              <w:pStyle w:val="77"/>
              <w:spacing w:before="176" w:line="222" w:lineRule="auto"/>
              <w:ind w:left="414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教育和培训背景</w:t>
            </w:r>
          </w:p>
        </w:tc>
      </w:tr>
      <w:tr w14:paraId="06D8A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4" w:hRule="atLeast"/>
        </w:trPr>
        <w:tc>
          <w:tcPr>
            <w:tcW w:w="5000" w:type="pct"/>
            <w:gridSpan w:val="7"/>
            <w:vAlign w:val="top"/>
          </w:tcPr>
          <w:p w14:paraId="112B5429">
            <w:pPr>
              <w:pStyle w:val="77"/>
              <w:spacing w:before="114" w:line="221" w:lineRule="auto"/>
              <w:ind w:left="12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（教育背景从大学开始，包括毕业院校名称、专业、起始时间。培训填写与专</w:t>
            </w:r>
            <w:r>
              <w:rPr>
                <w:rFonts w:hint="eastAsia" w:asciiTheme="minorEastAsia" w:hAnsiTheme="minorEastAsia" w:eastAsiaTheme="minorEastAsia" w:cstheme="minorEastAsia"/>
                <w:spacing w:val="-4"/>
                <w:sz w:val="24"/>
                <w:szCs w:val="24"/>
              </w:rPr>
              <w:t>业技术、业务有</w:t>
            </w:r>
          </w:p>
          <w:p w14:paraId="385FD258">
            <w:pPr>
              <w:pStyle w:val="77"/>
              <w:spacing w:before="114" w:line="222" w:lineRule="auto"/>
              <w:ind w:left="1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关的内容）</w:t>
            </w:r>
          </w:p>
        </w:tc>
      </w:tr>
      <w:tr w14:paraId="06F61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5000" w:type="pct"/>
            <w:gridSpan w:val="7"/>
            <w:vAlign w:val="top"/>
          </w:tcPr>
          <w:p w14:paraId="754ED8F7">
            <w:pPr>
              <w:pStyle w:val="77"/>
              <w:spacing w:before="190" w:line="220" w:lineRule="auto"/>
              <w:ind w:left="451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工作经历</w:t>
            </w:r>
          </w:p>
        </w:tc>
      </w:tr>
      <w:tr w14:paraId="6B8F5C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829" w:type="pct"/>
            <w:vAlign w:val="top"/>
          </w:tcPr>
          <w:p w14:paraId="64AA003A">
            <w:pPr>
              <w:pStyle w:val="77"/>
              <w:spacing w:before="317" w:line="223" w:lineRule="auto"/>
              <w:ind w:left="49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7"/>
                <w:sz w:val="24"/>
                <w:szCs w:val="24"/>
              </w:rPr>
              <w:t>时</w:t>
            </w:r>
            <w:r>
              <w:rPr>
                <w:rFonts w:hint="eastAsia" w:asciiTheme="minorEastAsia" w:hAnsiTheme="minorEastAsia" w:eastAsiaTheme="minorEastAsia" w:cstheme="minorEastAsia"/>
                <w:spacing w:val="19"/>
                <w:sz w:val="24"/>
                <w:szCs w:val="24"/>
              </w:rPr>
              <w:t xml:space="preserve">  </w:t>
            </w:r>
            <w:r>
              <w:rPr>
                <w:rFonts w:hint="eastAsia" w:asciiTheme="minorEastAsia" w:hAnsiTheme="minorEastAsia" w:eastAsiaTheme="minorEastAsia" w:cstheme="minorEastAsia"/>
                <w:spacing w:val="-17"/>
                <w:sz w:val="24"/>
                <w:szCs w:val="24"/>
              </w:rPr>
              <w:t>间</w:t>
            </w:r>
          </w:p>
        </w:tc>
        <w:tc>
          <w:tcPr>
            <w:tcW w:w="1860" w:type="pct"/>
            <w:gridSpan w:val="3"/>
            <w:vAlign w:val="top"/>
          </w:tcPr>
          <w:p w14:paraId="34742F97">
            <w:pPr>
              <w:pStyle w:val="77"/>
              <w:spacing w:before="118" w:line="260" w:lineRule="auto"/>
              <w:ind w:left="1028" w:right="889" w:hanging="11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参加过的项目名称及当时所在单位</w:t>
            </w:r>
          </w:p>
        </w:tc>
        <w:tc>
          <w:tcPr>
            <w:tcW w:w="717" w:type="pct"/>
            <w:vAlign w:val="top"/>
          </w:tcPr>
          <w:p w14:paraId="3F6EBC8E">
            <w:pPr>
              <w:pStyle w:val="77"/>
              <w:spacing w:before="317" w:line="223" w:lineRule="auto"/>
              <w:ind w:left="24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担任何职</w:t>
            </w:r>
          </w:p>
        </w:tc>
        <w:tc>
          <w:tcPr>
            <w:tcW w:w="960" w:type="pct"/>
            <w:vAlign w:val="top"/>
          </w:tcPr>
          <w:p w14:paraId="4F7F6374">
            <w:pPr>
              <w:pStyle w:val="77"/>
              <w:spacing w:before="317" w:line="220" w:lineRule="auto"/>
              <w:ind w:left="2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主要工作内容</w:t>
            </w:r>
          </w:p>
        </w:tc>
        <w:tc>
          <w:tcPr>
            <w:tcW w:w="630" w:type="pct"/>
            <w:vAlign w:val="top"/>
          </w:tcPr>
          <w:p w14:paraId="1EE56120">
            <w:pPr>
              <w:pStyle w:val="77"/>
              <w:spacing w:before="317" w:line="224" w:lineRule="auto"/>
              <w:ind w:left="34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备</w:t>
            </w:r>
            <w:r>
              <w:rPr>
                <w:rFonts w:hint="eastAsia" w:asciiTheme="minorEastAsia" w:hAnsiTheme="minorEastAsia" w:eastAsiaTheme="minorEastAsia" w:cstheme="minorEastAsia"/>
                <w:spacing w:val="22"/>
                <w:sz w:val="24"/>
                <w:szCs w:val="24"/>
              </w:rPr>
              <w:t xml:space="preserve"> </w:t>
            </w:r>
            <w:r>
              <w:rPr>
                <w:rFonts w:hint="eastAsia" w:asciiTheme="minorEastAsia" w:hAnsiTheme="minorEastAsia" w:eastAsiaTheme="minorEastAsia" w:cstheme="minorEastAsia"/>
                <w:spacing w:val="-9"/>
                <w:sz w:val="24"/>
                <w:szCs w:val="24"/>
              </w:rPr>
              <w:t>注</w:t>
            </w:r>
          </w:p>
        </w:tc>
      </w:tr>
      <w:tr w14:paraId="6DA7DB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29" w:type="pct"/>
            <w:vAlign w:val="top"/>
          </w:tcPr>
          <w:p w14:paraId="155B27BA">
            <w:pPr>
              <w:rPr>
                <w:rFonts w:hint="eastAsia" w:asciiTheme="minorEastAsia" w:hAnsiTheme="minorEastAsia" w:eastAsiaTheme="minorEastAsia" w:cstheme="minorEastAsia"/>
                <w:sz w:val="24"/>
                <w:szCs w:val="24"/>
              </w:rPr>
            </w:pPr>
          </w:p>
        </w:tc>
        <w:tc>
          <w:tcPr>
            <w:tcW w:w="1860" w:type="pct"/>
            <w:gridSpan w:val="3"/>
            <w:vAlign w:val="top"/>
          </w:tcPr>
          <w:p w14:paraId="01024337">
            <w:pPr>
              <w:rPr>
                <w:rFonts w:hint="eastAsia" w:asciiTheme="minorEastAsia" w:hAnsiTheme="minorEastAsia" w:eastAsiaTheme="minorEastAsia" w:cstheme="minorEastAsia"/>
                <w:sz w:val="24"/>
                <w:szCs w:val="24"/>
              </w:rPr>
            </w:pPr>
          </w:p>
        </w:tc>
        <w:tc>
          <w:tcPr>
            <w:tcW w:w="717" w:type="pct"/>
            <w:vAlign w:val="top"/>
          </w:tcPr>
          <w:p w14:paraId="3685926F">
            <w:pPr>
              <w:rPr>
                <w:rFonts w:hint="eastAsia" w:asciiTheme="minorEastAsia" w:hAnsiTheme="minorEastAsia" w:eastAsiaTheme="minorEastAsia" w:cstheme="minorEastAsia"/>
                <w:sz w:val="24"/>
                <w:szCs w:val="24"/>
              </w:rPr>
            </w:pPr>
          </w:p>
        </w:tc>
        <w:tc>
          <w:tcPr>
            <w:tcW w:w="960" w:type="pct"/>
            <w:vAlign w:val="top"/>
          </w:tcPr>
          <w:p w14:paraId="6F4710B6">
            <w:pPr>
              <w:rPr>
                <w:rFonts w:hint="eastAsia" w:asciiTheme="minorEastAsia" w:hAnsiTheme="minorEastAsia" w:eastAsiaTheme="minorEastAsia" w:cstheme="minorEastAsia"/>
                <w:sz w:val="24"/>
                <w:szCs w:val="24"/>
              </w:rPr>
            </w:pPr>
          </w:p>
        </w:tc>
        <w:tc>
          <w:tcPr>
            <w:tcW w:w="630" w:type="pct"/>
            <w:vAlign w:val="top"/>
          </w:tcPr>
          <w:p w14:paraId="539DED28">
            <w:pPr>
              <w:rPr>
                <w:rFonts w:hint="eastAsia" w:asciiTheme="minorEastAsia" w:hAnsiTheme="minorEastAsia" w:eastAsiaTheme="minorEastAsia" w:cstheme="minorEastAsia"/>
                <w:sz w:val="24"/>
                <w:szCs w:val="24"/>
              </w:rPr>
            </w:pPr>
          </w:p>
        </w:tc>
      </w:tr>
      <w:tr w14:paraId="4E6C3E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829" w:type="pct"/>
            <w:vAlign w:val="top"/>
          </w:tcPr>
          <w:p w14:paraId="6829D166">
            <w:pPr>
              <w:rPr>
                <w:rFonts w:hint="eastAsia" w:asciiTheme="minorEastAsia" w:hAnsiTheme="minorEastAsia" w:eastAsiaTheme="minorEastAsia" w:cstheme="minorEastAsia"/>
                <w:sz w:val="24"/>
                <w:szCs w:val="24"/>
              </w:rPr>
            </w:pPr>
          </w:p>
        </w:tc>
        <w:tc>
          <w:tcPr>
            <w:tcW w:w="1860" w:type="pct"/>
            <w:gridSpan w:val="3"/>
            <w:vAlign w:val="top"/>
          </w:tcPr>
          <w:p w14:paraId="543BE753">
            <w:pPr>
              <w:rPr>
                <w:rFonts w:hint="eastAsia" w:asciiTheme="minorEastAsia" w:hAnsiTheme="minorEastAsia" w:eastAsiaTheme="minorEastAsia" w:cstheme="minorEastAsia"/>
                <w:sz w:val="24"/>
                <w:szCs w:val="24"/>
              </w:rPr>
            </w:pPr>
          </w:p>
        </w:tc>
        <w:tc>
          <w:tcPr>
            <w:tcW w:w="717" w:type="pct"/>
            <w:vAlign w:val="top"/>
          </w:tcPr>
          <w:p w14:paraId="67821209">
            <w:pPr>
              <w:rPr>
                <w:rFonts w:hint="eastAsia" w:asciiTheme="minorEastAsia" w:hAnsiTheme="minorEastAsia" w:eastAsiaTheme="minorEastAsia" w:cstheme="minorEastAsia"/>
                <w:sz w:val="24"/>
                <w:szCs w:val="24"/>
              </w:rPr>
            </w:pPr>
          </w:p>
        </w:tc>
        <w:tc>
          <w:tcPr>
            <w:tcW w:w="960" w:type="pct"/>
            <w:vAlign w:val="top"/>
          </w:tcPr>
          <w:p w14:paraId="0E9D4252">
            <w:pPr>
              <w:rPr>
                <w:rFonts w:hint="eastAsia" w:asciiTheme="minorEastAsia" w:hAnsiTheme="minorEastAsia" w:eastAsiaTheme="minorEastAsia" w:cstheme="minorEastAsia"/>
                <w:sz w:val="24"/>
                <w:szCs w:val="24"/>
              </w:rPr>
            </w:pPr>
          </w:p>
        </w:tc>
        <w:tc>
          <w:tcPr>
            <w:tcW w:w="630" w:type="pct"/>
            <w:vAlign w:val="top"/>
          </w:tcPr>
          <w:p w14:paraId="3CE76E14">
            <w:pPr>
              <w:rPr>
                <w:rFonts w:hint="eastAsia" w:asciiTheme="minorEastAsia" w:hAnsiTheme="minorEastAsia" w:eastAsiaTheme="minorEastAsia" w:cstheme="minorEastAsia"/>
                <w:sz w:val="24"/>
                <w:szCs w:val="24"/>
              </w:rPr>
            </w:pPr>
          </w:p>
        </w:tc>
      </w:tr>
      <w:tr w14:paraId="35CAA7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0" w:hRule="atLeast"/>
        </w:trPr>
        <w:tc>
          <w:tcPr>
            <w:tcW w:w="829" w:type="pct"/>
            <w:vAlign w:val="top"/>
          </w:tcPr>
          <w:p w14:paraId="148138A5">
            <w:pPr>
              <w:rPr>
                <w:rFonts w:hint="eastAsia" w:asciiTheme="minorEastAsia" w:hAnsiTheme="minorEastAsia" w:eastAsiaTheme="minorEastAsia" w:cstheme="minorEastAsia"/>
                <w:sz w:val="24"/>
                <w:szCs w:val="24"/>
              </w:rPr>
            </w:pPr>
          </w:p>
        </w:tc>
        <w:tc>
          <w:tcPr>
            <w:tcW w:w="1860" w:type="pct"/>
            <w:gridSpan w:val="3"/>
            <w:vAlign w:val="top"/>
          </w:tcPr>
          <w:p w14:paraId="6893ACF1">
            <w:pPr>
              <w:rPr>
                <w:rFonts w:hint="eastAsia" w:asciiTheme="minorEastAsia" w:hAnsiTheme="minorEastAsia" w:eastAsiaTheme="minorEastAsia" w:cstheme="minorEastAsia"/>
                <w:sz w:val="24"/>
                <w:szCs w:val="24"/>
              </w:rPr>
            </w:pPr>
          </w:p>
        </w:tc>
        <w:tc>
          <w:tcPr>
            <w:tcW w:w="717" w:type="pct"/>
            <w:vAlign w:val="top"/>
          </w:tcPr>
          <w:p w14:paraId="4CED5368">
            <w:pPr>
              <w:rPr>
                <w:rFonts w:hint="eastAsia" w:asciiTheme="minorEastAsia" w:hAnsiTheme="minorEastAsia" w:eastAsiaTheme="minorEastAsia" w:cstheme="minorEastAsia"/>
                <w:sz w:val="24"/>
                <w:szCs w:val="24"/>
              </w:rPr>
            </w:pPr>
          </w:p>
        </w:tc>
        <w:tc>
          <w:tcPr>
            <w:tcW w:w="960" w:type="pct"/>
            <w:vAlign w:val="top"/>
          </w:tcPr>
          <w:p w14:paraId="7DABF223">
            <w:pPr>
              <w:rPr>
                <w:rFonts w:hint="eastAsia" w:asciiTheme="minorEastAsia" w:hAnsiTheme="minorEastAsia" w:eastAsiaTheme="minorEastAsia" w:cstheme="minorEastAsia"/>
                <w:sz w:val="24"/>
                <w:szCs w:val="24"/>
              </w:rPr>
            </w:pPr>
          </w:p>
        </w:tc>
        <w:tc>
          <w:tcPr>
            <w:tcW w:w="630" w:type="pct"/>
            <w:vAlign w:val="top"/>
          </w:tcPr>
          <w:p w14:paraId="3D881B23">
            <w:pPr>
              <w:rPr>
                <w:rFonts w:hint="eastAsia" w:asciiTheme="minorEastAsia" w:hAnsiTheme="minorEastAsia" w:eastAsiaTheme="minorEastAsia" w:cstheme="minorEastAsia"/>
                <w:sz w:val="24"/>
                <w:szCs w:val="24"/>
              </w:rPr>
            </w:pPr>
          </w:p>
        </w:tc>
      </w:tr>
      <w:tr w14:paraId="1B9F5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1" w:hRule="atLeast"/>
        </w:trPr>
        <w:tc>
          <w:tcPr>
            <w:tcW w:w="829" w:type="pct"/>
            <w:vAlign w:val="top"/>
          </w:tcPr>
          <w:p w14:paraId="18AA54ED">
            <w:pPr>
              <w:rPr>
                <w:rFonts w:hint="eastAsia" w:asciiTheme="minorEastAsia" w:hAnsiTheme="minorEastAsia" w:eastAsiaTheme="minorEastAsia" w:cstheme="minorEastAsia"/>
                <w:sz w:val="24"/>
                <w:szCs w:val="24"/>
              </w:rPr>
            </w:pPr>
          </w:p>
        </w:tc>
        <w:tc>
          <w:tcPr>
            <w:tcW w:w="1860" w:type="pct"/>
            <w:gridSpan w:val="3"/>
            <w:vAlign w:val="top"/>
          </w:tcPr>
          <w:p w14:paraId="49C3DE96">
            <w:pPr>
              <w:rPr>
                <w:rFonts w:hint="eastAsia" w:asciiTheme="minorEastAsia" w:hAnsiTheme="minorEastAsia" w:eastAsiaTheme="minorEastAsia" w:cstheme="minorEastAsia"/>
                <w:sz w:val="24"/>
                <w:szCs w:val="24"/>
              </w:rPr>
            </w:pPr>
          </w:p>
        </w:tc>
        <w:tc>
          <w:tcPr>
            <w:tcW w:w="717" w:type="pct"/>
            <w:vAlign w:val="top"/>
          </w:tcPr>
          <w:p w14:paraId="06CA378B">
            <w:pPr>
              <w:rPr>
                <w:rFonts w:hint="eastAsia" w:asciiTheme="minorEastAsia" w:hAnsiTheme="minorEastAsia" w:eastAsiaTheme="minorEastAsia" w:cstheme="minorEastAsia"/>
                <w:sz w:val="24"/>
                <w:szCs w:val="24"/>
              </w:rPr>
            </w:pPr>
          </w:p>
        </w:tc>
        <w:tc>
          <w:tcPr>
            <w:tcW w:w="960" w:type="pct"/>
            <w:vAlign w:val="top"/>
          </w:tcPr>
          <w:p w14:paraId="2FFC8228">
            <w:pPr>
              <w:rPr>
                <w:rFonts w:hint="eastAsia" w:asciiTheme="minorEastAsia" w:hAnsiTheme="minorEastAsia" w:eastAsiaTheme="minorEastAsia" w:cstheme="minorEastAsia"/>
                <w:sz w:val="24"/>
                <w:szCs w:val="24"/>
              </w:rPr>
            </w:pPr>
          </w:p>
        </w:tc>
        <w:tc>
          <w:tcPr>
            <w:tcW w:w="630" w:type="pct"/>
            <w:vAlign w:val="top"/>
          </w:tcPr>
          <w:p w14:paraId="1F0823CF">
            <w:pPr>
              <w:rPr>
                <w:rFonts w:hint="eastAsia" w:asciiTheme="minorEastAsia" w:hAnsiTheme="minorEastAsia" w:eastAsiaTheme="minorEastAsia" w:cstheme="minorEastAsia"/>
                <w:sz w:val="24"/>
                <w:szCs w:val="24"/>
              </w:rPr>
            </w:pPr>
          </w:p>
        </w:tc>
      </w:tr>
      <w:tr w14:paraId="530876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29" w:type="pct"/>
            <w:vAlign w:val="top"/>
          </w:tcPr>
          <w:p w14:paraId="0DF24EC7">
            <w:pPr>
              <w:rPr>
                <w:rFonts w:hint="eastAsia" w:asciiTheme="minorEastAsia" w:hAnsiTheme="minorEastAsia" w:eastAsiaTheme="minorEastAsia" w:cstheme="minorEastAsia"/>
                <w:sz w:val="24"/>
                <w:szCs w:val="24"/>
              </w:rPr>
            </w:pPr>
          </w:p>
        </w:tc>
        <w:tc>
          <w:tcPr>
            <w:tcW w:w="1860" w:type="pct"/>
            <w:gridSpan w:val="3"/>
            <w:vAlign w:val="top"/>
          </w:tcPr>
          <w:p w14:paraId="0409DEBA">
            <w:pPr>
              <w:rPr>
                <w:rFonts w:hint="eastAsia" w:asciiTheme="minorEastAsia" w:hAnsiTheme="minorEastAsia" w:eastAsiaTheme="minorEastAsia" w:cstheme="minorEastAsia"/>
                <w:sz w:val="24"/>
                <w:szCs w:val="24"/>
              </w:rPr>
            </w:pPr>
          </w:p>
        </w:tc>
        <w:tc>
          <w:tcPr>
            <w:tcW w:w="717" w:type="pct"/>
            <w:vAlign w:val="top"/>
          </w:tcPr>
          <w:p w14:paraId="2A31C9C2">
            <w:pPr>
              <w:rPr>
                <w:rFonts w:hint="eastAsia" w:asciiTheme="minorEastAsia" w:hAnsiTheme="minorEastAsia" w:eastAsiaTheme="minorEastAsia" w:cstheme="minorEastAsia"/>
                <w:sz w:val="24"/>
                <w:szCs w:val="24"/>
              </w:rPr>
            </w:pPr>
          </w:p>
        </w:tc>
        <w:tc>
          <w:tcPr>
            <w:tcW w:w="960" w:type="pct"/>
            <w:vAlign w:val="top"/>
          </w:tcPr>
          <w:p w14:paraId="477BB8F6">
            <w:pPr>
              <w:rPr>
                <w:rFonts w:hint="eastAsia" w:asciiTheme="minorEastAsia" w:hAnsiTheme="minorEastAsia" w:eastAsiaTheme="minorEastAsia" w:cstheme="minorEastAsia"/>
                <w:sz w:val="24"/>
                <w:szCs w:val="24"/>
              </w:rPr>
            </w:pPr>
          </w:p>
        </w:tc>
        <w:tc>
          <w:tcPr>
            <w:tcW w:w="630" w:type="pct"/>
            <w:vAlign w:val="top"/>
          </w:tcPr>
          <w:p w14:paraId="0C3AE90D">
            <w:pPr>
              <w:rPr>
                <w:rFonts w:hint="eastAsia" w:asciiTheme="minorEastAsia" w:hAnsiTheme="minorEastAsia" w:eastAsiaTheme="minorEastAsia" w:cstheme="minorEastAsia"/>
                <w:sz w:val="24"/>
                <w:szCs w:val="24"/>
              </w:rPr>
            </w:pPr>
          </w:p>
        </w:tc>
      </w:tr>
      <w:tr w14:paraId="265DF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829" w:type="pct"/>
            <w:vAlign w:val="top"/>
          </w:tcPr>
          <w:p w14:paraId="471C3771">
            <w:pPr>
              <w:rPr>
                <w:rFonts w:hint="eastAsia" w:asciiTheme="minorEastAsia" w:hAnsiTheme="minorEastAsia" w:eastAsiaTheme="minorEastAsia" w:cstheme="minorEastAsia"/>
                <w:sz w:val="24"/>
                <w:szCs w:val="24"/>
              </w:rPr>
            </w:pPr>
          </w:p>
        </w:tc>
        <w:tc>
          <w:tcPr>
            <w:tcW w:w="1860" w:type="pct"/>
            <w:gridSpan w:val="3"/>
            <w:vAlign w:val="top"/>
          </w:tcPr>
          <w:p w14:paraId="78580C39">
            <w:pPr>
              <w:rPr>
                <w:rFonts w:hint="eastAsia" w:asciiTheme="minorEastAsia" w:hAnsiTheme="minorEastAsia" w:eastAsiaTheme="minorEastAsia" w:cstheme="minorEastAsia"/>
                <w:sz w:val="24"/>
                <w:szCs w:val="24"/>
              </w:rPr>
            </w:pPr>
          </w:p>
        </w:tc>
        <w:tc>
          <w:tcPr>
            <w:tcW w:w="717" w:type="pct"/>
            <w:vAlign w:val="top"/>
          </w:tcPr>
          <w:p w14:paraId="4EDB5139">
            <w:pPr>
              <w:rPr>
                <w:rFonts w:hint="eastAsia" w:asciiTheme="minorEastAsia" w:hAnsiTheme="minorEastAsia" w:eastAsiaTheme="minorEastAsia" w:cstheme="minorEastAsia"/>
                <w:sz w:val="24"/>
                <w:szCs w:val="24"/>
              </w:rPr>
            </w:pPr>
          </w:p>
        </w:tc>
        <w:tc>
          <w:tcPr>
            <w:tcW w:w="960" w:type="pct"/>
            <w:vAlign w:val="top"/>
          </w:tcPr>
          <w:p w14:paraId="493E0088">
            <w:pPr>
              <w:rPr>
                <w:rFonts w:hint="eastAsia" w:asciiTheme="minorEastAsia" w:hAnsiTheme="minorEastAsia" w:eastAsiaTheme="minorEastAsia" w:cstheme="minorEastAsia"/>
                <w:sz w:val="24"/>
                <w:szCs w:val="24"/>
              </w:rPr>
            </w:pPr>
          </w:p>
        </w:tc>
        <w:tc>
          <w:tcPr>
            <w:tcW w:w="630" w:type="pct"/>
            <w:vAlign w:val="top"/>
          </w:tcPr>
          <w:p w14:paraId="37D16F3C">
            <w:pPr>
              <w:rPr>
                <w:rFonts w:hint="eastAsia" w:asciiTheme="minorEastAsia" w:hAnsiTheme="minorEastAsia" w:eastAsiaTheme="minorEastAsia" w:cstheme="minorEastAsia"/>
                <w:sz w:val="24"/>
                <w:szCs w:val="24"/>
              </w:rPr>
            </w:pPr>
          </w:p>
        </w:tc>
      </w:tr>
    </w:tbl>
    <w:p w14:paraId="52D94C19">
      <w:pPr>
        <w:rPr>
          <w:rFonts w:hint="eastAsia"/>
          <w:lang w:val="en-US" w:eastAsia="zh-CN"/>
        </w:rPr>
      </w:pPr>
      <w:r>
        <w:rPr>
          <w:rFonts w:hint="eastAsia" w:asciiTheme="minorEastAsia" w:hAnsiTheme="minorEastAsia" w:eastAsiaTheme="minorEastAsia" w:cstheme="minorEastAsia"/>
          <w:spacing w:val="-1"/>
          <w:sz w:val="24"/>
          <w:szCs w:val="24"/>
        </w:rPr>
        <w:t>注：1.表后须附磋商文件评审办法规定的相关资料复印件。</w:t>
      </w:r>
    </w:p>
    <w:p w14:paraId="57CF04A3">
      <w:pPr>
        <w:rPr>
          <w:rFonts w:hint="eastAsia"/>
          <w:lang w:val="en-US" w:eastAsia="zh-CN"/>
        </w:rPr>
      </w:pPr>
      <w:r>
        <w:rPr>
          <w:rFonts w:hint="eastAsia"/>
          <w:lang w:val="en-US" w:eastAsia="zh-CN"/>
        </w:rPr>
        <w:br w:type="page"/>
      </w:r>
    </w:p>
    <w:p w14:paraId="1CA74A19">
      <w:pPr>
        <w:pStyle w:val="4"/>
        <w:bidi w:val="0"/>
        <w:spacing w:line="360" w:lineRule="auto"/>
        <w:jc w:val="center"/>
        <w:rPr>
          <w:rFonts w:hint="eastAsia"/>
          <w:lang w:val="en-US" w:eastAsia="zh-CN"/>
        </w:rPr>
      </w:pPr>
      <w:r>
        <w:rPr>
          <w:rFonts w:hint="eastAsia"/>
          <w:lang w:val="en-US" w:eastAsia="zh-CN"/>
        </w:rPr>
        <w:t>同类项目经验一览表（如有）</w:t>
      </w:r>
    </w:p>
    <w:p w14:paraId="7B529734">
      <w:pPr>
        <w:spacing w:line="360" w:lineRule="auto"/>
        <w:rPr>
          <w:rFonts w:hint="eastAsia" w:ascii="宋体" w:hAnsi="宋体" w:eastAsia="宋体" w:cs="宋体"/>
          <w:color w:val="auto"/>
          <w:highlight w:val="none"/>
          <w:u w:val="singl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tbl>
      <w:tblPr>
        <w:tblStyle w:val="2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065"/>
        <w:gridCol w:w="1414"/>
        <w:gridCol w:w="1619"/>
        <w:gridCol w:w="1441"/>
        <w:gridCol w:w="2700"/>
      </w:tblGrid>
      <w:tr w14:paraId="56BB6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6744A3C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065" w:type="dxa"/>
            <w:noWrap w:val="0"/>
            <w:vAlign w:val="center"/>
          </w:tcPr>
          <w:p w14:paraId="367BA86F">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项目名称</w:t>
            </w:r>
          </w:p>
        </w:tc>
        <w:tc>
          <w:tcPr>
            <w:tcW w:w="1414" w:type="dxa"/>
            <w:noWrap w:val="0"/>
            <w:vAlign w:val="center"/>
          </w:tcPr>
          <w:p w14:paraId="141AEBB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项目内容</w:t>
            </w:r>
          </w:p>
        </w:tc>
        <w:tc>
          <w:tcPr>
            <w:tcW w:w="1619" w:type="dxa"/>
            <w:tcBorders>
              <w:left w:val="single" w:color="auto" w:sz="4" w:space="0"/>
              <w:right w:val="single" w:color="auto" w:sz="4" w:space="0"/>
            </w:tcBorders>
            <w:noWrap w:val="0"/>
            <w:vAlign w:val="center"/>
          </w:tcPr>
          <w:p w14:paraId="0626185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合同金额</w:t>
            </w:r>
          </w:p>
          <w:p w14:paraId="5654DFA4">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（万元）</w:t>
            </w:r>
          </w:p>
        </w:tc>
        <w:tc>
          <w:tcPr>
            <w:tcW w:w="1441" w:type="dxa"/>
            <w:noWrap w:val="0"/>
            <w:vAlign w:val="center"/>
          </w:tcPr>
          <w:p w14:paraId="6D008934">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完成日期</w:t>
            </w:r>
          </w:p>
        </w:tc>
        <w:tc>
          <w:tcPr>
            <w:tcW w:w="2700" w:type="dxa"/>
            <w:noWrap w:val="0"/>
            <w:vAlign w:val="center"/>
          </w:tcPr>
          <w:p w14:paraId="04784A0A">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业主名称、联系人及电话</w:t>
            </w:r>
          </w:p>
        </w:tc>
      </w:tr>
      <w:tr w14:paraId="45AE0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00E61ABB">
            <w:pPr>
              <w:spacing w:line="360" w:lineRule="auto"/>
              <w:ind w:left="12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p>
        </w:tc>
        <w:tc>
          <w:tcPr>
            <w:tcW w:w="1065" w:type="dxa"/>
            <w:noWrap w:val="0"/>
            <w:vAlign w:val="center"/>
          </w:tcPr>
          <w:p w14:paraId="06576A9F">
            <w:pPr>
              <w:spacing w:line="360" w:lineRule="auto"/>
              <w:jc w:val="center"/>
              <w:rPr>
                <w:rFonts w:hint="eastAsia" w:ascii="宋体" w:hAnsi="宋体" w:eastAsia="宋体" w:cs="宋体"/>
                <w:color w:val="auto"/>
                <w:sz w:val="24"/>
                <w:highlight w:val="none"/>
              </w:rPr>
            </w:pPr>
          </w:p>
        </w:tc>
        <w:tc>
          <w:tcPr>
            <w:tcW w:w="1414" w:type="dxa"/>
            <w:noWrap w:val="0"/>
            <w:vAlign w:val="center"/>
          </w:tcPr>
          <w:p w14:paraId="588E436C">
            <w:pPr>
              <w:spacing w:line="360" w:lineRule="auto"/>
              <w:jc w:val="center"/>
              <w:rPr>
                <w:rFonts w:hint="eastAsia" w:ascii="宋体" w:hAnsi="宋体" w:eastAsia="宋体" w:cs="宋体"/>
                <w:color w:val="auto"/>
                <w:sz w:val="24"/>
                <w:highlight w:val="none"/>
              </w:rPr>
            </w:pPr>
          </w:p>
        </w:tc>
        <w:tc>
          <w:tcPr>
            <w:tcW w:w="1619" w:type="dxa"/>
            <w:tcBorders>
              <w:left w:val="single" w:color="auto" w:sz="4" w:space="0"/>
              <w:right w:val="single" w:color="auto" w:sz="4" w:space="0"/>
            </w:tcBorders>
            <w:noWrap w:val="0"/>
            <w:vAlign w:val="center"/>
          </w:tcPr>
          <w:p w14:paraId="3A9EEBBD">
            <w:pPr>
              <w:spacing w:line="360" w:lineRule="auto"/>
              <w:jc w:val="center"/>
              <w:rPr>
                <w:rFonts w:hint="eastAsia" w:ascii="宋体" w:hAnsi="宋体" w:eastAsia="宋体" w:cs="宋体"/>
                <w:color w:val="auto"/>
                <w:sz w:val="24"/>
                <w:highlight w:val="none"/>
              </w:rPr>
            </w:pPr>
          </w:p>
        </w:tc>
        <w:tc>
          <w:tcPr>
            <w:tcW w:w="1441" w:type="dxa"/>
            <w:noWrap w:val="0"/>
            <w:vAlign w:val="center"/>
          </w:tcPr>
          <w:p w14:paraId="199115BD">
            <w:pPr>
              <w:spacing w:line="360" w:lineRule="auto"/>
              <w:jc w:val="center"/>
              <w:rPr>
                <w:rFonts w:hint="eastAsia" w:ascii="宋体" w:hAnsi="宋体" w:eastAsia="宋体" w:cs="宋体"/>
                <w:color w:val="auto"/>
                <w:sz w:val="24"/>
                <w:highlight w:val="none"/>
              </w:rPr>
            </w:pPr>
          </w:p>
        </w:tc>
        <w:tc>
          <w:tcPr>
            <w:tcW w:w="2700" w:type="dxa"/>
            <w:noWrap w:val="0"/>
            <w:vAlign w:val="top"/>
          </w:tcPr>
          <w:p w14:paraId="5FF9CE07">
            <w:pPr>
              <w:spacing w:line="360" w:lineRule="auto"/>
              <w:jc w:val="center"/>
              <w:rPr>
                <w:rFonts w:hint="eastAsia" w:ascii="宋体" w:hAnsi="宋体" w:eastAsia="宋体" w:cs="宋体"/>
                <w:color w:val="auto"/>
                <w:sz w:val="24"/>
                <w:highlight w:val="none"/>
              </w:rPr>
            </w:pPr>
          </w:p>
        </w:tc>
      </w:tr>
      <w:tr w14:paraId="692DC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25D3322D">
            <w:pPr>
              <w:spacing w:line="360" w:lineRule="auto"/>
              <w:ind w:left="12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p>
        </w:tc>
        <w:tc>
          <w:tcPr>
            <w:tcW w:w="1065" w:type="dxa"/>
            <w:noWrap w:val="0"/>
            <w:vAlign w:val="center"/>
          </w:tcPr>
          <w:p w14:paraId="7C59628A">
            <w:pPr>
              <w:spacing w:line="360" w:lineRule="auto"/>
              <w:jc w:val="center"/>
              <w:rPr>
                <w:rFonts w:hint="eastAsia" w:ascii="宋体" w:hAnsi="宋体" w:eastAsia="宋体" w:cs="宋体"/>
                <w:color w:val="auto"/>
                <w:sz w:val="24"/>
                <w:highlight w:val="none"/>
              </w:rPr>
            </w:pPr>
          </w:p>
        </w:tc>
        <w:tc>
          <w:tcPr>
            <w:tcW w:w="1414" w:type="dxa"/>
            <w:noWrap w:val="0"/>
            <w:vAlign w:val="center"/>
          </w:tcPr>
          <w:p w14:paraId="57639E16">
            <w:pPr>
              <w:spacing w:line="360" w:lineRule="auto"/>
              <w:jc w:val="center"/>
              <w:rPr>
                <w:rFonts w:hint="eastAsia" w:ascii="宋体" w:hAnsi="宋体" w:eastAsia="宋体" w:cs="宋体"/>
                <w:color w:val="auto"/>
                <w:sz w:val="24"/>
                <w:highlight w:val="none"/>
              </w:rPr>
            </w:pPr>
          </w:p>
        </w:tc>
        <w:tc>
          <w:tcPr>
            <w:tcW w:w="1619" w:type="dxa"/>
            <w:tcBorders>
              <w:left w:val="single" w:color="auto" w:sz="4" w:space="0"/>
              <w:right w:val="single" w:color="auto" w:sz="4" w:space="0"/>
            </w:tcBorders>
            <w:noWrap w:val="0"/>
            <w:vAlign w:val="center"/>
          </w:tcPr>
          <w:p w14:paraId="1C58E964">
            <w:pPr>
              <w:spacing w:line="360" w:lineRule="auto"/>
              <w:jc w:val="center"/>
              <w:rPr>
                <w:rFonts w:hint="eastAsia" w:ascii="宋体" w:hAnsi="宋体" w:eastAsia="宋体" w:cs="宋体"/>
                <w:color w:val="auto"/>
                <w:sz w:val="24"/>
                <w:highlight w:val="none"/>
              </w:rPr>
            </w:pPr>
          </w:p>
        </w:tc>
        <w:tc>
          <w:tcPr>
            <w:tcW w:w="1441" w:type="dxa"/>
            <w:noWrap w:val="0"/>
            <w:vAlign w:val="center"/>
          </w:tcPr>
          <w:p w14:paraId="3C6895A1">
            <w:pPr>
              <w:spacing w:line="360" w:lineRule="auto"/>
              <w:jc w:val="center"/>
              <w:rPr>
                <w:rFonts w:hint="eastAsia" w:ascii="宋体" w:hAnsi="宋体" w:eastAsia="宋体" w:cs="宋体"/>
                <w:color w:val="auto"/>
                <w:sz w:val="24"/>
                <w:highlight w:val="none"/>
              </w:rPr>
            </w:pPr>
          </w:p>
        </w:tc>
        <w:tc>
          <w:tcPr>
            <w:tcW w:w="2700" w:type="dxa"/>
            <w:noWrap w:val="0"/>
            <w:vAlign w:val="top"/>
          </w:tcPr>
          <w:p w14:paraId="1DE6DCF3">
            <w:pPr>
              <w:spacing w:line="360" w:lineRule="auto"/>
              <w:jc w:val="center"/>
              <w:rPr>
                <w:rFonts w:hint="eastAsia" w:ascii="宋体" w:hAnsi="宋体" w:eastAsia="宋体" w:cs="宋体"/>
                <w:color w:val="auto"/>
                <w:sz w:val="24"/>
                <w:highlight w:val="none"/>
              </w:rPr>
            </w:pPr>
          </w:p>
        </w:tc>
      </w:tr>
      <w:tr w14:paraId="47669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572445FE">
            <w:pPr>
              <w:spacing w:line="360" w:lineRule="auto"/>
              <w:ind w:left="12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w:t>
            </w:r>
          </w:p>
        </w:tc>
        <w:tc>
          <w:tcPr>
            <w:tcW w:w="1065" w:type="dxa"/>
            <w:noWrap w:val="0"/>
            <w:vAlign w:val="center"/>
          </w:tcPr>
          <w:p w14:paraId="45321EE3">
            <w:pPr>
              <w:spacing w:line="360" w:lineRule="auto"/>
              <w:jc w:val="center"/>
              <w:rPr>
                <w:rFonts w:hint="eastAsia" w:ascii="宋体" w:hAnsi="宋体" w:eastAsia="宋体" w:cs="宋体"/>
                <w:color w:val="auto"/>
                <w:sz w:val="24"/>
                <w:highlight w:val="none"/>
              </w:rPr>
            </w:pPr>
          </w:p>
        </w:tc>
        <w:tc>
          <w:tcPr>
            <w:tcW w:w="1414" w:type="dxa"/>
            <w:noWrap w:val="0"/>
            <w:vAlign w:val="center"/>
          </w:tcPr>
          <w:p w14:paraId="2D4B8236">
            <w:pPr>
              <w:spacing w:line="360" w:lineRule="auto"/>
              <w:jc w:val="center"/>
              <w:rPr>
                <w:rFonts w:hint="eastAsia" w:ascii="宋体" w:hAnsi="宋体" w:eastAsia="宋体" w:cs="宋体"/>
                <w:color w:val="auto"/>
                <w:sz w:val="24"/>
                <w:highlight w:val="none"/>
              </w:rPr>
            </w:pPr>
          </w:p>
        </w:tc>
        <w:tc>
          <w:tcPr>
            <w:tcW w:w="1619" w:type="dxa"/>
            <w:tcBorders>
              <w:left w:val="single" w:color="auto" w:sz="4" w:space="0"/>
              <w:right w:val="single" w:color="auto" w:sz="4" w:space="0"/>
            </w:tcBorders>
            <w:noWrap w:val="0"/>
            <w:vAlign w:val="center"/>
          </w:tcPr>
          <w:p w14:paraId="3BC74EE4">
            <w:pPr>
              <w:spacing w:line="360" w:lineRule="auto"/>
              <w:jc w:val="center"/>
              <w:rPr>
                <w:rFonts w:hint="eastAsia" w:ascii="宋体" w:hAnsi="宋体" w:eastAsia="宋体" w:cs="宋体"/>
                <w:color w:val="auto"/>
                <w:sz w:val="24"/>
                <w:highlight w:val="none"/>
              </w:rPr>
            </w:pPr>
          </w:p>
        </w:tc>
        <w:tc>
          <w:tcPr>
            <w:tcW w:w="1441" w:type="dxa"/>
            <w:noWrap w:val="0"/>
            <w:vAlign w:val="center"/>
          </w:tcPr>
          <w:p w14:paraId="2304CD95">
            <w:pPr>
              <w:spacing w:line="360" w:lineRule="auto"/>
              <w:jc w:val="center"/>
              <w:rPr>
                <w:rFonts w:hint="eastAsia" w:ascii="宋体" w:hAnsi="宋体" w:eastAsia="宋体" w:cs="宋体"/>
                <w:color w:val="auto"/>
                <w:sz w:val="24"/>
                <w:highlight w:val="none"/>
              </w:rPr>
            </w:pPr>
          </w:p>
        </w:tc>
        <w:tc>
          <w:tcPr>
            <w:tcW w:w="2700" w:type="dxa"/>
            <w:noWrap w:val="0"/>
            <w:vAlign w:val="top"/>
          </w:tcPr>
          <w:p w14:paraId="6BAA498E">
            <w:pPr>
              <w:spacing w:line="360" w:lineRule="auto"/>
              <w:jc w:val="center"/>
              <w:rPr>
                <w:rFonts w:hint="eastAsia" w:ascii="宋体" w:hAnsi="宋体" w:eastAsia="宋体" w:cs="宋体"/>
                <w:color w:val="auto"/>
                <w:sz w:val="24"/>
                <w:highlight w:val="none"/>
              </w:rPr>
            </w:pPr>
          </w:p>
        </w:tc>
      </w:tr>
      <w:tr w14:paraId="4F5A0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38" w:hRule="atLeast"/>
        </w:trPr>
        <w:tc>
          <w:tcPr>
            <w:tcW w:w="609" w:type="dxa"/>
            <w:noWrap w:val="0"/>
            <w:vAlign w:val="center"/>
          </w:tcPr>
          <w:p w14:paraId="47E60A92">
            <w:pPr>
              <w:spacing w:line="360" w:lineRule="auto"/>
              <w:ind w:left="12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w:t>
            </w:r>
          </w:p>
        </w:tc>
        <w:tc>
          <w:tcPr>
            <w:tcW w:w="1065" w:type="dxa"/>
            <w:noWrap w:val="0"/>
            <w:vAlign w:val="center"/>
          </w:tcPr>
          <w:p w14:paraId="2111FF4A">
            <w:pPr>
              <w:spacing w:line="360" w:lineRule="auto"/>
              <w:jc w:val="center"/>
              <w:rPr>
                <w:rFonts w:hint="eastAsia" w:ascii="宋体" w:hAnsi="宋体" w:eastAsia="宋体" w:cs="宋体"/>
                <w:color w:val="auto"/>
                <w:sz w:val="24"/>
                <w:highlight w:val="none"/>
              </w:rPr>
            </w:pPr>
          </w:p>
        </w:tc>
        <w:tc>
          <w:tcPr>
            <w:tcW w:w="1414" w:type="dxa"/>
            <w:noWrap w:val="0"/>
            <w:vAlign w:val="center"/>
          </w:tcPr>
          <w:p w14:paraId="0178BA15">
            <w:pPr>
              <w:spacing w:line="360" w:lineRule="auto"/>
              <w:jc w:val="center"/>
              <w:rPr>
                <w:rFonts w:hint="eastAsia" w:ascii="宋体" w:hAnsi="宋体" w:eastAsia="宋体" w:cs="宋体"/>
                <w:color w:val="auto"/>
                <w:sz w:val="24"/>
                <w:highlight w:val="none"/>
              </w:rPr>
            </w:pPr>
          </w:p>
        </w:tc>
        <w:tc>
          <w:tcPr>
            <w:tcW w:w="1619" w:type="dxa"/>
            <w:tcBorders>
              <w:left w:val="single" w:color="auto" w:sz="4" w:space="0"/>
              <w:right w:val="single" w:color="auto" w:sz="4" w:space="0"/>
            </w:tcBorders>
            <w:noWrap w:val="0"/>
            <w:vAlign w:val="center"/>
          </w:tcPr>
          <w:p w14:paraId="1418699D">
            <w:pPr>
              <w:spacing w:line="360" w:lineRule="auto"/>
              <w:jc w:val="center"/>
              <w:rPr>
                <w:rFonts w:hint="eastAsia" w:ascii="宋体" w:hAnsi="宋体" w:eastAsia="宋体" w:cs="宋体"/>
                <w:color w:val="auto"/>
                <w:sz w:val="24"/>
                <w:highlight w:val="none"/>
              </w:rPr>
            </w:pPr>
          </w:p>
        </w:tc>
        <w:tc>
          <w:tcPr>
            <w:tcW w:w="1441" w:type="dxa"/>
            <w:noWrap w:val="0"/>
            <w:vAlign w:val="center"/>
          </w:tcPr>
          <w:p w14:paraId="5508E3FE">
            <w:pPr>
              <w:spacing w:line="360" w:lineRule="auto"/>
              <w:jc w:val="center"/>
              <w:rPr>
                <w:rFonts w:hint="eastAsia" w:ascii="宋体" w:hAnsi="宋体" w:eastAsia="宋体" w:cs="宋体"/>
                <w:color w:val="auto"/>
                <w:sz w:val="24"/>
                <w:highlight w:val="none"/>
              </w:rPr>
            </w:pPr>
          </w:p>
        </w:tc>
        <w:tc>
          <w:tcPr>
            <w:tcW w:w="2700" w:type="dxa"/>
            <w:noWrap w:val="0"/>
            <w:vAlign w:val="top"/>
          </w:tcPr>
          <w:p w14:paraId="6E9F930A">
            <w:pPr>
              <w:spacing w:line="360" w:lineRule="auto"/>
              <w:jc w:val="center"/>
              <w:rPr>
                <w:rFonts w:hint="eastAsia" w:ascii="宋体" w:hAnsi="宋体" w:eastAsia="宋体" w:cs="宋体"/>
                <w:color w:val="auto"/>
                <w:sz w:val="24"/>
                <w:highlight w:val="none"/>
              </w:rPr>
            </w:pPr>
          </w:p>
        </w:tc>
      </w:tr>
      <w:tr w14:paraId="430CB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19F6F5F0">
            <w:pPr>
              <w:spacing w:line="360" w:lineRule="auto"/>
              <w:ind w:left="12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w:t>
            </w:r>
          </w:p>
        </w:tc>
        <w:tc>
          <w:tcPr>
            <w:tcW w:w="1065" w:type="dxa"/>
            <w:noWrap w:val="0"/>
            <w:vAlign w:val="center"/>
          </w:tcPr>
          <w:p w14:paraId="46725CB7">
            <w:pPr>
              <w:spacing w:line="360" w:lineRule="auto"/>
              <w:jc w:val="center"/>
              <w:rPr>
                <w:rFonts w:hint="eastAsia" w:ascii="宋体" w:hAnsi="宋体" w:eastAsia="宋体" w:cs="宋体"/>
                <w:color w:val="auto"/>
                <w:sz w:val="24"/>
                <w:highlight w:val="none"/>
              </w:rPr>
            </w:pPr>
          </w:p>
        </w:tc>
        <w:tc>
          <w:tcPr>
            <w:tcW w:w="1414" w:type="dxa"/>
            <w:noWrap w:val="0"/>
            <w:vAlign w:val="center"/>
          </w:tcPr>
          <w:p w14:paraId="62D77292">
            <w:pPr>
              <w:spacing w:line="360" w:lineRule="auto"/>
              <w:jc w:val="center"/>
              <w:rPr>
                <w:rFonts w:hint="eastAsia" w:ascii="宋体" w:hAnsi="宋体" w:eastAsia="宋体" w:cs="宋体"/>
                <w:color w:val="auto"/>
                <w:sz w:val="24"/>
                <w:highlight w:val="none"/>
              </w:rPr>
            </w:pPr>
          </w:p>
        </w:tc>
        <w:tc>
          <w:tcPr>
            <w:tcW w:w="1619" w:type="dxa"/>
            <w:tcBorders>
              <w:left w:val="single" w:color="auto" w:sz="4" w:space="0"/>
              <w:right w:val="single" w:color="auto" w:sz="4" w:space="0"/>
            </w:tcBorders>
            <w:noWrap w:val="0"/>
            <w:vAlign w:val="center"/>
          </w:tcPr>
          <w:p w14:paraId="059FB895">
            <w:pPr>
              <w:spacing w:line="360" w:lineRule="auto"/>
              <w:jc w:val="center"/>
              <w:rPr>
                <w:rFonts w:hint="eastAsia" w:ascii="宋体" w:hAnsi="宋体" w:eastAsia="宋体" w:cs="宋体"/>
                <w:color w:val="auto"/>
                <w:sz w:val="24"/>
                <w:highlight w:val="none"/>
              </w:rPr>
            </w:pPr>
          </w:p>
        </w:tc>
        <w:tc>
          <w:tcPr>
            <w:tcW w:w="1441" w:type="dxa"/>
            <w:noWrap w:val="0"/>
            <w:vAlign w:val="center"/>
          </w:tcPr>
          <w:p w14:paraId="7FE7B255">
            <w:pPr>
              <w:spacing w:line="360" w:lineRule="auto"/>
              <w:jc w:val="center"/>
              <w:rPr>
                <w:rFonts w:hint="eastAsia" w:ascii="宋体" w:hAnsi="宋体" w:eastAsia="宋体" w:cs="宋体"/>
                <w:color w:val="auto"/>
                <w:sz w:val="24"/>
                <w:highlight w:val="none"/>
              </w:rPr>
            </w:pPr>
          </w:p>
        </w:tc>
        <w:tc>
          <w:tcPr>
            <w:tcW w:w="2700" w:type="dxa"/>
            <w:noWrap w:val="0"/>
            <w:vAlign w:val="top"/>
          </w:tcPr>
          <w:p w14:paraId="6E5E06A6">
            <w:pPr>
              <w:spacing w:line="360" w:lineRule="auto"/>
              <w:jc w:val="center"/>
              <w:rPr>
                <w:rFonts w:hint="eastAsia" w:ascii="宋体" w:hAnsi="宋体" w:eastAsia="宋体" w:cs="宋体"/>
                <w:color w:val="auto"/>
                <w:sz w:val="24"/>
                <w:highlight w:val="none"/>
              </w:rPr>
            </w:pPr>
          </w:p>
        </w:tc>
      </w:tr>
      <w:tr w14:paraId="75D5B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027A6684">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w:t>
            </w:r>
          </w:p>
        </w:tc>
        <w:tc>
          <w:tcPr>
            <w:tcW w:w="1065" w:type="dxa"/>
            <w:noWrap w:val="0"/>
            <w:vAlign w:val="center"/>
          </w:tcPr>
          <w:p w14:paraId="54A28731">
            <w:pPr>
              <w:spacing w:line="360" w:lineRule="auto"/>
              <w:jc w:val="center"/>
              <w:rPr>
                <w:rFonts w:hint="eastAsia" w:ascii="宋体" w:hAnsi="宋体" w:eastAsia="宋体" w:cs="宋体"/>
                <w:color w:val="auto"/>
                <w:sz w:val="24"/>
                <w:highlight w:val="none"/>
              </w:rPr>
            </w:pPr>
          </w:p>
        </w:tc>
        <w:tc>
          <w:tcPr>
            <w:tcW w:w="1414" w:type="dxa"/>
            <w:noWrap w:val="0"/>
            <w:vAlign w:val="center"/>
          </w:tcPr>
          <w:p w14:paraId="5D0290EB">
            <w:pPr>
              <w:spacing w:line="360" w:lineRule="auto"/>
              <w:jc w:val="center"/>
              <w:rPr>
                <w:rFonts w:hint="eastAsia" w:ascii="宋体" w:hAnsi="宋体" w:eastAsia="宋体" w:cs="宋体"/>
                <w:color w:val="auto"/>
                <w:sz w:val="24"/>
                <w:highlight w:val="none"/>
              </w:rPr>
            </w:pPr>
          </w:p>
        </w:tc>
        <w:tc>
          <w:tcPr>
            <w:tcW w:w="1619" w:type="dxa"/>
            <w:tcBorders>
              <w:left w:val="single" w:color="auto" w:sz="4" w:space="0"/>
              <w:right w:val="single" w:color="auto" w:sz="4" w:space="0"/>
            </w:tcBorders>
            <w:noWrap w:val="0"/>
            <w:vAlign w:val="center"/>
          </w:tcPr>
          <w:p w14:paraId="0D00F85D">
            <w:pPr>
              <w:spacing w:line="360" w:lineRule="auto"/>
              <w:jc w:val="center"/>
              <w:rPr>
                <w:rFonts w:hint="eastAsia" w:ascii="宋体" w:hAnsi="宋体" w:eastAsia="宋体" w:cs="宋体"/>
                <w:color w:val="auto"/>
                <w:sz w:val="24"/>
                <w:highlight w:val="none"/>
              </w:rPr>
            </w:pPr>
          </w:p>
        </w:tc>
        <w:tc>
          <w:tcPr>
            <w:tcW w:w="1441" w:type="dxa"/>
            <w:noWrap w:val="0"/>
            <w:vAlign w:val="center"/>
          </w:tcPr>
          <w:p w14:paraId="19653A4C">
            <w:pPr>
              <w:spacing w:line="360" w:lineRule="auto"/>
              <w:jc w:val="center"/>
              <w:rPr>
                <w:rFonts w:hint="eastAsia" w:ascii="宋体" w:hAnsi="宋体" w:eastAsia="宋体" w:cs="宋体"/>
                <w:color w:val="auto"/>
                <w:sz w:val="24"/>
                <w:highlight w:val="none"/>
              </w:rPr>
            </w:pPr>
          </w:p>
        </w:tc>
        <w:tc>
          <w:tcPr>
            <w:tcW w:w="2700" w:type="dxa"/>
            <w:noWrap w:val="0"/>
            <w:vAlign w:val="top"/>
          </w:tcPr>
          <w:p w14:paraId="73E3C303">
            <w:pPr>
              <w:spacing w:line="360" w:lineRule="auto"/>
              <w:jc w:val="center"/>
              <w:rPr>
                <w:rFonts w:hint="eastAsia" w:ascii="宋体" w:hAnsi="宋体" w:eastAsia="宋体" w:cs="宋体"/>
                <w:color w:val="auto"/>
                <w:sz w:val="24"/>
                <w:highlight w:val="none"/>
              </w:rPr>
            </w:pPr>
          </w:p>
        </w:tc>
      </w:tr>
    </w:tbl>
    <w:p w14:paraId="5A6CF659">
      <w:pPr>
        <w:snapToGrid w:val="0"/>
        <w:spacing w:before="120" w:line="360" w:lineRule="auto"/>
        <w:ind w:right="357"/>
        <w:rPr>
          <w:rFonts w:hint="eastAsia" w:ascii="宋体" w:hAnsi="宋体" w:eastAsia="宋体" w:cs="宋体"/>
          <w:color w:val="auto"/>
          <w:highlight w:val="none"/>
        </w:rPr>
      </w:pPr>
    </w:p>
    <w:p w14:paraId="79EBEF93">
      <w:pPr>
        <w:tabs>
          <w:tab w:val="left" w:pos="8782"/>
        </w:tabs>
        <w:snapToGrid w:val="0"/>
        <w:spacing w:before="120" w:line="360" w:lineRule="auto"/>
        <w:ind w:left="503" w:leftChars="50" w:right="-38" w:hanging="398" w:hangingChars="1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应如实列出以上情况，如有隐瞒，一经查实将导致其报价申请被拒绝。</w:t>
      </w:r>
    </w:p>
    <w:p w14:paraId="4B063F03">
      <w:pPr>
        <w:numPr>
          <w:ilvl w:val="0"/>
          <w:numId w:val="6"/>
        </w:numPr>
        <w:snapToGrid w:val="0"/>
        <w:spacing w:before="120" w:line="360" w:lineRule="auto"/>
        <w:ind w:left="418" w:leftChars="199" w:right="357"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应提供双方签订的合同（合同复印件加盖公章装订在</w:t>
      </w: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中）。</w:t>
      </w:r>
    </w:p>
    <w:p w14:paraId="2A10BEAC">
      <w:pPr>
        <w:pStyle w:val="2"/>
        <w:keepNext/>
        <w:keepLines/>
        <w:pageBreakBefore w:val="0"/>
        <w:widowControl w:val="0"/>
        <w:numPr>
          <w:ilvl w:val="0"/>
          <w:numId w:val="0"/>
        </w:numPr>
        <w:kinsoku/>
        <w:wordWrap/>
        <w:overflowPunct/>
        <w:topLinePunct w:val="0"/>
        <w:autoSpaceDE/>
        <w:autoSpaceDN/>
        <w:bidi w:val="0"/>
        <w:adjustRightInd/>
        <w:snapToGrid/>
        <w:spacing w:before="0" w:after="0" w:line="360" w:lineRule="auto"/>
        <w:jc w:val="center"/>
        <w:textAlignment w:val="auto"/>
        <w:outlineLvl w:val="9"/>
        <w:rPr>
          <w:rFonts w:hint="eastAsia" w:ascii="宋体" w:hAnsi="宋体" w:eastAsia="宋体" w:cs="宋体"/>
          <w:highlight w:val="none"/>
          <w:lang w:val="en-US" w:eastAsia="zh-CN"/>
        </w:rPr>
      </w:pPr>
    </w:p>
    <w:p w14:paraId="12244863">
      <w:pPr>
        <w:spacing w:line="360" w:lineRule="auto"/>
        <w:rPr>
          <w:rFonts w:hint="eastAsia" w:ascii="宋体" w:hAnsi="宋体" w:eastAsia="宋体" w:cs="宋体"/>
          <w:highlight w:val="none"/>
          <w:lang w:val="en-US" w:eastAsia="zh-CN"/>
        </w:rPr>
      </w:pPr>
    </w:p>
    <w:p w14:paraId="5C26C078">
      <w:pPr>
        <w:pStyle w:val="15"/>
        <w:spacing w:line="360" w:lineRule="auto"/>
        <w:rPr>
          <w:rFonts w:hint="eastAsia" w:ascii="宋体" w:hAnsi="宋体" w:eastAsia="宋体" w:cs="宋体"/>
          <w:highlight w:val="none"/>
          <w:lang w:val="en-US" w:eastAsia="zh-CN"/>
        </w:rPr>
      </w:pPr>
    </w:p>
    <w:p w14:paraId="3705D478">
      <w:pPr>
        <w:spacing w:line="360" w:lineRule="auto"/>
        <w:rPr>
          <w:rFonts w:hint="eastAsia" w:ascii="宋体" w:hAnsi="宋体" w:eastAsia="宋体" w:cs="宋体"/>
          <w:highlight w:val="none"/>
          <w:lang w:val="en-US" w:eastAsia="zh-CN"/>
        </w:rPr>
      </w:pPr>
    </w:p>
    <w:p w14:paraId="37C3AA77">
      <w:pPr>
        <w:pStyle w:val="15"/>
        <w:spacing w:line="360" w:lineRule="auto"/>
        <w:rPr>
          <w:rFonts w:hint="eastAsia" w:ascii="宋体" w:hAnsi="宋体" w:eastAsia="宋体" w:cs="宋体"/>
          <w:highlight w:val="none"/>
          <w:lang w:val="en-US" w:eastAsia="zh-CN"/>
        </w:rPr>
      </w:pPr>
    </w:p>
    <w:p w14:paraId="19B2F0FD">
      <w:pPr>
        <w:spacing w:line="360" w:lineRule="auto"/>
        <w:rPr>
          <w:rFonts w:hint="eastAsia" w:ascii="宋体" w:hAnsi="宋体" w:eastAsia="宋体" w:cs="宋体"/>
          <w:highlight w:val="none"/>
          <w:lang w:val="en-US" w:eastAsia="zh-CN"/>
        </w:rPr>
      </w:pPr>
    </w:p>
    <w:p w14:paraId="438A7143">
      <w:pPr>
        <w:pStyle w:val="15"/>
        <w:spacing w:line="360" w:lineRule="auto"/>
        <w:rPr>
          <w:rFonts w:hint="eastAsia" w:ascii="宋体" w:hAnsi="宋体" w:eastAsia="宋体" w:cs="宋体"/>
          <w:highlight w:val="none"/>
          <w:lang w:val="en-US" w:eastAsia="zh-CN"/>
        </w:rPr>
      </w:pPr>
    </w:p>
    <w:p w14:paraId="7CCBF5D9">
      <w:pPr>
        <w:spacing w:line="360" w:lineRule="auto"/>
        <w:rPr>
          <w:rFonts w:hint="eastAsia" w:ascii="宋体" w:hAnsi="宋体" w:eastAsia="宋体" w:cs="宋体"/>
          <w:highlight w:val="none"/>
          <w:lang w:val="en-US" w:eastAsia="zh-CN"/>
        </w:rPr>
      </w:pPr>
    </w:p>
    <w:p w14:paraId="0EAAC77F">
      <w:pPr>
        <w:pStyle w:val="15"/>
        <w:spacing w:line="360" w:lineRule="auto"/>
        <w:rPr>
          <w:rFonts w:hint="eastAsia" w:ascii="宋体" w:hAnsi="宋体" w:eastAsia="宋体" w:cs="宋体"/>
          <w:highlight w:val="none"/>
          <w:lang w:val="en-US" w:eastAsia="zh-CN"/>
        </w:rPr>
      </w:pPr>
    </w:p>
    <w:p w14:paraId="40C143A2">
      <w:pPr>
        <w:spacing w:line="360" w:lineRule="auto"/>
        <w:rPr>
          <w:rFonts w:hint="eastAsia" w:ascii="宋体" w:hAnsi="宋体" w:eastAsia="宋体" w:cs="宋体"/>
          <w:highlight w:val="none"/>
          <w:lang w:val="en-US" w:eastAsia="zh-CN"/>
        </w:rPr>
      </w:pPr>
    </w:p>
    <w:p w14:paraId="0F1B3FE2">
      <w:pPr>
        <w:pStyle w:val="4"/>
        <w:bidi w:val="0"/>
        <w:spacing w:line="360" w:lineRule="auto"/>
        <w:jc w:val="center"/>
        <w:rPr>
          <w:rFonts w:hint="eastAsia"/>
        </w:rPr>
      </w:pPr>
      <w:r>
        <w:rPr>
          <w:rFonts w:hint="eastAsia"/>
          <w:lang w:eastAsia="zh-CN"/>
        </w:rPr>
        <w:t>法定代表人</w:t>
      </w:r>
      <w:r>
        <w:rPr>
          <w:rFonts w:hint="eastAsia"/>
        </w:rPr>
        <w:t>证明书、</w:t>
      </w:r>
      <w:r>
        <w:rPr>
          <w:rFonts w:hint="eastAsia"/>
          <w:lang w:eastAsia="zh-CN"/>
        </w:rPr>
        <w:t>法定代表人</w:t>
      </w:r>
      <w:r>
        <w:rPr>
          <w:rFonts w:hint="eastAsia"/>
        </w:rPr>
        <w:t>授权委托书</w:t>
      </w:r>
      <w:bookmarkEnd w:id="267"/>
      <w:bookmarkEnd w:id="281"/>
      <w:bookmarkEnd w:id="287"/>
    </w:p>
    <w:bookmarkEnd w:id="268"/>
    <w:bookmarkEnd w:id="269"/>
    <w:p w14:paraId="47F9E3B9">
      <w:pPr>
        <w:pStyle w:val="4"/>
        <w:bidi w:val="0"/>
        <w:spacing w:line="360" w:lineRule="auto"/>
        <w:jc w:val="center"/>
        <w:rPr>
          <w:rFonts w:hint="eastAsia"/>
        </w:rPr>
      </w:pPr>
      <w:r>
        <w:rPr>
          <w:rFonts w:hint="eastAsia"/>
          <w:lang w:eastAsia="zh-CN"/>
        </w:rPr>
        <w:t>法定代表人</w:t>
      </w:r>
      <w:r>
        <w:rPr>
          <w:rFonts w:hint="eastAsia"/>
        </w:rPr>
        <w:t>证明书</w:t>
      </w:r>
    </w:p>
    <w:tbl>
      <w:tblPr>
        <w:tblStyle w:val="25"/>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
        <w:gridCol w:w="2109"/>
        <w:gridCol w:w="2284"/>
        <w:gridCol w:w="2105"/>
        <w:gridCol w:w="2069"/>
      </w:tblGrid>
      <w:tr w14:paraId="0794E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9120" w:type="dxa"/>
            <w:gridSpan w:val="5"/>
            <w:vAlign w:val="center"/>
          </w:tcPr>
          <w:p w14:paraId="15C88675">
            <w:pPr>
              <w:tabs>
                <w:tab w:val="left" w:pos="210"/>
              </w:tabs>
              <w:spacing w:line="360" w:lineRule="auto"/>
              <w:rPr>
                <w:rFonts w:hint="eastAsia" w:ascii="宋体" w:hAnsi="宋体" w:eastAsia="宋体" w:cs="宋体"/>
                <w:kern w:val="0"/>
                <w:sz w:val="24"/>
                <w:lang w:eastAsia="zh-CN"/>
              </w:rPr>
            </w:pPr>
            <w:r>
              <w:rPr>
                <w:rFonts w:hint="eastAsia" w:ascii="宋体" w:hAnsi="宋体" w:eastAsia="宋体" w:cs="宋体"/>
                <w:kern w:val="0"/>
                <w:sz w:val="24"/>
              </w:rPr>
              <w:t>致：</w:t>
            </w:r>
            <w:r>
              <w:rPr>
                <w:rFonts w:hint="eastAsia" w:ascii="宋体" w:hAnsi="宋体" w:cs="宋体"/>
                <w:kern w:val="0"/>
                <w:sz w:val="24"/>
                <w:lang w:eastAsia="zh-CN"/>
              </w:rPr>
              <w:t>陕西泓祥兴顺工程项目管理有限公司</w:t>
            </w:r>
          </w:p>
        </w:tc>
      </w:tr>
      <w:tr w14:paraId="53FEE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553" w:type="dxa"/>
            <w:vMerge w:val="restart"/>
            <w:vAlign w:val="center"/>
          </w:tcPr>
          <w:p w14:paraId="15CCB2D9">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企</w:t>
            </w:r>
          </w:p>
          <w:p w14:paraId="672D74C3">
            <w:pPr>
              <w:tabs>
                <w:tab w:val="left" w:pos="210"/>
              </w:tabs>
              <w:spacing w:line="360" w:lineRule="auto"/>
              <w:jc w:val="center"/>
              <w:rPr>
                <w:rFonts w:hint="eastAsia" w:ascii="宋体" w:hAnsi="宋体" w:eastAsia="宋体" w:cs="宋体"/>
                <w:kern w:val="0"/>
                <w:sz w:val="24"/>
              </w:rPr>
            </w:pPr>
          </w:p>
          <w:p w14:paraId="3DA28D1F">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业</w:t>
            </w:r>
          </w:p>
          <w:p w14:paraId="2D04403A">
            <w:pPr>
              <w:tabs>
                <w:tab w:val="left" w:pos="210"/>
              </w:tabs>
              <w:spacing w:line="360" w:lineRule="auto"/>
              <w:jc w:val="center"/>
              <w:rPr>
                <w:rFonts w:hint="eastAsia" w:ascii="宋体" w:hAnsi="宋体" w:eastAsia="宋体" w:cs="宋体"/>
                <w:kern w:val="0"/>
                <w:sz w:val="24"/>
              </w:rPr>
            </w:pPr>
          </w:p>
          <w:p w14:paraId="594A71F2">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法</w:t>
            </w:r>
          </w:p>
          <w:p w14:paraId="796CAEB1">
            <w:pPr>
              <w:tabs>
                <w:tab w:val="left" w:pos="210"/>
              </w:tabs>
              <w:spacing w:line="360" w:lineRule="auto"/>
              <w:jc w:val="center"/>
              <w:rPr>
                <w:rFonts w:hint="eastAsia" w:ascii="宋体" w:hAnsi="宋体" w:eastAsia="宋体" w:cs="宋体"/>
                <w:kern w:val="0"/>
                <w:sz w:val="24"/>
              </w:rPr>
            </w:pPr>
          </w:p>
          <w:p w14:paraId="24AB3BE0">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人</w:t>
            </w:r>
          </w:p>
        </w:tc>
        <w:tc>
          <w:tcPr>
            <w:tcW w:w="2109" w:type="dxa"/>
            <w:vAlign w:val="center"/>
          </w:tcPr>
          <w:p w14:paraId="3E2CD221">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企业名称</w:t>
            </w:r>
          </w:p>
        </w:tc>
        <w:tc>
          <w:tcPr>
            <w:tcW w:w="6458" w:type="dxa"/>
            <w:gridSpan w:val="3"/>
            <w:vAlign w:val="center"/>
          </w:tcPr>
          <w:p w14:paraId="357DDD96">
            <w:pPr>
              <w:tabs>
                <w:tab w:val="left" w:pos="210"/>
              </w:tabs>
              <w:spacing w:line="360" w:lineRule="auto"/>
              <w:jc w:val="center"/>
              <w:rPr>
                <w:rFonts w:hint="eastAsia" w:ascii="宋体" w:hAnsi="宋体" w:eastAsia="宋体" w:cs="宋体"/>
                <w:kern w:val="0"/>
                <w:sz w:val="24"/>
              </w:rPr>
            </w:pPr>
          </w:p>
        </w:tc>
      </w:tr>
      <w:tr w14:paraId="2F4D4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553" w:type="dxa"/>
            <w:vMerge w:val="continue"/>
            <w:vAlign w:val="center"/>
          </w:tcPr>
          <w:p w14:paraId="4CDDC408">
            <w:pPr>
              <w:tabs>
                <w:tab w:val="left" w:pos="210"/>
              </w:tabs>
              <w:spacing w:line="360" w:lineRule="auto"/>
              <w:jc w:val="center"/>
              <w:rPr>
                <w:rFonts w:hint="eastAsia" w:ascii="宋体" w:hAnsi="宋体" w:eastAsia="宋体" w:cs="宋体"/>
                <w:kern w:val="0"/>
                <w:sz w:val="24"/>
              </w:rPr>
            </w:pPr>
          </w:p>
        </w:tc>
        <w:tc>
          <w:tcPr>
            <w:tcW w:w="2109" w:type="dxa"/>
            <w:vAlign w:val="center"/>
          </w:tcPr>
          <w:p w14:paraId="324983AE">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法定地址</w:t>
            </w:r>
          </w:p>
        </w:tc>
        <w:tc>
          <w:tcPr>
            <w:tcW w:w="6458" w:type="dxa"/>
            <w:gridSpan w:val="3"/>
            <w:vAlign w:val="center"/>
          </w:tcPr>
          <w:p w14:paraId="6B1F2822">
            <w:pPr>
              <w:tabs>
                <w:tab w:val="left" w:pos="210"/>
              </w:tabs>
              <w:spacing w:line="360" w:lineRule="auto"/>
              <w:jc w:val="center"/>
              <w:rPr>
                <w:rFonts w:hint="eastAsia" w:ascii="宋体" w:hAnsi="宋体" w:eastAsia="宋体" w:cs="宋体"/>
                <w:kern w:val="0"/>
                <w:sz w:val="24"/>
              </w:rPr>
            </w:pPr>
          </w:p>
        </w:tc>
      </w:tr>
      <w:tr w14:paraId="016EF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553" w:type="dxa"/>
            <w:vMerge w:val="continue"/>
            <w:vAlign w:val="center"/>
          </w:tcPr>
          <w:p w14:paraId="48B5B834">
            <w:pPr>
              <w:tabs>
                <w:tab w:val="left" w:pos="210"/>
              </w:tabs>
              <w:spacing w:line="360" w:lineRule="auto"/>
              <w:jc w:val="center"/>
              <w:rPr>
                <w:rFonts w:hint="eastAsia" w:ascii="宋体" w:hAnsi="宋体" w:eastAsia="宋体" w:cs="宋体"/>
                <w:kern w:val="0"/>
                <w:sz w:val="24"/>
              </w:rPr>
            </w:pPr>
          </w:p>
        </w:tc>
        <w:tc>
          <w:tcPr>
            <w:tcW w:w="2109" w:type="dxa"/>
            <w:vAlign w:val="center"/>
          </w:tcPr>
          <w:p w14:paraId="68CA5796">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邮政编码</w:t>
            </w:r>
          </w:p>
        </w:tc>
        <w:tc>
          <w:tcPr>
            <w:tcW w:w="6458" w:type="dxa"/>
            <w:gridSpan w:val="3"/>
            <w:vAlign w:val="center"/>
          </w:tcPr>
          <w:p w14:paraId="1D7E026D">
            <w:pPr>
              <w:tabs>
                <w:tab w:val="left" w:pos="210"/>
              </w:tabs>
              <w:spacing w:line="360" w:lineRule="auto"/>
              <w:jc w:val="center"/>
              <w:rPr>
                <w:rFonts w:hint="eastAsia" w:ascii="宋体" w:hAnsi="宋体" w:eastAsia="宋体" w:cs="宋体"/>
                <w:kern w:val="0"/>
                <w:sz w:val="24"/>
              </w:rPr>
            </w:pPr>
          </w:p>
        </w:tc>
      </w:tr>
      <w:tr w14:paraId="6DC58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553" w:type="dxa"/>
            <w:vMerge w:val="continue"/>
            <w:vAlign w:val="center"/>
          </w:tcPr>
          <w:p w14:paraId="4C9BF5C6">
            <w:pPr>
              <w:tabs>
                <w:tab w:val="left" w:pos="210"/>
              </w:tabs>
              <w:spacing w:line="360" w:lineRule="auto"/>
              <w:jc w:val="center"/>
              <w:rPr>
                <w:rFonts w:hint="eastAsia" w:ascii="宋体" w:hAnsi="宋体" w:eastAsia="宋体" w:cs="宋体"/>
                <w:kern w:val="0"/>
                <w:sz w:val="24"/>
              </w:rPr>
            </w:pPr>
          </w:p>
        </w:tc>
        <w:tc>
          <w:tcPr>
            <w:tcW w:w="2109" w:type="dxa"/>
            <w:vAlign w:val="center"/>
          </w:tcPr>
          <w:p w14:paraId="690CD32A">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机构代码证号</w:t>
            </w:r>
          </w:p>
        </w:tc>
        <w:tc>
          <w:tcPr>
            <w:tcW w:w="6458" w:type="dxa"/>
            <w:gridSpan w:val="3"/>
            <w:vAlign w:val="center"/>
          </w:tcPr>
          <w:p w14:paraId="2482D5F4">
            <w:pPr>
              <w:tabs>
                <w:tab w:val="left" w:pos="210"/>
              </w:tabs>
              <w:spacing w:line="360" w:lineRule="auto"/>
              <w:jc w:val="center"/>
              <w:rPr>
                <w:rFonts w:hint="eastAsia" w:ascii="宋体" w:hAnsi="宋体" w:eastAsia="宋体" w:cs="宋体"/>
                <w:kern w:val="0"/>
                <w:sz w:val="24"/>
              </w:rPr>
            </w:pPr>
          </w:p>
        </w:tc>
      </w:tr>
      <w:tr w14:paraId="3CE76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553" w:type="dxa"/>
            <w:vMerge w:val="restart"/>
            <w:vAlign w:val="center"/>
          </w:tcPr>
          <w:p w14:paraId="19420A80">
            <w:pPr>
              <w:tabs>
                <w:tab w:val="left" w:pos="210"/>
              </w:tabs>
              <w:spacing w:line="360" w:lineRule="auto"/>
              <w:jc w:val="center"/>
              <w:rPr>
                <w:rFonts w:hint="eastAsia" w:ascii="宋体" w:hAnsi="宋体" w:eastAsia="宋体" w:cs="宋体"/>
                <w:kern w:val="0"/>
                <w:sz w:val="24"/>
                <w:lang w:eastAsia="zh-CN"/>
              </w:rPr>
            </w:pPr>
            <w:r>
              <w:rPr>
                <w:rFonts w:hint="eastAsia" w:ascii="宋体" w:hAnsi="宋体" w:eastAsia="宋体" w:cs="宋体"/>
                <w:kern w:val="0"/>
                <w:sz w:val="24"/>
                <w:lang w:eastAsia="zh-CN"/>
              </w:rPr>
              <w:t>法定代表人</w:t>
            </w:r>
          </w:p>
        </w:tc>
        <w:tc>
          <w:tcPr>
            <w:tcW w:w="2109" w:type="dxa"/>
            <w:vAlign w:val="center"/>
          </w:tcPr>
          <w:p w14:paraId="6116D272">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姓名</w:t>
            </w:r>
          </w:p>
        </w:tc>
        <w:tc>
          <w:tcPr>
            <w:tcW w:w="2284" w:type="dxa"/>
            <w:vAlign w:val="center"/>
          </w:tcPr>
          <w:p w14:paraId="5E5B3060">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（签名）</w:t>
            </w:r>
          </w:p>
        </w:tc>
        <w:tc>
          <w:tcPr>
            <w:tcW w:w="2105" w:type="dxa"/>
            <w:vAlign w:val="center"/>
          </w:tcPr>
          <w:p w14:paraId="3E0A5972">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性别</w:t>
            </w:r>
          </w:p>
        </w:tc>
        <w:tc>
          <w:tcPr>
            <w:tcW w:w="2069" w:type="dxa"/>
            <w:vAlign w:val="center"/>
          </w:tcPr>
          <w:p w14:paraId="63855734">
            <w:pPr>
              <w:tabs>
                <w:tab w:val="left" w:pos="210"/>
              </w:tabs>
              <w:spacing w:line="360" w:lineRule="auto"/>
              <w:jc w:val="center"/>
              <w:rPr>
                <w:rFonts w:hint="eastAsia" w:ascii="宋体" w:hAnsi="宋体" w:eastAsia="宋体" w:cs="宋体"/>
                <w:kern w:val="0"/>
                <w:sz w:val="24"/>
              </w:rPr>
            </w:pPr>
          </w:p>
        </w:tc>
      </w:tr>
      <w:tr w14:paraId="331F2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553" w:type="dxa"/>
            <w:vMerge w:val="continue"/>
            <w:vAlign w:val="center"/>
          </w:tcPr>
          <w:p w14:paraId="6791A973">
            <w:pPr>
              <w:tabs>
                <w:tab w:val="left" w:pos="210"/>
              </w:tabs>
              <w:spacing w:line="360" w:lineRule="auto"/>
              <w:jc w:val="center"/>
              <w:rPr>
                <w:rFonts w:hint="eastAsia" w:ascii="宋体" w:hAnsi="宋体" w:eastAsia="宋体" w:cs="宋体"/>
                <w:kern w:val="0"/>
                <w:sz w:val="24"/>
              </w:rPr>
            </w:pPr>
          </w:p>
        </w:tc>
        <w:tc>
          <w:tcPr>
            <w:tcW w:w="2109" w:type="dxa"/>
            <w:vAlign w:val="center"/>
          </w:tcPr>
          <w:p w14:paraId="7CF88B47">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职务</w:t>
            </w:r>
          </w:p>
        </w:tc>
        <w:tc>
          <w:tcPr>
            <w:tcW w:w="2284" w:type="dxa"/>
            <w:vAlign w:val="center"/>
          </w:tcPr>
          <w:p w14:paraId="5F894DFA">
            <w:pPr>
              <w:tabs>
                <w:tab w:val="left" w:pos="210"/>
              </w:tabs>
              <w:spacing w:line="360" w:lineRule="auto"/>
              <w:jc w:val="center"/>
              <w:rPr>
                <w:rFonts w:hint="eastAsia" w:ascii="宋体" w:hAnsi="宋体" w:eastAsia="宋体" w:cs="宋体"/>
                <w:kern w:val="0"/>
                <w:sz w:val="24"/>
              </w:rPr>
            </w:pPr>
          </w:p>
        </w:tc>
        <w:tc>
          <w:tcPr>
            <w:tcW w:w="2105" w:type="dxa"/>
            <w:vAlign w:val="center"/>
          </w:tcPr>
          <w:p w14:paraId="750F3951">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联系电话</w:t>
            </w:r>
          </w:p>
        </w:tc>
        <w:tc>
          <w:tcPr>
            <w:tcW w:w="2069" w:type="dxa"/>
            <w:vAlign w:val="center"/>
          </w:tcPr>
          <w:p w14:paraId="571E5785">
            <w:pPr>
              <w:tabs>
                <w:tab w:val="left" w:pos="210"/>
              </w:tabs>
              <w:spacing w:line="360" w:lineRule="auto"/>
              <w:jc w:val="center"/>
              <w:rPr>
                <w:rFonts w:hint="eastAsia" w:ascii="宋体" w:hAnsi="宋体" w:eastAsia="宋体" w:cs="宋体"/>
                <w:kern w:val="0"/>
                <w:sz w:val="24"/>
              </w:rPr>
            </w:pPr>
          </w:p>
        </w:tc>
      </w:tr>
      <w:tr w14:paraId="575D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553" w:type="dxa"/>
            <w:vMerge w:val="continue"/>
            <w:vAlign w:val="center"/>
          </w:tcPr>
          <w:p w14:paraId="28BEA182">
            <w:pPr>
              <w:tabs>
                <w:tab w:val="left" w:pos="210"/>
              </w:tabs>
              <w:spacing w:line="360" w:lineRule="auto"/>
              <w:jc w:val="center"/>
              <w:rPr>
                <w:rFonts w:hint="eastAsia" w:ascii="宋体" w:hAnsi="宋体" w:eastAsia="宋体" w:cs="宋体"/>
                <w:kern w:val="0"/>
                <w:sz w:val="24"/>
              </w:rPr>
            </w:pPr>
          </w:p>
        </w:tc>
        <w:tc>
          <w:tcPr>
            <w:tcW w:w="2109" w:type="dxa"/>
            <w:vAlign w:val="center"/>
          </w:tcPr>
          <w:p w14:paraId="6293414E">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传真</w:t>
            </w:r>
          </w:p>
        </w:tc>
        <w:tc>
          <w:tcPr>
            <w:tcW w:w="6458" w:type="dxa"/>
            <w:gridSpan w:val="3"/>
            <w:vAlign w:val="center"/>
          </w:tcPr>
          <w:p w14:paraId="3E3BB0EE">
            <w:pPr>
              <w:tabs>
                <w:tab w:val="left" w:pos="210"/>
              </w:tabs>
              <w:spacing w:line="360" w:lineRule="auto"/>
              <w:jc w:val="center"/>
              <w:rPr>
                <w:rFonts w:hint="eastAsia" w:ascii="宋体" w:hAnsi="宋体" w:eastAsia="宋体" w:cs="宋体"/>
                <w:kern w:val="0"/>
                <w:sz w:val="24"/>
              </w:rPr>
            </w:pPr>
          </w:p>
        </w:tc>
      </w:tr>
      <w:tr w14:paraId="0CB99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7" w:hRule="atLeast"/>
          <w:jc w:val="center"/>
        </w:trPr>
        <w:tc>
          <w:tcPr>
            <w:tcW w:w="553" w:type="dxa"/>
            <w:vMerge w:val="restart"/>
            <w:vAlign w:val="center"/>
          </w:tcPr>
          <w:p w14:paraId="5F9B2D0D">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lang w:eastAsia="zh-CN"/>
              </w:rPr>
              <w:t>法定代表人</w:t>
            </w:r>
            <w:r>
              <w:rPr>
                <w:rFonts w:hint="eastAsia" w:ascii="宋体" w:hAnsi="宋体" w:eastAsia="宋体" w:cs="宋体"/>
                <w:kern w:val="0"/>
                <w:sz w:val="24"/>
              </w:rPr>
              <w:t>身份证复印件</w:t>
            </w:r>
          </w:p>
        </w:tc>
        <w:tc>
          <w:tcPr>
            <w:tcW w:w="4393" w:type="dxa"/>
            <w:gridSpan w:val="2"/>
            <w:vMerge w:val="restart"/>
            <w:vAlign w:val="center"/>
          </w:tcPr>
          <w:p w14:paraId="3EF2E79F">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（粘贴处）</w:t>
            </w:r>
          </w:p>
        </w:tc>
        <w:tc>
          <w:tcPr>
            <w:tcW w:w="4174" w:type="dxa"/>
            <w:gridSpan w:val="2"/>
            <w:vAlign w:val="center"/>
          </w:tcPr>
          <w:p w14:paraId="33EE528E">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lang w:eastAsia="zh-CN"/>
              </w:rPr>
              <w:t>法定代表人</w:t>
            </w:r>
            <w:r>
              <w:rPr>
                <w:rFonts w:hint="eastAsia" w:ascii="宋体" w:hAnsi="宋体" w:eastAsia="宋体" w:cs="宋体"/>
                <w:kern w:val="0"/>
                <w:sz w:val="24"/>
              </w:rPr>
              <w:t>签字及盖章</w:t>
            </w:r>
          </w:p>
        </w:tc>
      </w:tr>
      <w:tr w14:paraId="0DC83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553" w:type="dxa"/>
            <w:vMerge w:val="continue"/>
            <w:vAlign w:val="center"/>
          </w:tcPr>
          <w:p w14:paraId="3E627B8D">
            <w:pPr>
              <w:tabs>
                <w:tab w:val="left" w:pos="210"/>
              </w:tabs>
              <w:spacing w:line="360" w:lineRule="auto"/>
              <w:jc w:val="center"/>
              <w:rPr>
                <w:rFonts w:hint="eastAsia" w:ascii="宋体" w:hAnsi="宋体" w:eastAsia="宋体" w:cs="宋体"/>
                <w:kern w:val="0"/>
                <w:sz w:val="24"/>
              </w:rPr>
            </w:pPr>
          </w:p>
        </w:tc>
        <w:tc>
          <w:tcPr>
            <w:tcW w:w="4393" w:type="dxa"/>
            <w:gridSpan w:val="2"/>
            <w:vMerge w:val="continue"/>
            <w:vAlign w:val="center"/>
          </w:tcPr>
          <w:p w14:paraId="2704A70B">
            <w:pPr>
              <w:tabs>
                <w:tab w:val="left" w:pos="210"/>
              </w:tabs>
              <w:spacing w:line="360" w:lineRule="auto"/>
              <w:jc w:val="center"/>
              <w:rPr>
                <w:rFonts w:hint="eastAsia" w:ascii="宋体" w:hAnsi="宋体" w:eastAsia="宋体" w:cs="宋体"/>
                <w:kern w:val="0"/>
                <w:sz w:val="24"/>
              </w:rPr>
            </w:pPr>
          </w:p>
        </w:tc>
        <w:tc>
          <w:tcPr>
            <w:tcW w:w="4174" w:type="dxa"/>
            <w:gridSpan w:val="2"/>
            <w:vAlign w:val="bottom"/>
          </w:tcPr>
          <w:p w14:paraId="4712084B">
            <w:pPr>
              <w:tabs>
                <w:tab w:val="left" w:pos="210"/>
              </w:tabs>
              <w:spacing w:line="360" w:lineRule="auto"/>
              <w:jc w:val="center"/>
              <w:rPr>
                <w:rFonts w:hint="eastAsia" w:ascii="宋体" w:hAnsi="宋体" w:eastAsia="宋体" w:cs="宋体"/>
                <w:kern w:val="0"/>
                <w:sz w:val="24"/>
              </w:rPr>
            </w:pPr>
            <w:r>
              <w:rPr>
                <w:rFonts w:hint="eastAsia" w:ascii="宋体" w:hAnsi="宋体" w:eastAsia="宋体" w:cs="宋体"/>
                <w:kern w:val="0"/>
                <w:sz w:val="24"/>
              </w:rPr>
              <w:t>（公章）</w:t>
            </w:r>
          </w:p>
          <w:p w14:paraId="6BFB4E86">
            <w:pPr>
              <w:tabs>
                <w:tab w:val="left" w:pos="210"/>
              </w:tabs>
              <w:spacing w:line="360" w:lineRule="auto"/>
              <w:jc w:val="center"/>
              <w:rPr>
                <w:rFonts w:hint="eastAsia" w:ascii="宋体" w:hAnsi="宋体" w:eastAsia="宋体" w:cs="宋体"/>
                <w:kern w:val="0"/>
                <w:sz w:val="24"/>
              </w:rPr>
            </w:pPr>
          </w:p>
          <w:p w14:paraId="26173EBF">
            <w:pPr>
              <w:tabs>
                <w:tab w:val="left" w:pos="210"/>
              </w:tabs>
              <w:spacing w:line="360" w:lineRule="auto"/>
              <w:jc w:val="center"/>
              <w:rPr>
                <w:rFonts w:hint="eastAsia" w:ascii="宋体" w:hAnsi="宋体" w:eastAsia="宋体" w:cs="宋体"/>
                <w:kern w:val="0"/>
                <w:sz w:val="24"/>
              </w:rPr>
            </w:pPr>
          </w:p>
          <w:p w14:paraId="0BE019B4">
            <w:pPr>
              <w:tabs>
                <w:tab w:val="left" w:pos="210"/>
              </w:tabs>
              <w:spacing w:line="360" w:lineRule="auto"/>
              <w:jc w:val="center"/>
              <w:rPr>
                <w:rFonts w:hint="eastAsia" w:ascii="宋体" w:hAnsi="宋体" w:eastAsia="宋体" w:cs="宋体"/>
                <w:kern w:val="0"/>
                <w:sz w:val="24"/>
              </w:rPr>
            </w:pPr>
          </w:p>
          <w:p w14:paraId="4B4FC3A9">
            <w:pPr>
              <w:tabs>
                <w:tab w:val="left" w:pos="210"/>
              </w:tabs>
              <w:spacing w:line="360" w:lineRule="auto"/>
              <w:jc w:val="right"/>
              <w:rPr>
                <w:rFonts w:hint="eastAsia" w:ascii="宋体" w:hAnsi="宋体" w:eastAsia="宋体" w:cs="宋体"/>
                <w:kern w:val="0"/>
                <w:sz w:val="24"/>
              </w:rPr>
            </w:pPr>
            <w:r>
              <w:rPr>
                <w:rFonts w:hint="eastAsia" w:ascii="宋体" w:hAnsi="宋体" w:eastAsia="宋体" w:cs="宋体"/>
                <w:kern w:val="0"/>
                <w:sz w:val="24"/>
              </w:rPr>
              <w:t xml:space="preserve">年  月  日 </w:t>
            </w:r>
          </w:p>
        </w:tc>
      </w:tr>
    </w:tbl>
    <w:p w14:paraId="057180FB">
      <w:pPr>
        <w:pStyle w:val="4"/>
        <w:bidi w:val="0"/>
        <w:spacing w:line="360" w:lineRule="auto"/>
        <w:jc w:val="center"/>
        <w:rPr>
          <w:rFonts w:hint="eastAsia"/>
        </w:rPr>
      </w:pPr>
      <w:bookmarkStart w:id="288" w:name="_Toc9360"/>
      <w:bookmarkStart w:id="289" w:name="_Toc25081"/>
      <w:bookmarkStart w:id="290" w:name="_Toc1839"/>
      <w:r>
        <w:rPr>
          <w:rFonts w:hint="eastAsia"/>
          <w:lang w:eastAsia="zh-CN"/>
        </w:rPr>
        <w:t>法定代表人</w:t>
      </w:r>
      <w:r>
        <w:rPr>
          <w:rFonts w:hint="eastAsia"/>
        </w:rPr>
        <w:t>授权书</w:t>
      </w:r>
      <w:bookmarkEnd w:id="288"/>
      <w:bookmarkEnd w:id="289"/>
      <w:bookmarkEnd w:id="290"/>
    </w:p>
    <w:p w14:paraId="1F6732AD">
      <w:pPr>
        <w:tabs>
          <w:tab w:val="left" w:pos="8820"/>
        </w:tabs>
        <w:spacing w:line="360" w:lineRule="auto"/>
        <w:ind w:firstLine="570"/>
        <w:rPr>
          <w:rFonts w:hint="eastAsia" w:ascii="宋体" w:hAnsi="宋体" w:eastAsia="宋体" w:cs="宋体"/>
          <w:sz w:val="24"/>
          <w:szCs w:val="24"/>
          <w:u w:val="single"/>
        </w:rPr>
      </w:pPr>
      <w:r>
        <w:rPr>
          <w:rFonts w:hint="eastAsia" w:ascii="宋体" w:hAnsi="宋体" w:eastAsia="宋体" w:cs="宋体"/>
          <w:sz w:val="24"/>
          <w:szCs w:val="24"/>
        </w:rPr>
        <w:t>本授权委托书声明：我</w:t>
      </w:r>
      <w:r>
        <w:rPr>
          <w:rFonts w:hint="eastAsia" w:ascii="宋体" w:hAnsi="宋体" w:eastAsia="宋体" w:cs="宋体"/>
          <w:sz w:val="24"/>
          <w:szCs w:val="24"/>
          <w:u w:val="single"/>
        </w:rPr>
        <w:t>（</w:t>
      </w:r>
      <w:r>
        <w:rPr>
          <w:rFonts w:hint="eastAsia" w:ascii="宋体" w:hAnsi="宋体" w:eastAsia="宋体" w:cs="宋体"/>
          <w:sz w:val="24"/>
          <w:szCs w:val="24"/>
          <w:u w:val="single"/>
          <w:lang w:eastAsia="zh-CN"/>
        </w:rPr>
        <w:t>法定代表人</w:t>
      </w:r>
      <w:r>
        <w:rPr>
          <w:rFonts w:hint="eastAsia" w:ascii="宋体" w:hAnsi="宋体" w:eastAsia="宋体" w:cs="宋体"/>
          <w:sz w:val="24"/>
          <w:szCs w:val="24"/>
          <w:u w:val="single"/>
        </w:rPr>
        <w:t>姓名）</w:t>
      </w:r>
      <w:r>
        <w:rPr>
          <w:rFonts w:hint="eastAsia" w:ascii="宋体" w:hAnsi="宋体" w:eastAsia="宋体" w:cs="宋体"/>
          <w:sz w:val="24"/>
          <w:szCs w:val="24"/>
        </w:rPr>
        <w:t>系注册于</w:t>
      </w:r>
      <w:r>
        <w:rPr>
          <w:rFonts w:hint="eastAsia" w:ascii="宋体" w:hAnsi="宋体" w:eastAsia="宋体" w:cs="宋体"/>
          <w:sz w:val="24"/>
          <w:szCs w:val="24"/>
          <w:u w:val="single"/>
        </w:rPr>
        <w:t xml:space="preserve">  （供应商地址）     </w:t>
      </w:r>
      <w:r>
        <w:rPr>
          <w:rFonts w:hint="eastAsia" w:ascii="宋体" w:hAnsi="宋体" w:eastAsia="宋体" w:cs="宋体"/>
          <w:sz w:val="24"/>
          <w:szCs w:val="24"/>
        </w:rPr>
        <w:t>的</w:t>
      </w:r>
      <w:r>
        <w:rPr>
          <w:rFonts w:hint="eastAsia" w:ascii="宋体" w:hAnsi="宋体" w:eastAsia="宋体" w:cs="宋体"/>
          <w:sz w:val="24"/>
          <w:szCs w:val="24"/>
          <w:u w:val="single"/>
        </w:rPr>
        <w:t xml:space="preserve">（供应商名称）  </w:t>
      </w:r>
      <w:r>
        <w:rPr>
          <w:rFonts w:hint="eastAsia" w:ascii="宋体" w:hAnsi="宋体" w:eastAsia="宋体" w:cs="宋体"/>
          <w:sz w:val="24"/>
          <w:szCs w:val="24"/>
        </w:rPr>
        <w:t>的</w:t>
      </w:r>
      <w:r>
        <w:rPr>
          <w:rFonts w:hint="eastAsia" w:ascii="宋体" w:hAnsi="宋体" w:eastAsia="宋体" w:cs="宋体"/>
          <w:sz w:val="24"/>
          <w:szCs w:val="24"/>
          <w:lang w:eastAsia="zh-CN"/>
        </w:rPr>
        <w:t>法定代表人</w:t>
      </w:r>
      <w:r>
        <w:rPr>
          <w:rFonts w:hint="eastAsia" w:ascii="宋体" w:hAnsi="宋体" w:eastAsia="宋体" w:cs="宋体"/>
          <w:sz w:val="24"/>
          <w:szCs w:val="24"/>
        </w:rPr>
        <w:t>，现代表公司授权下面签字的</w:t>
      </w:r>
      <w:r>
        <w:rPr>
          <w:rFonts w:hint="eastAsia" w:ascii="宋体" w:hAnsi="宋体" w:eastAsia="宋体" w:cs="宋体"/>
          <w:sz w:val="24"/>
          <w:szCs w:val="24"/>
          <w:u w:val="single"/>
        </w:rPr>
        <w:t>（被授权人的姓名、职务）</w:t>
      </w:r>
      <w:r>
        <w:rPr>
          <w:rFonts w:hint="eastAsia" w:ascii="宋体" w:hAnsi="宋体" w:eastAsia="宋体" w:cs="宋体"/>
          <w:sz w:val="24"/>
          <w:szCs w:val="24"/>
        </w:rPr>
        <w:t>为我公司合法代理人，代表本公司参加</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项目名称</w:t>
      </w:r>
      <w:r>
        <w:rPr>
          <w:rFonts w:hint="eastAsia" w:ascii="宋体" w:hAnsi="宋体" w:eastAsia="宋体" w:cs="宋体"/>
          <w:sz w:val="24"/>
          <w:szCs w:val="24"/>
          <w:u w:val="single"/>
        </w:rPr>
        <w:t>）</w:t>
      </w:r>
      <w:r>
        <w:rPr>
          <w:rFonts w:hint="eastAsia" w:ascii="宋体" w:hAnsi="宋体" w:eastAsia="宋体" w:cs="宋体"/>
          <w:sz w:val="24"/>
          <w:szCs w:val="24"/>
          <w:lang w:eastAsia="zh-CN"/>
        </w:rPr>
        <w:t>项目编号</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的投标活动。代理人在本次投标中所签署的一切文件和处理的一切有关事物，我公司均予承认。</w:t>
      </w:r>
    </w:p>
    <w:p w14:paraId="02CD88DC">
      <w:pPr>
        <w:spacing w:line="360" w:lineRule="auto"/>
        <w:ind w:firstLine="570"/>
        <w:rPr>
          <w:rFonts w:hint="eastAsia" w:ascii="宋体" w:hAnsi="宋体" w:eastAsia="宋体" w:cs="宋体"/>
          <w:sz w:val="24"/>
          <w:szCs w:val="24"/>
        </w:rPr>
      </w:pPr>
      <w:r>
        <w:rPr>
          <w:rFonts w:hint="eastAsia" w:ascii="宋体" w:hAnsi="宋体" w:eastAsia="宋体" w:cs="宋体"/>
          <w:sz w:val="24"/>
          <w:szCs w:val="24"/>
        </w:rPr>
        <w:t>本授权书于</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日签字/盖章生效，有效期自开标之日起</w:t>
      </w:r>
      <w:r>
        <w:rPr>
          <w:rFonts w:hint="eastAsia" w:ascii="宋体" w:hAnsi="宋体" w:eastAsia="宋体" w:cs="宋体"/>
          <w:sz w:val="24"/>
          <w:szCs w:val="24"/>
          <w:u w:val="single"/>
        </w:rPr>
        <w:t xml:space="preserve">  </w:t>
      </w:r>
      <w:r>
        <w:rPr>
          <w:rFonts w:hint="eastAsia" w:ascii="宋体" w:hAnsi="宋体" w:eastAsia="宋体" w:cs="宋体"/>
          <w:sz w:val="24"/>
          <w:szCs w:val="24"/>
        </w:rPr>
        <w:t>天；特此声明。</w:t>
      </w:r>
    </w:p>
    <w:p w14:paraId="6F01A8EE">
      <w:pPr>
        <w:spacing w:line="360" w:lineRule="auto"/>
        <w:ind w:firstLine="570"/>
        <w:rPr>
          <w:rFonts w:hint="eastAsia" w:ascii="宋体" w:hAnsi="宋体" w:eastAsia="宋体" w:cs="宋体"/>
          <w:sz w:val="24"/>
          <w:szCs w:val="24"/>
        </w:rPr>
      </w:pPr>
    </w:p>
    <w:tbl>
      <w:tblPr>
        <w:tblStyle w:val="25"/>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4430"/>
        <w:gridCol w:w="4430"/>
      </w:tblGrid>
      <w:tr w14:paraId="2C7A79AA">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912" w:hRule="atLeast"/>
          <w:jc w:val="center"/>
        </w:trPr>
        <w:tc>
          <w:tcPr>
            <w:tcW w:w="4430" w:type="dxa"/>
            <w:vAlign w:val="center"/>
          </w:tcPr>
          <w:p w14:paraId="009CA4C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eastAsia="zh-CN"/>
              </w:rPr>
              <w:t>法定代表人</w:t>
            </w:r>
            <w:r>
              <w:rPr>
                <w:rFonts w:hint="eastAsia" w:ascii="宋体" w:hAnsi="宋体" w:eastAsia="宋体" w:cs="宋体"/>
                <w:sz w:val="24"/>
                <w:szCs w:val="24"/>
              </w:rPr>
              <w:t>身份证复印件</w:t>
            </w:r>
          </w:p>
          <w:p w14:paraId="667F63E5">
            <w:pPr>
              <w:spacing w:line="360" w:lineRule="auto"/>
              <w:jc w:val="center"/>
              <w:rPr>
                <w:rFonts w:hint="eastAsia" w:ascii="宋体" w:hAnsi="宋体" w:eastAsia="宋体" w:cs="宋体"/>
                <w:sz w:val="24"/>
                <w:szCs w:val="24"/>
              </w:rPr>
            </w:pPr>
          </w:p>
        </w:tc>
        <w:tc>
          <w:tcPr>
            <w:tcW w:w="4430" w:type="dxa"/>
            <w:vAlign w:val="center"/>
          </w:tcPr>
          <w:p w14:paraId="6ECF775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被授权代表身份证复印件</w:t>
            </w:r>
          </w:p>
          <w:p w14:paraId="37A5FB93">
            <w:pPr>
              <w:spacing w:line="360" w:lineRule="auto"/>
              <w:jc w:val="center"/>
              <w:rPr>
                <w:rFonts w:hint="eastAsia" w:ascii="宋体" w:hAnsi="宋体" w:eastAsia="宋体" w:cs="宋体"/>
                <w:sz w:val="24"/>
                <w:szCs w:val="24"/>
              </w:rPr>
            </w:pPr>
          </w:p>
        </w:tc>
      </w:tr>
      <w:tr w14:paraId="3E0A0BE2">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058" w:hRule="atLeast"/>
          <w:jc w:val="center"/>
        </w:trPr>
        <w:tc>
          <w:tcPr>
            <w:tcW w:w="4430" w:type="dxa"/>
            <w:vAlign w:val="center"/>
          </w:tcPr>
          <w:p w14:paraId="4571C53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eastAsia="zh-CN"/>
              </w:rPr>
              <w:t>法定代表人</w:t>
            </w:r>
            <w:r>
              <w:rPr>
                <w:rFonts w:hint="eastAsia" w:ascii="宋体" w:hAnsi="宋体" w:eastAsia="宋体" w:cs="宋体"/>
                <w:sz w:val="24"/>
                <w:szCs w:val="24"/>
              </w:rPr>
              <w:t>身份证复印件</w:t>
            </w:r>
          </w:p>
          <w:p w14:paraId="205D1E77">
            <w:pPr>
              <w:spacing w:line="360" w:lineRule="auto"/>
              <w:jc w:val="center"/>
              <w:rPr>
                <w:rFonts w:hint="eastAsia" w:ascii="宋体" w:hAnsi="宋体" w:eastAsia="宋体" w:cs="宋体"/>
                <w:sz w:val="24"/>
                <w:szCs w:val="24"/>
              </w:rPr>
            </w:pPr>
          </w:p>
        </w:tc>
        <w:tc>
          <w:tcPr>
            <w:tcW w:w="4430" w:type="dxa"/>
            <w:vAlign w:val="center"/>
          </w:tcPr>
          <w:p w14:paraId="298FBA5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被授权代表身份证复印件</w:t>
            </w:r>
          </w:p>
          <w:p w14:paraId="1F4E0CDB">
            <w:pPr>
              <w:spacing w:line="360" w:lineRule="auto"/>
              <w:jc w:val="center"/>
              <w:rPr>
                <w:rFonts w:hint="eastAsia" w:ascii="宋体" w:hAnsi="宋体" w:eastAsia="宋体" w:cs="宋体"/>
                <w:sz w:val="24"/>
                <w:szCs w:val="24"/>
              </w:rPr>
            </w:pPr>
          </w:p>
        </w:tc>
      </w:tr>
    </w:tbl>
    <w:p w14:paraId="0A6C1AE5">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sz w:val="24"/>
          <w:szCs w:val="24"/>
        </w:rPr>
        <w:t>注：此授权书的有效期应与投标文件有效期一致。</w:t>
      </w:r>
    </w:p>
    <w:p w14:paraId="6B36806E">
      <w:pPr>
        <w:pStyle w:val="9"/>
        <w:spacing w:line="360" w:lineRule="auto"/>
        <w:rPr>
          <w:rFonts w:hint="eastAsia" w:ascii="宋体" w:hAnsi="宋体" w:eastAsia="宋体" w:cs="宋体"/>
          <w:sz w:val="24"/>
        </w:rPr>
      </w:pPr>
    </w:p>
    <w:p w14:paraId="2E5B7A90">
      <w:pPr>
        <w:pStyle w:val="9"/>
        <w:spacing w:line="360" w:lineRule="auto"/>
        <w:rPr>
          <w:rFonts w:hint="eastAsia" w:ascii="宋体" w:hAnsi="宋体" w:eastAsia="宋体" w:cs="宋体"/>
          <w:sz w:val="24"/>
        </w:rPr>
      </w:pPr>
    </w:p>
    <w:p w14:paraId="7C5BB439">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供应商：</w:t>
      </w:r>
      <w:r>
        <w:rPr>
          <w:rFonts w:hint="eastAsia" w:ascii="宋体" w:hAnsi="宋体" w:eastAsia="宋体" w:cs="宋体"/>
          <w:sz w:val="24"/>
          <w:szCs w:val="24"/>
          <w:u w:val="single"/>
        </w:rPr>
        <w:t xml:space="preserve">                            </w:t>
      </w:r>
      <w:r>
        <w:rPr>
          <w:rFonts w:hint="eastAsia" w:ascii="宋体" w:hAnsi="宋体" w:eastAsia="宋体" w:cs="宋体"/>
          <w:sz w:val="24"/>
          <w:szCs w:val="24"/>
        </w:rPr>
        <w:t>（公章）</w:t>
      </w:r>
    </w:p>
    <w:p w14:paraId="416F795B">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法定代表人</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（签字并盖章）</w:t>
      </w:r>
    </w:p>
    <w:p w14:paraId="64662090">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被授权人：</w:t>
      </w:r>
      <w:r>
        <w:rPr>
          <w:rFonts w:hint="eastAsia" w:ascii="宋体" w:hAnsi="宋体" w:eastAsia="宋体" w:cs="宋体"/>
          <w:sz w:val="24"/>
          <w:szCs w:val="24"/>
          <w:u w:val="single"/>
        </w:rPr>
        <w:t xml:space="preserve">                     </w:t>
      </w:r>
      <w:r>
        <w:rPr>
          <w:rFonts w:hint="eastAsia" w:ascii="宋体" w:hAnsi="宋体" w:eastAsia="宋体" w:cs="宋体"/>
          <w:sz w:val="24"/>
          <w:szCs w:val="24"/>
        </w:rPr>
        <w:t>（签字或盖章）</w:t>
      </w:r>
      <w:bookmarkStart w:id="291" w:name="_Toc12719"/>
    </w:p>
    <w:bookmarkEnd w:id="291"/>
    <w:p w14:paraId="3FA16D21">
      <w:pPr>
        <w:pStyle w:val="3"/>
        <w:bidi w:val="0"/>
        <w:spacing w:line="360" w:lineRule="auto"/>
        <w:rPr>
          <w:rFonts w:hint="eastAsia"/>
          <w:lang w:val="en-US" w:eastAsia="zh-CN"/>
        </w:rPr>
      </w:pPr>
      <w:bookmarkStart w:id="292" w:name="_Toc25823"/>
      <w:bookmarkStart w:id="293" w:name="_Toc15061"/>
      <w:bookmarkStart w:id="294" w:name="_Toc21062"/>
      <w:bookmarkStart w:id="295" w:name="_Toc86547256"/>
      <w:bookmarkStart w:id="296" w:name="_Toc86117412"/>
      <w:r>
        <w:rPr>
          <w:rFonts w:hint="eastAsia"/>
          <w:lang w:val="en-US" w:eastAsia="zh-CN"/>
        </w:rPr>
        <w:t>五、供应商参加政府采购活动承诺书</w:t>
      </w:r>
      <w:bookmarkEnd w:id="292"/>
      <w:bookmarkEnd w:id="293"/>
    </w:p>
    <w:p w14:paraId="7435902D">
      <w:pPr>
        <w:pStyle w:val="4"/>
        <w:bidi w:val="0"/>
        <w:spacing w:line="360" w:lineRule="auto"/>
        <w:jc w:val="center"/>
        <w:rPr>
          <w:rFonts w:hint="eastAsia"/>
        </w:rPr>
      </w:pPr>
      <w:r>
        <w:rPr>
          <w:rFonts w:hint="eastAsia"/>
        </w:rPr>
        <w:t>供应商拒绝政府采购领域商业贿赂承诺书Ⅰ</w:t>
      </w:r>
    </w:p>
    <w:p w14:paraId="05B69517">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为响应党中央、国务院关于治理采购领域商业贿赂行为的号召，我公司在此庄严承诺：</w:t>
      </w:r>
    </w:p>
    <w:p w14:paraId="580F1416">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1、在参与招标活动中遵纪守法、诚信经营、公平竞标。</w:t>
      </w:r>
    </w:p>
    <w:p w14:paraId="3E5BF910">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2、不向</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采购代理机构</w:t>
      </w:r>
      <w:r>
        <w:rPr>
          <w:rFonts w:hint="eastAsia" w:ascii="宋体" w:hAnsi="宋体" w:eastAsia="宋体" w:cs="宋体"/>
          <w:sz w:val="24"/>
          <w:szCs w:val="24"/>
        </w:rPr>
        <w:t>和磋商小组进行任何形式的商业贿赂以谋取交易机会。</w:t>
      </w:r>
    </w:p>
    <w:p w14:paraId="24E1C322">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3、不向</w:t>
      </w:r>
      <w:r>
        <w:rPr>
          <w:rFonts w:hint="eastAsia" w:ascii="宋体" w:hAnsi="宋体" w:eastAsia="宋体" w:cs="宋体"/>
          <w:sz w:val="24"/>
          <w:szCs w:val="24"/>
          <w:lang w:eastAsia="zh-CN"/>
        </w:rPr>
        <w:t>采购代理机构</w:t>
      </w:r>
      <w:r>
        <w:rPr>
          <w:rFonts w:hint="eastAsia" w:ascii="宋体" w:hAnsi="宋体" w:eastAsia="宋体" w:cs="宋体"/>
          <w:sz w:val="24"/>
          <w:szCs w:val="24"/>
        </w:rPr>
        <w:t>和</w:t>
      </w:r>
      <w:r>
        <w:rPr>
          <w:rFonts w:hint="eastAsia" w:ascii="宋体" w:hAnsi="宋体" w:eastAsia="宋体" w:cs="宋体"/>
          <w:sz w:val="24"/>
          <w:szCs w:val="24"/>
          <w:lang w:eastAsia="zh-CN"/>
        </w:rPr>
        <w:t>采购人</w:t>
      </w:r>
      <w:r>
        <w:rPr>
          <w:rFonts w:hint="eastAsia" w:ascii="宋体" w:hAnsi="宋体" w:eastAsia="宋体" w:cs="宋体"/>
          <w:sz w:val="24"/>
          <w:szCs w:val="24"/>
        </w:rPr>
        <w:t>提供虚假资质文件或采用虚假应标方式参与采购市场竞争并谋取中标、成交。</w:t>
      </w:r>
    </w:p>
    <w:p w14:paraId="6C2AAD05">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4、不采取“围标、陪标”等商业欺诈手段获得招标采购定单。</w:t>
      </w:r>
    </w:p>
    <w:p w14:paraId="3B9C506E">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5、不采取不正当手段诋毁、排挤其他供应商。</w:t>
      </w:r>
    </w:p>
    <w:p w14:paraId="28D2A6C6">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6、不在提供商品和服务时“偷梁换柱、以次充好”损害</w:t>
      </w:r>
      <w:r>
        <w:rPr>
          <w:rFonts w:hint="eastAsia" w:ascii="宋体" w:hAnsi="宋体" w:eastAsia="宋体" w:cs="宋体"/>
          <w:sz w:val="24"/>
          <w:szCs w:val="24"/>
          <w:lang w:eastAsia="zh-CN"/>
        </w:rPr>
        <w:t>采购人</w:t>
      </w:r>
      <w:r>
        <w:rPr>
          <w:rFonts w:hint="eastAsia" w:ascii="宋体" w:hAnsi="宋体" w:eastAsia="宋体" w:cs="宋体"/>
          <w:sz w:val="24"/>
          <w:szCs w:val="24"/>
        </w:rPr>
        <w:t>的合法权益。</w:t>
      </w:r>
    </w:p>
    <w:p w14:paraId="01E9BB8A">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7、不与</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采购代理机构</w:t>
      </w:r>
      <w:r>
        <w:rPr>
          <w:rFonts w:hint="eastAsia" w:ascii="宋体" w:hAnsi="宋体" w:eastAsia="宋体" w:cs="宋体"/>
          <w:sz w:val="24"/>
          <w:szCs w:val="24"/>
        </w:rPr>
        <w:t>磋商小组或其它供应商恶意串通，进行质疑和投诉，维护政府采购市场秩序。</w:t>
      </w:r>
    </w:p>
    <w:p w14:paraId="6CFBAB12">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8、尊重和接受监督管理部门的监督和</w:t>
      </w:r>
      <w:r>
        <w:rPr>
          <w:rFonts w:hint="eastAsia" w:ascii="宋体" w:hAnsi="宋体" w:eastAsia="宋体" w:cs="宋体"/>
          <w:sz w:val="24"/>
          <w:szCs w:val="24"/>
          <w:lang w:eastAsia="zh-CN"/>
        </w:rPr>
        <w:t>采购代理机构</w:t>
      </w:r>
      <w:r>
        <w:rPr>
          <w:rFonts w:hint="eastAsia" w:ascii="宋体" w:hAnsi="宋体" w:eastAsia="宋体" w:cs="宋体"/>
          <w:sz w:val="24"/>
          <w:szCs w:val="24"/>
        </w:rPr>
        <w:t>招标采购要求，承担因违约行为给</w:t>
      </w:r>
      <w:r>
        <w:rPr>
          <w:rFonts w:hint="eastAsia" w:ascii="宋体" w:hAnsi="宋体" w:eastAsia="宋体" w:cs="宋体"/>
          <w:sz w:val="24"/>
          <w:szCs w:val="24"/>
          <w:lang w:eastAsia="zh-CN"/>
        </w:rPr>
        <w:t>采购人</w:t>
      </w:r>
      <w:r>
        <w:rPr>
          <w:rFonts w:hint="eastAsia" w:ascii="宋体" w:hAnsi="宋体" w:eastAsia="宋体" w:cs="宋体"/>
          <w:sz w:val="24"/>
          <w:szCs w:val="24"/>
        </w:rPr>
        <w:t>造成的损失。</w:t>
      </w:r>
    </w:p>
    <w:p w14:paraId="0094403D">
      <w:pPr>
        <w:spacing w:line="360" w:lineRule="auto"/>
        <w:ind w:left="681" w:leftChars="267" w:hanging="120" w:hangingChars="50"/>
        <w:jc w:val="left"/>
        <w:rPr>
          <w:rFonts w:hint="eastAsia" w:ascii="宋体" w:hAnsi="宋体" w:eastAsia="宋体" w:cs="宋体"/>
          <w:sz w:val="24"/>
          <w:szCs w:val="24"/>
        </w:rPr>
      </w:pPr>
      <w:r>
        <w:rPr>
          <w:rFonts w:hint="eastAsia" w:ascii="宋体" w:hAnsi="宋体" w:eastAsia="宋体" w:cs="宋体"/>
          <w:sz w:val="24"/>
          <w:szCs w:val="24"/>
        </w:rPr>
        <w:t>9、不发生其他有悖于采购公开、公平、公正和诚信原则的行为。</w:t>
      </w:r>
      <w:r>
        <w:rPr>
          <w:rFonts w:hint="eastAsia" w:ascii="宋体" w:hAnsi="宋体" w:eastAsia="宋体" w:cs="宋体"/>
          <w:sz w:val="24"/>
          <w:szCs w:val="24"/>
        </w:rPr>
        <w:br w:type="textWrapping"/>
      </w:r>
      <w:r>
        <w:rPr>
          <w:rFonts w:hint="eastAsia" w:ascii="宋体" w:hAnsi="宋体" w:eastAsia="宋体" w:cs="宋体"/>
          <w:sz w:val="24"/>
          <w:szCs w:val="24"/>
        </w:rPr>
        <w:t>承诺单位（盖章）：</w:t>
      </w:r>
    </w:p>
    <w:p w14:paraId="02C812E9">
      <w:pPr>
        <w:spacing w:line="360" w:lineRule="auto"/>
        <w:ind w:left="701" w:leftChars="334"/>
        <w:jc w:val="left"/>
        <w:rPr>
          <w:rFonts w:hint="eastAsia" w:ascii="宋体" w:hAnsi="宋体" w:eastAsia="宋体" w:cs="宋体"/>
          <w:sz w:val="24"/>
          <w:szCs w:val="24"/>
        </w:rPr>
      </w:pPr>
      <w:r>
        <w:rPr>
          <w:rFonts w:hint="eastAsia" w:ascii="宋体" w:hAnsi="宋体" w:eastAsia="宋体" w:cs="宋体"/>
          <w:sz w:val="24"/>
          <w:szCs w:val="24"/>
        </w:rPr>
        <w:t>全权代表（签字）：</w:t>
      </w:r>
    </w:p>
    <w:p w14:paraId="7C5AC4E2">
      <w:pPr>
        <w:spacing w:line="360" w:lineRule="auto"/>
        <w:ind w:left="701" w:leftChars="334"/>
        <w:jc w:val="left"/>
        <w:rPr>
          <w:rFonts w:hint="eastAsia" w:ascii="宋体" w:hAnsi="宋体" w:eastAsia="宋体" w:cs="宋体"/>
          <w:sz w:val="24"/>
          <w:szCs w:val="24"/>
        </w:rPr>
      </w:pPr>
      <w:r>
        <w:rPr>
          <w:rFonts w:hint="eastAsia" w:ascii="宋体" w:hAnsi="宋体" w:eastAsia="宋体" w:cs="宋体"/>
          <w:sz w:val="24"/>
          <w:szCs w:val="24"/>
        </w:rPr>
        <w:t>地  址：                        </w:t>
      </w:r>
    </w:p>
    <w:p w14:paraId="04F8273B">
      <w:pPr>
        <w:spacing w:line="360" w:lineRule="auto"/>
        <w:ind w:left="659" w:leftChars="314"/>
        <w:jc w:val="left"/>
        <w:rPr>
          <w:rFonts w:hint="eastAsia" w:ascii="宋体" w:hAnsi="宋体" w:eastAsia="宋体" w:cs="宋体"/>
          <w:sz w:val="24"/>
          <w:szCs w:val="24"/>
        </w:rPr>
      </w:pPr>
      <w:r>
        <w:rPr>
          <w:rFonts w:hint="eastAsia" w:ascii="宋体" w:hAnsi="宋体" w:eastAsia="宋体" w:cs="宋体"/>
          <w:sz w:val="24"/>
          <w:szCs w:val="24"/>
        </w:rPr>
        <w:t>邮  编：</w:t>
      </w:r>
      <w:r>
        <w:rPr>
          <w:rFonts w:hint="eastAsia" w:ascii="宋体" w:hAnsi="宋体" w:eastAsia="宋体" w:cs="宋体"/>
          <w:sz w:val="24"/>
          <w:szCs w:val="24"/>
        </w:rPr>
        <w:br w:type="textWrapping"/>
      </w:r>
      <w:r>
        <w:rPr>
          <w:rFonts w:hint="eastAsia" w:ascii="宋体" w:hAnsi="宋体" w:eastAsia="宋体" w:cs="宋体"/>
          <w:sz w:val="24"/>
          <w:szCs w:val="24"/>
        </w:rPr>
        <w:t>电  话：                    </w:t>
      </w:r>
    </w:p>
    <w:p w14:paraId="636316F4">
      <w:pPr>
        <w:spacing w:line="360" w:lineRule="auto"/>
        <w:ind w:left="659" w:leftChars="314"/>
        <w:jc w:val="lef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7923CEEA">
      <w:pPr>
        <w:spacing w:line="360" w:lineRule="auto"/>
        <w:jc w:val="center"/>
        <w:rPr>
          <w:rFonts w:hint="eastAsia" w:ascii="宋体" w:hAnsi="宋体" w:eastAsia="宋体" w:cs="宋体"/>
          <w:b/>
          <w:bCs/>
          <w:szCs w:val="24"/>
        </w:rPr>
      </w:pPr>
    </w:p>
    <w:p w14:paraId="5D96E411">
      <w:pPr>
        <w:pStyle w:val="4"/>
        <w:bidi w:val="0"/>
        <w:spacing w:line="360" w:lineRule="auto"/>
        <w:jc w:val="center"/>
        <w:rPr>
          <w:rFonts w:hint="eastAsia"/>
        </w:rPr>
        <w:sectPr>
          <w:pgSz w:w="11906" w:h="16838"/>
          <w:pgMar w:top="1440" w:right="1644" w:bottom="1440" w:left="1644" w:header="851" w:footer="992" w:gutter="0"/>
          <w:pgNumType w:fmt="decimal"/>
          <w:cols w:space="720" w:num="1"/>
          <w:docGrid w:type="lines" w:linePitch="312" w:charSpace="0"/>
        </w:sectPr>
      </w:pPr>
    </w:p>
    <w:p w14:paraId="0C003DF3">
      <w:pPr>
        <w:pStyle w:val="4"/>
        <w:bidi w:val="0"/>
        <w:spacing w:line="360" w:lineRule="auto"/>
        <w:jc w:val="center"/>
        <w:rPr>
          <w:rFonts w:hint="eastAsia"/>
        </w:rPr>
      </w:pPr>
      <w:r>
        <w:rPr>
          <w:rFonts w:hint="eastAsia"/>
        </w:rPr>
        <w:t>承诺书Ⅱ</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B432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2B829999">
            <w:pPr>
              <w:spacing w:line="360" w:lineRule="auto"/>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z w:val="24"/>
                <w:lang w:eastAsia="zh-CN"/>
              </w:rPr>
              <w:t>陕西泓祥兴顺工程项目管理有限公司</w:t>
            </w:r>
          </w:p>
        </w:tc>
      </w:tr>
      <w:tr w14:paraId="69873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8CBC92B">
            <w:pPr>
              <w:spacing w:line="360" w:lineRule="auto"/>
              <w:ind w:firstLine="480" w:firstLineChars="200"/>
              <w:rPr>
                <w:rFonts w:hint="eastAsia" w:ascii="宋体" w:hAnsi="宋体" w:eastAsia="宋体" w:cs="宋体"/>
                <w:sz w:val="24"/>
              </w:rPr>
            </w:pPr>
            <w:r>
              <w:rPr>
                <w:rFonts w:hint="eastAsia" w:ascii="宋体" w:hAnsi="宋体" w:eastAsia="宋体" w:cs="宋体"/>
                <w:sz w:val="24"/>
              </w:rPr>
              <w:t>作为参加贵公司组织的招标采购项目的投标单位，本公司承诺：在参加本项目招标之前不存在被依法禁止经营行为、财产被接管或冻结的情况，如有隐瞒实情，愿承担一切责任及后果。</w:t>
            </w:r>
          </w:p>
        </w:tc>
      </w:tr>
      <w:tr w14:paraId="65B88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DCA39ED">
            <w:pPr>
              <w:spacing w:line="360" w:lineRule="auto"/>
              <w:jc w:val="center"/>
              <w:rPr>
                <w:rFonts w:hint="eastAsia" w:ascii="宋体" w:hAnsi="宋体" w:eastAsia="宋体" w:cs="宋体"/>
                <w:sz w:val="24"/>
              </w:rPr>
            </w:pPr>
            <w:r>
              <w:rPr>
                <w:rFonts w:hint="eastAsia" w:ascii="宋体" w:hAnsi="宋体" w:eastAsia="宋体" w:cs="宋体"/>
                <w:sz w:val="24"/>
              </w:rPr>
              <w:t>投标单位</w:t>
            </w:r>
          </w:p>
        </w:tc>
        <w:tc>
          <w:tcPr>
            <w:tcW w:w="3420" w:type="dxa"/>
            <w:vAlign w:val="center"/>
          </w:tcPr>
          <w:p w14:paraId="1CA2B05E">
            <w:pPr>
              <w:spacing w:line="360" w:lineRule="auto"/>
              <w:jc w:val="center"/>
              <w:rPr>
                <w:rFonts w:hint="eastAsia" w:ascii="宋体" w:hAnsi="宋体" w:eastAsia="宋体" w:cs="宋体"/>
                <w:sz w:val="24"/>
                <w:lang w:eastAsia="zh-CN"/>
              </w:rPr>
            </w:pPr>
            <w:r>
              <w:rPr>
                <w:rFonts w:hint="eastAsia" w:ascii="宋体" w:hAnsi="宋体" w:eastAsia="宋体" w:cs="宋体"/>
                <w:sz w:val="24"/>
                <w:lang w:eastAsia="zh-CN"/>
              </w:rPr>
              <w:t>法定代表人</w:t>
            </w:r>
          </w:p>
        </w:tc>
        <w:tc>
          <w:tcPr>
            <w:tcW w:w="2340" w:type="dxa"/>
            <w:vAlign w:val="center"/>
          </w:tcPr>
          <w:p w14:paraId="386DC83C">
            <w:pPr>
              <w:spacing w:line="360" w:lineRule="auto"/>
              <w:jc w:val="center"/>
              <w:rPr>
                <w:rFonts w:hint="eastAsia" w:ascii="宋体" w:hAnsi="宋体" w:eastAsia="宋体" w:cs="宋体"/>
                <w:sz w:val="24"/>
              </w:rPr>
            </w:pPr>
            <w:r>
              <w:rPr>
                <w:rFonts w:hint="eastAsia" w:ascii="宋体" w:hAnsi="宋体" w:eastAsia="宋体" w:cs="宋体"/>
                <w:sz w:val="24"/>
              </w:rPr>
              <w:t>日  期</w:t>
            </w:r>
          </w:p>
        </w:tc>
      </w:tr>
      <w:tr w14:paraId="4AE73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643C61B5">
            <w:pPr>
              <w:spacing w:line="360" w:lineRule="auto"/>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5C7B73CA">
            <w:pPr>
              <w:spacing w:line="360" w:lineRule="auto"/>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4C6F464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2CE717CD">
      <w:pPr>
        <w:spacing w:line="360" w:lineRule="auto"/>
        <w:rPr>
          <w:rFonts w:hint="eastAsia" w:ascii="宋体" w:hAnsi="宋体" w:eastAsia="宋体" w:cs="宋体"/>
          <w:b/>
          <w:sz w:val="42"/>
          <w:szCs w:val="42"/>
        </w:rPr>
      </w:pPr>
    </w:p>
    <w:p w14:paraId="01EB2BC7">
      <w:pPr>
        <w:pStyle w:val="4"/>
        <w:bidi w:val="0"/>
        <w:spacing w:line="360" w:lineRule="auto"/>
        <w:jc w:val="center"/>
        <w:rPr>
          <w:rFonts w:hint="eastAsia"/>
        </w:rPr>
      </w:pPr>
      <w:r>
        <w:rPr>
          <w:rFonts w:hint="eastAsia"/>
        </w:rPr>
        <w:t>承诺书Ⅲ</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414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8E745AB">
            <w:pPr>
              <w:spacing w:line="360" w:lineRule="auto"/>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z w:val="24"/>
                <w:lang w:eastAsia="zh-CN"/>
              </w:rPr>
              <w:t>陕西泓祥兴顺工程项目管理有限公司</w:t>
            </w:r>
          </w:p>
        </w:tc>
      </w:tr>
      <w:tr w14:paraId="36E18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001D869">
            <w:pPr>
              <w:spacing w:line="360" w:lineRule="auto"/>
              <w:ind w:firstLine="480" w:firstLineChars="200"/>
              <w:rPr>
                <w:rFonts w:hint="eastAsia" w:ascii="宋体" w:hAnsi="宋体" w:eastAsia="宋体" w:cs="宋体"/>
                <w:sz w:val="24"/>
              </w:rPr>
            </w:pPr>
            <w:r>
              <w:rPr>
                <w:rFonts w:hint="eastAsia" w:ascii="宋体" w:hAnsi="宋体" w:eastAsia="宋体" w:cs="宋体"/>
                <w:sz w:val="24"/>
              </w:rPr>
              <w:t>作为参加贵公司组织的招标采购项目的投标单位，本公司郑重申告并承诺：近三年受到有关行政主管部门的行政处理、不良行为记录为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790AF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364E81D">
            <w:pPr>
              <w:spacing w:line="360" w:lineRule="auto"/>
              <w:jc w:val="center"/>
              <w:rPr>
                <w:rFonts w:hint="eastAsia" w:ascii="宋体" w:hAnsi="宋体" w:eastAsia="宋体" w:cs="宋体"/>
                <w:sz w:val="24"/>
              </w:rPr>
            </w:pPr>
            <w:r>
              <w:rPr>
                <w:rFonts w:hint="eastAsia" w:ascii="宋体" w:hAnsi="宋体" w:eastAsia="宋体" w:cs="宋体"/>
                <w:sz w:val="24"/>
              </w:rPr>
              <w:t>投标单位</w:t>
            </w:r>
          </w:p>
        </w:tc>
        <w:tc>
          <w:tcPr>
            <w:tcW w:w="3420" w:type="dxa"/>
            <w:vAlign w:val="center"/>
          </w:tcPr>
          <w:p w14:paraId="7575A0B2">
            <w:pPr>
              <w:spacing w:line="360" w:lineRule="auto"/>
              <w:jc w:val="center"/>
              <w:rPr>
                <w:rFonts w:hint="eastAsia" w:ascii="宋体" w:hAnsi="宋体" w:eastAsia="宋体" w:cs="宋体"/>
                <w:sz w:val="24"/>
                <w:lang w:eastAsia="zh-CN"/>
              </w:rPr>
            </w:pPr>
            <w:r>
              <w:rPr>
                <w:rFonts w:hint="eastAsia" w:ascii="宋体" w:hAnsi="宋体" w:eastAsia="宋体" w:cs="宋体"/>
                <w:sz w:val="24"/>
                <w:lang w:eastAsia="zh-CN"/>
              </w:rPr>
              <w:t>法定代表人</w:t>
            </w:r>
          </w:p>
        </w:tc>
        <w:tc>
          <w:tcPr>
            <w:tcW w:w="2340" w:type="dxa"/>
            <w:vAlign w:val="center"/>
          </w:tcPr>
          <w:p w14:paraId="26D353C2">
            <w:pPr>
              <w:spacing w:line="360" w:lineRule="auto"/>
              <w:jc w:val="center"/>
              <w:rPr>
                <w:rFonts w:hint="eastAsia" w:ascii="宋体" w:hAnsi="宋体" w:eastAsia="宋体" w:cs="宋体"/>
                <w:sz w:val="24"/>
              </w:rPr>
            </w:pPr>
            <w:r>
              <w:rPr>
                <w:rFonts w:hint="eastAsia" w:ascii="宋体" w:hAnsi="宋体" w:eastAsia="宋体" w:cs="宋体"/>
                <w:sz w:val="24"/>
              </w:rPr>
              <w:t>日  期</w:t>
            </w:r>
          </w:p>
        </w:tc>
      </w:tr>
      <w:tr w14:paraId="552A5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7E54A75D">
            <w:pPr>
              <w:spacing w:line="360" w:lineRule="auto"/>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1732BB29">
            <w:pPr>
              <w:spacing w:line="360" w:lineRule="auto"/>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54D5E62">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5D7D1A1">
      <w:pPr>
        <w:spacing w:line="360" w:lineRule="auto"/>
        <w:rPr>
          <w:rFonts w:hint="eastAsia" w:ascii="宋体" w:hAnsi="宋体" w:eastAsia="宋体" w:cs="宋体"/>
          <w:b/>
          <w:sz w:val="32"/>
          <w:szCs w:val="32"/>
        </w:rPr>
      </w:pPr>
    </w:p>
    <w:p w14:paraId="78263F22">
      <w:pPr>
        <w:pStyle w:val="4"/>
        <w:bidi w:val="0"/>
        <w:spacing w:line="360" w:lineRule="auto"/>
        <w:jc w:val="center"/>
        <w:rPr>
          <w:rFonts w:hint="eastAsia" w:ascii="宋体" w:hAnsi="宋体" w:eastAsia="宋体" w:cs="宋体"/>
          <w:b/>
          <w:sz w:val="32"/>
          <w:szCs w:val="32"/>
        </w:rPr>
      </w:pPr>
      <w:r>
        <w:rPr>
          <w:rFonts w:hint="eastAsia" w:ascii="宋体" w:hAnsi="宋体" w:eastAsia="宋体" w:cs="宋体"/>
          <w:b/>
          <w:sz w:val="32"/>
          <w:szCs w:val="32"/>
        </w:rPr>
        <w:br w:type="page"/>
      </w:r>
      <w:r>
        <w:rPr>
          <w:rFonts w:hint="eastAsia" w:ascii="宋体" w:hAnsi="宋体" w:eastAsia="宋体" w:cs="宋体"/>
          <w:b/>
          <w:sz w:val="32"/>
          <w:szCs w:val="32"/>
        </w:rPr>
        <w:t>承诺书Ⅳ</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2FFA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46769CA">
            <w:pPr>
              <w:spacing w:line="360" w:lineRule="auto"/>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z w:val="24"/>
                <w:lang w:eastAsia="zh-CN"/>
              </w:rPr>
              <w:t>陕西泓祥兴顺工程项目管理有限公司</w:t>
            </w:r>
          </w:p>
        </w:tc>
      </w:tr>
      <w:tr w14:paraId="694DE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151E1825">
            <w:pPr>
              <w:spacing w:line="360" w:lineRule="auto"/>
              <w:ind w:firstLine="480" w:firstLineChars="200"/>
              <w:rPr>
                <w:rFonts w:hint="eastAsia" w:ascii="宋体" w:hAnsi="宋体" w:eastAsia="宋体" w:cs="宋体"/>
                <w:sz w:val="24"/>
              </w:rPr>
            </w:pPr>
            <w:r>
              <w:rPr>
                <w:rFonts w:hint="eastAsia" w:ascii="宋体" w:hAnsi="宋体" w:eastAsia="宋体" w:cs="宋体"/>
                <w:sz w:val="24"/>
              </w:rPr>
              <w:t>作为参加贵公司组织的招标采购项目的投标单位，本公司郑重申告：近三年因项目质量问题的不法行为记录为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3308B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45EC28B6">
            <w:pPr>
              <w:spacing w:line="360" w:lineRule="auto"/>
              <w:jc w:val="center"/>
              <w:rPr>
                <w:rFonts w:hint="eastAsia" w:ascii="宋体" w:hAnsi="宋体" w:eastAsia="宋体" w:cs="宋体"/>
                <w:sz w:val="24"/>
              </w:rPr>
            </w:pPr>
            <w:r>
              <w:rPr>
                <w:rFonts w:hint="eastAsia" w:ascii="宋体" w:hAnsi="宋体" w:eastAsia="宋体" w:cs="宋体"/>
                <w:sz w:val="24"/>
              </w:rPr>
              <w:t>投标单位</w:t>
            </w:r>
          </w:p>
        </w:tc>
        <w:tc>
          <w:tcPr>
            <w:tcW w:w="3420" w:type="dxa"/>
            <w:vAlign w:val="center"/>
          </w:tcPr>
          <w:p w14:paraId="22CB2C4B">
            <w:pPr>
              <w:spacing w:line="360" w:lineRule="auto"/>
              <w:jc w:val="center"/>
              <w:rPr>
                <w:rFonts w:hint="eastAsia" w:ascii="宋体" w:hAnsi="宋体" w:eastAsia="宋体" w:cs="宋体"/>
                <w:sz w:val="24"/>
                <w:lang w:eastAsia="zh-CN"/>
              </w:rPr>
            </w:pPr>
            <w:r>
              <w:rPr>
                <w:rFonts w:hint="eastAsia" w:ascii="宋体" w:hAnsi="宋体" w:eastAsia="宋体" w:cs="宋体"/>
                <w:sz w:val="24"/>
                <w:lang w:eastAsia="zh-CN"/>
              </w:rPr>
              <w:t>法定代表人</w:t>
            </w:r>
          </w:p>
        </w:tc>
        <w:tc>
          <w:tcPr>
            <w:tcW w:w="2340" w:type="dxa"/>
            <w:vAlign w:val="center"/>
          </w:tcPr>
          <w:p w14:paraId="6C3EFF89">
            <w:pPr>
              <w:spacing w:line="360" w:lineRule="auto"/>
              <w:jc w:val="center"/>
              <w:rPr>
                <w:rFonts w:hint="eastAsia" w:ascii="宋体" w:hAnsi="宋体" w:eastAsia="宋体" w:cs="宋体"/>
                <w:sz w:val="24"/>
              </w:rPr>
            </w:pPr>
            <w:r>
              <w:rPr>
                <w:rFonts w:hint="eastAsia" w:ascii="宋体" w:hAnsi="宋体" w:eastAsia="宋体" w:cs="宋体"/>
                <w:sz w:val="24"/>
              </w:rPr>
              <w:t>日   期</w:t>
            </w:r>
          </w:p>
        </w:tc>
      </w:tr>
      <w:tr w14:paraId="2C1F4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9AC492D">
            <w:pPr>
              <w:spacing w:line="360" w:lineRule="auto"/>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1D4B0A89">
            <w:pPr>
              <w:spacing w:line="360" w:lineRule="auto"/>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4EA6D7B1">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4A50282C">
      <w:pPr>
        <w:spacing w:line="360" w:lineRule="auto"/>
        <w:ind w:right="480"/>
        <w:rPr>
          <w:rFonts w:hint="eastAsia" w:ascii="宋体" w:hAnsi="宋体" w:eastAsia="宋体" w:cs="宋体"/>
          <w:sz w:val="24"/>
          <w:szCs w:val="28"/>
        </w:rPr>
      </w:pPr>
    </w:p>
    <w:p w14:paraId="2829918E">
      <w:pPr>
        <w:pStyle w:val="4"/>
        <w:bidi w:val="0"/>
        <w:spacing w:line="360" w:lineRule="auto"/>
        <w:rPr>
          <w:rFonts w:hint="eastAsia" w:ascii="宋体" w:hAnsi="宋体" w:eastAsia="宋体" w:cs="宋体"/>
          <w:b/>
          <w:sz w:val="32"/>
          <w:szCs w:val="32"/>
        </w:rPr>
      </w:pPr>
      <w:r>
        <w:rPr>
          <w:rFonts w:hint="eastAsia" w:ascii="宋体" w:hAnsi="宋体" w:eastAsia="宋体" w:cs="宋体"/>
          <w:b/>
          <w:sz w:val="32"/>
          <w:szCs w:val="32"/>
        </w:rPr>
        <w:t>承诺书</w:t>
      </w:r>
      <w:r>
        <w:rPr>
          <w:rFonts w:hint="eastAsia" w:ascii="宋体" w:hAnsi="宋体" w:eastAsia="宋体" w:cs="宋体"/>
          <w:b/>
          <w:sz w:val="36"/>
          <w:szCs w:val="36"/>
        </w:rPr>
        <w:fldChar w:fldCharType="begin"/>
      </w:r>
      <w:r>
        <w:rPr>
          <w:rFonts w:hint="eastAsia" w:ascii="宋体" w:hAnsi="宋体" w:eastAsia="宋体" w:cs="宋体"/>
          <w:b/>
          <w:sz w:val="36"/>
          <w:szCs w:val="36"/>
        </w:rPr>
        <w:instrText xml:space="preserve"> = 5 \* ROMAN </w:instrText>
      </w:r>
      <w:r>
        <w:rPr>
          <w:rFonts w:hint="eastAsia" w:ascii="宋体" w:hAnsi="宋体" w:eastAsia="宋体" w:cs="宋体"/>
          <w:b/>
          <w:sz w:val="36"/>
          <w:szCs w:val="36"/>
        </w:rPr>
        <w:fldChar w:fldCharType="separate"/>
      </w:r>
      <w:r>
        <w:rPr>
          <w:rFonts w:hint="eastAsia" w:ascii="宋体" w:hAnsi="宋体" w:eastAsia="宋体" w:cs="宋体"/>
          <w:b/>
          <w:sz w:val="36"/>
          <w:szCs w:val="36"/>
        </w:rPr>
        <w:t>V</w:t>
      </w:r>
      <w:r>
        <w:rPr>
          <w:rFonts w:hint="eastAsia" w:ascii="宋体" w:hAnsi="宋体" w:eastAsia="宋体" w:cs="宋体"/>
          <w:b/>
          <w:sz w:val="36"/>
          <w:szCs w:val="36"/>
        </w:rPr>
        <w:fldChar w:fldCharType="end"/>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707D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EA0F08E">
            <w:pPr>
              <w:spacing w:line="360" w:lineRule="auto"/>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z w:val="24"/>
                <w:lang w:eastAsia="zh-CN"/>
              </w:rPr>
              <w:t>陕西泓祥兴顺工程项目管理有限公司</w:t>
            </w:r>
          </w:p>
        </w:tc>
      </w:tr>
      <w:tr w14:paraId="2FB6C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CA0191C">
            <w:pPr>
              <w:spacing w:line="360" w:lineRule="auto"/>
              <w:ind w:firstLine="480" w:firstLineChars="200"/>
              <w:rPr>
                <w:rFonts w:hint="eastAsia" w:ascii="宋体" w:hAnsi="宋体" w:eastAsia="宋体" w:cs="宋体"/>
                <w:sz w:val="24"/>
              </w:rPr>
            </w:pPr>
            <w:r>
              <w:rPr>
                <w:rFonts w:hint="eastAsia" w:ascii="宋体" w:hAnsi="宋体" w:eastAsia="宋体" w:cs="宋体"/>
                <w:sz w:val="24"/>
              </w:rPr>
              <w:t>作为参加贵公司组织的招标采购项目的投标单位，本公司承诺：参加本次投标提交的所有资质证明文件及业绩证明是真实的、有效的，如有隐瞒实情，愿承担一切责任及后果。</w:t>
            </w:r>
          </w:p>
        </w:tc>
      </w:tr>
      <w:tr w14:paraId="78901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6B1E8F30">
            <w:pPr>
              <w:spacing w:line="360" w:lineRule="auto"/>
              <w:jc w:val="center"/>
              <w:rPr>
                <w:rFonts w:hint="eastAsia" w:ascii="宋体" w:hAnsi="宋体" w:eastAsia="宋体" w:cs="宋体"/>
                <w:sz w:val="24"/>
              </w:rPr>
            </w:pPr>
            <w:r>
              <w:rPr>
                <w:rFonts w:hint="eastAsia" w:ascii="宋体" w:hAnsi="宋体" w:eastAsia="宋体" w:cs="宋体"/>
                <w:sz w:val="24"/>
              </w:rPr>
              <w:t>投标单位</w:t>
            </w:r>
          </w:p>
        </w:tc>
        <w:tc>
          <w:tcPr>
            <w:tcW w:w="3420" w:type="dxa"/>
            <w:vAlign w:val="center"/>
          </w:tcPr>
          <w:p w14:paraId="46422960">
            <w:pPr>
              <w:spacing w:line="360" w:lineRule="auto"/>
              <w:jc w:val="center"/>
              <w:rPr>
                <w:rFonts w:hint="eastAsia" w:ascii="宋体" w:hAnsi="宋体" w:eastAsia="宋体" w:cs="宋体"/>
                <w:sz w:val="24"/>
                <w:lang w:eastAsia="zh-CN"/>
              </w:rPr>
            </w:pPr>
            <w:r>
              <w:rPr>
                <w:rFonts w:hint="eastAsia" w:ascii="宋体" w:hAnsi="宋体" w:eastAsia="宋体" w:cs="宋体"/>
                <w:sz w:val="24"/>
                <w:lang w:eastAsia="zh-CN"/>
              </w:rPr>
              <w:t>法定代表人</w:t>
            </w:r>
          </w:p>
        </w:tc>
        <w:tc>
          <w:tcPr>
            <w:tcW w:w="2340" w:type="dxa"/>
            <w:vAlign w:val="center"/>
          </w:tcPr>
          <w:p w14:paraId="6966CCBA">
            <w:pPr>
              <w:spacing w:line="360" w:lineRule="auto"/>
              <w:jc w:val="center"/>
              <w:rPr>
                <w:rFonts w:hint="eastAsia" w:ascii="宋体" w:hAnsi="宋体" w:eastAsia="宋体" w:cs="宋体"/>
                <w:sz w:val="24"/>
              </w:rPr>
            </w:pPr>
            <w:r>
              <w:rPr>
                <w:rFonts w:hint="eastAsia" w:ascii="宋体" w:hAnsi="宋体" w:eastAsia="宋体" w:cs="宋体"/>
                <w:sz w:val="24"/>
              </w:rPr>
              <w:t>日   期</w:t>
            </w:r>
          </w:p>
        </w:tc>
      </w:tr>
      <w:tr w14:paraId="53931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4EF0EEA">
            <w:pPr>
              <w:spacing w:line="360" w:lineRule="auto"/>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3EA47D17">
            <w:pPr>
              <w:spacing w:line="360" w:lineRule="auto"/>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4AAA7E21">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737AA1C1">
      <w:pPr>
        <w:spacing w:line="360" w:lineRule="auto"/>
        <w:jc w:val="center"/>
        <w:rPr>
          <w:rFonts w:hint="eastAsia" w:ascii="宋体" w:hAnsi="宋体" w:eastAsia="宋体" w:cs="宋体"/>
          <w:bCs w:val="0"/>
          <w:sz w:val="28"/>
          <w:szCs w:val="28"/>
          <w:lang w:val="en-US" w:eastAsia="zh-CN"/>
        </w:rPr>
      </w:pPr>
    </w:p>
    <w:p w14:paraId="5F249551">
      <w:pPr>
        <w:spacing w:line="360" w:lineRule="auto"/>
        <w:ind w:right="480"/>
        <w:jc w:val="center"/>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六、响应方案</w:t>
      </w:r>
    </w:p>
    <w:p w14:paraId="6BE52F46">
      <w:pPr>
        <w:adjustRightInd w:val="0"/>
        <w:spacing w:line="360" w:lineRule="auto"/>
        <w:ind w:firstLine="482" w:firstLineChars="200"/>
        <w:textAlignment w:val="baseline"/>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投标人应按照</w:t>
      </w:r>
      <w:r>
        <w:rPr>
          <w:rFonts w:hint="eastAsia" w:ascii="宋体" w:hAnsi="宋体" w:eastAsia="宋体" w:cs="宋体"/>
          <w:b/>
          <w:bCs/>
          <w:color w:val="auto"/>
          <w:sz w:val="24"/>
          <w:highlight w:val="none"/>
          <w:lang w:val="en-US" w:eastAsia="zh-CN"/>
        </w:rPr>
        <w:t>招标</w:t>
      </w:r>
      <w:r>
        <w:rPr>
          <w:rFonts w:hint="eastAsia" w:ascii="宋体" w:hAnsi="宋体" w:eastAsia="宋体" w:cs="宋体"/>
          <w:b/>
          <w:bCs/>
          <w:color w:val="auto"/>
          <w:sz w:val="24"/>
          <w:highlight w:val="none"/>
        </w:rPr>
        <w:t>文件要求，根据“第五章 采购内容</w:t>
      </w:r>
      <w:r>
        <w:rPr>
          <w:rFonts w:hint="eastAsia" w:ascii="宋体" w:hAnsi="宋体" w:eastAsia="宋体" w:cs="宋体"/>
          <w:b/>
          <w:bCs/>
          <w:color w:val="auto"/>
          <w:sz w:val="24"/>
          <w:highlight w:val="none"/>
          <w:lang w:val="en-US" w:eastAsia="zh-CN"/>
        </w:rPr>
        <w:t>及要求</w:t>
      </w:r>
      <w:r>
        <w:rPr>
          <w:rFonts w:hint="eastAsia" w:ascii="宋体" w:hAnsi="宋体" w:eastAsia="宋体" w:cs="宋体"/>
          <w:b/>
          <w:bCs/>
          <w:color w:val="auto"/>
          <w:sz w:val="24"/>
          <w:highlight w:val="none"/>
        </w:rPr>
        <w:t>”内容做出全面响应。由投标人自行编制。</w:t>
      </w:r>
    </w:p>
    <w:p w14:paraId="2A6B9D63">
      <w:pPr>
        <w:spacing w:line="360" w:lineRule="auto"/>
        <w:jc w:val="center"/>
        <w:rPr>
          <w:rFonts w:hint="eastAsia" w:ascii="宋体" w:hAnsi="宋体" w:eastAsia="宋体" w:cs="宋体"/>
          <w:b/>
          <w:sz w:val="32"/>
          <w:szCs w:val="32"/>
        </w:rPr>
      </w:pPr>
    </w:p>
    <w:p w14:paraId="7365B279">
      <w:pPr>
        <w:pStyle w:val="7"/>
        <w:spacing w:line="360" w:lineRule="auto"/>
        <w:rPr>
          <w:rFonts w:hint="eastAsia" w:ascii="宋体" w:hAnsi="宋体" w:eastAsia="宋体" w:cs="宋体"/>
          <w:b/>
          <w:sz w:val="32"/>
          <w:szCs w:val="32"/>
        </w:rPr>
      </w:pPr>
    </w:p>
    <w:p w14:paraId="7D186B6C">
      <w:pPr>
        <w:pStyle w:val="7"/>
        <w:spacing w:line="360" w:lineRule="auto"/>
        <w:rPr>
          <w:rFonts w:hint="eastAsia" w:ascii="宋体" w:hAnsi="宋体" w:eastAsia="宋体" w:cs="宋体"/>
          <w:b/>
          <w:sz w:val="32"/>
          <w:szCs w:val="32"/>
        </w:rPr>
      </w:pPr>
    </w:p>
    <w:p w14:paraId="4D0A2AFB">
      <w:pPr>
        <w:pStyle w:val="7"/>
        <w:spacing w:line="360" w:lineRule="auto"/>
        <w:rPr>
          <w:rFonts w:hint="eastAsia" w:ascii="宋体" w:hAnsi="宋体" w:eastAsia="宋体" w:cs="宋体"/>
          <w:b/>
          <w:sz w:val="32"/>
          <w:szCs w:val="32"/>
        </w:rPr>
      </w:pPr>
    </w:p>
    <w:p w14:paraId="15BB4998">
      <w:pPr>
        <w:pStyle w:val="7"/>
        <w:spacing w:line="360" w:lineRule="auto"/>
        <w:rPr>
          <w:rFonts w:hint="eastAsia" w:ascii="宋体" w:hAnsi="宋体" w:eastAsia="宋体" w:cs="宋体"/>
          <w:b/>
          <w:sz w:val="32"/>
          <w:szCs w:val="32"/>
        </w:rPr>
      </w:pPr>
    </w:p>
    <w:p w14:paraId="59F0F42B">
      <w:pPr>
        <w:pStyle w:val="7"/>
        <w:spacing w:line="360" w:lineRule="auto"/>
        <w:rPr>
          <w:rFonts w:hint="eastAsia" w:ascii="宋体" w:hAnsi="宋体" w:eastAsia="宋体" w:cs="宋体"/>
          <w:b/>
          <w:sz w:val="32"/>
          <w:szCs w:val="32"/>
        </w:rPr>
      </w:pPr>
    </w:p>
    <w:p w14:paraId="43896A5D">
      <w:pPr>
        <w:pStyle w:val="9"/>
        <w:spacing w:line="360" w:lineRule="auto"/>
        <w:rPr>
          <w:rFonts w:hint="eastAsia" w:ascii="宋体" w:hAnsi="宋体" w:eastAsia="宋体" w:cs="宋体"/>
          <w:b/>
          <w:sz w:val="32"/>
          <w:szCs w:val="32"/>
        </w:rPr>
      </w:pPr>
    </w:p>
    <w:p w14:paraId="4EA56E24">
      <w:pPr>
        <w:spacing w:line="360" w:lineRule="auto"/>
        <w:rPr>
          <w:rFonts w:hint="eastAsia" w:ascii="宋体" w:hAnsi="宋体" w:eastAsia="宋体" w:cs="宋体"/>
          <w:b/>
          <w:sz w:val="32"/>
          <w:szCs w:val="32"/>
        </w:rPr>
      </w:pPr>
    </w:p>
    <w:p w14:paraId="270544FE">
      <w:pPr>
        <w:bidi w:val="0"/>
        <w:spacing w:line="360" w:lineRule="auto"/>
        <w:rPr>
          <w:rFonts w:hint="eastAsia"/>
        </w:rPr>
      </w:pPr>
    </w:p>
    <w:p w14:paraId="3DC72EBB">
      <w:pPr>
        <w:pStyle w:val="9"/>
        <w:spacing w:line="360" w:lineRule="auto"/>
        <w:rPr>
          <w:rFonts w:hint="eastAsia" w:ascii="宋体" w:hAnsi="宋体" w:eastAsia="宋体" w:cs="宋体"/>
          <w:b/>
          <w:sz w:val="32"/>
          <w:szCs w:val="32"/>
        </w:rPr>
      </w:pPr>
    </w:p>
    <w:p w14:paraId="15B816F5">
      <w:pPr>
        <w:spacing w:line="360" w:lineRule="auto"/>
        <w:rPr>
          <w:rFonts w:hint="eastAsia" w:ascii="宋体" w:hAnsi="宋体" w:eastAsia="宋体" w:cs="宋体"/>
          <w:b/>
          <w:sz w:val="32"/>
          <w:szCs w:val="32"/>
        </w:rPr>
      </w:pPr>
    </w:p>
    <w:p w14:paraId="0343C88C">
      <w:pPr>
        <w:pStyle w:val="9"/>
        <w:spacing w:line="360" w:lineRule="auto"/>
        <w:rPr>
          <w:rFonts w:hint="eastAsia" w:ascii="宋体" w:hAnsi="宋体" w:eastAsia="宋体" w:cs="宋体"/>
          <w:b/>
          <w:sz w:val="32"/>
          <w:szCs w:val="32"/>
        </w:rPr>
      </w:pPr>
    </w:p>
    <w:p w14:paraId="42045E30">
      <w:pPr>
        <w:spacing w:line="360" w:lineRule="auto"/>
        <w:rPr>
          <w:rFonts w:hint="eastAsia" w:ascii="宋体" w:hAnsi="宋体" w:eastAsia="宋体" w:cs="宋体"/>
          <w:b/>
          <w:sz w:val="32"/>
          <w:szCs w:val="32"/>
        </w:rPr>
      </w:pPr>
    </w:p>
    <w:p w14:paraId="513B8DE7">
      <w:pPr>
        <w:pStyle w:val="12"/>
        <w:spacing w:line="360" w:lineRule="auto"/>
        <w:rPr>
          <w:rFonts w:hint="eastAsia" w:ascii="宋体" w:hAnsi="宋体" w:eastAsia="宋体" w:cs="宋体"/>
          <w:b/>
          <w:sz w:val="32"/>
          <w:szCs w:val="32"/>
        </w:rPr>
      </w:pPr>
    </w:p>
    <w:p w14:paraId="16275256">
      <w:pPr>
        <w:pStyle w:val="13"/>
        <w:spacing w:line="360" w:lineRule="auto"/>
        <w:rPr>
          <w:rFonts w:hint="eastAsia" w:ascii="宋体" w:hAnsi="宋体" w:eastAsia="宋体" w:cs="宋体"/>
          <w:b/>
          <w:sz w:val="32"/>
          <w:szCs w:val="32"/>
        </w:rPr>
      </w:pPr>
    </w:p>
    <w:p w14:paraId="0228AE05">
      <w:pPr>
        <w:spacing w:line="360" w:lineRule="auto"/>
        <w:rPr>
          <w:rFonts w:hint="eastAsia" w:ascii="宋体" w:hAnsi="宋体" w:eastAsia="宋体" w:cs="宋体"/>
          <w:b/>
          <w:sz w:val="32"/>
          <w:szCs w:val="32"/>
        </w:rPr>
      </w:pPr>
    </w:p>
    <w:p w14:paraId="5A45A4FF">
      <w:pPr>
        <w:pStyle w:val="12"/>
        <w:spacing w:line="360" w:lineRule="auto"/>
        <w:rPr>
          <w:rFonts w:hint="eastAsia" w:ascii="宋体" w:hAnsi="宋体" w:eastAsia="宋体" w:cs="宋体"/>
          <w:b/>
          <w:sz w:val="32"/>
          <w:szCs w:val="32"/>
        </w:rPr>
      </w:pPr>
    </w:p>
    <w:p w14:paraId="43D5FCE0">
      <w:pPr>
        <w:pStyle w:val="13"/>
        <w:spacing w:line="360" w:lineRule="auto"/>
        <w:rPr>
          <w:rFonts w:hint="eastAsia" w:ascii="宋体" w:hAnsi="宋体" w:eastAsia="宋体" w:cs="宋体"/>
          <w:b/>
          <w:sz w:val="32"/>
          <w:szCs w:val="32"/>
        </w:rPr>
      </w:pPr>
    </w:p>
    <w:p w14:paraId="4FEBD068">
      <w:pPr>
        <w:spacing w:line="360" w:lineRule="auto"/>
        <w:rPr>
          <w:rFonts w:hint="eastAsia" w:ascii="宋体" w:hAnsi="宋体" w:eastAsia="宋体" w:cs="宋体"/>
          <w:b/>
          <w:sz w:val="32"/>
          <w:szCs w:val="32"/>
        </w:rPr>
      </w:pPr>
    </w:p>
    <w:bookmarkEnd w:id="262"/>
    <w:bookmarkEnd w:id="294"/>
    <w:bookmarkEnd w:id="295"/>
    <w:bookmarkEnd w:id="296"/>
    <w:p w14:paraId="05390A1F">
      <w:pPr>
        <w:pStyle w:val="4"/>
        <w:bidi w:val="0"/>
        <w:spacing w:line="360" w:lineRule="auto"/>
        <w:rPr>
          <w:rFonts w:hint="eastAsia" w:ascii="宋体" w:hAnsi="宋体" w:eastAsia="宋体" w:cs="宋体"/>
          <w:b/>
          <w:bCs/>
          <w:kern w:val="0"/>
          <w:sz w:val="28"/>
          <w:szCs w:val="28"/>
          <w:highlight w:val="none"/>
        </w:rPr>
      </w:pPr>
      <w:bookmarkStart w:id="297" w:name="_Toc24920"/>
      <w:bookmarkStart w:id="298" w:name="_Toc17685"/>
      <w:bookmarkStart w:id="299" w:name="_Toc27463"/>
      <w:r>
        <w:rPr>
          <w:rFonts w:hint="eastAsia" w:ascii="宋体" w:hAnsi="宋体" w:eastAsia="宋体" w:cs="宋体"/>
          <w:b/>
          <w:sz w:val="32"/>
          <w:szCs w:val="32"/>
          <w:lang w:eastAsia="zh-CN"/>
        </w:rPr>
        <w:t>附件</w:t>
      </w:r>
      <w:r>
        <w:rPr>
          <w:rFonts w:hint="eastAsia" w:ascii="宋体" w:hAnsi="宋体" w:eastAsia="宋体" w:cs="宋体"/>
          <w:b/>
          <w:sz w:val="32"/>
          <w:szCs w:val="32"/>
          <w:lang w:val="en-US" w:eastAsia="zh-CN"/>
        </w:rPr>
        <w:t xml:space="preserve">1 </w:t>
      </w:r>
      <w:bookmarkEnd w:id="297"/>
      <w:bookmarkEnd w:id="298"/>
      <w:bookmarkStart w:id="300" w:name="_Toc22554"/>
      <w:bookmarkStart w:id="301" w:name="_Toc3000"/>
      <w:r>
        <w:rPr>
          <w:rFonts w:hint="eastAsia" w:ascii="宋体" w:hAnsi="宋体" w:eastAsia="宋体" w:cs="宋体"/>
          <w:b/>
          <w:bCs/>
          <w:kern w:val="0"/>
          <w:sz w:val="28"/>
          <w:szCs w:val="28"/>
          <w:highlight w:val="none"/>
          <w:lang w:val="en-US" w:eastAsia="zh-CN"/>
        </w:rPr>
        <w:t>中小企业声明函</w:t>
      </w:r>
      <w:bookmarkEnd w:id="300"/>
      <w:bookmarkEnd w:id="301"/>
      <w:r>
        <w:rPr>
          <w:rFonts w:hint="eastAsia" w:ascii="宋体" w:hAnsi="宋体" w:eastAsia="宋体" w:cs="宋体"/>
          <w:b/>
          <w:sz w:val="32"/>
          <w:szCs w:val="32"/>
          <w:lang w:val="zh-CN"/>
        </w:rPr>
        <w:t>（</w:t>
      </w:r>
      <w:r>
        <w:rPr>
          <w:rFonts w:hint="eastAsia" w:ascii="宋体" w:hAnsi="宋体" w:eastAsia="宋体" w:cs="宋体"/>
          <w:b/>
          <w:sz w:val="32"/>
          <w:szCs w:val="32"/>
          <w:lang w:val="en-US" w:eastAsia="zh-CN"/>
        </w:rPr>
        <w:t>服务</w:t>
      </w:r>
      <w:r>
        <w:rPr>
          <w:rFonts w:hint="eastAsia" w:ascii="宋体" w:hAnsi="宋体" w:eastAsia="宋体" w:cs="宋体"/>
          <w:b/>
          <w:sz w:val="32"/>
          <w:szCs w:val="32"/>
          <w:lang w:val="zh-CN"/>
        </w:rPr>
        <w:t>）</w:t>
      </w:r>
    </w:p>
    <w:p w14:paraId="0D5262E7">
      <w:pPr>
        <w:pStyle w:val="4"/>
        <w:jc w:val="center"/>
        <w:rPr>
          <w:rFonts w:hint="eastAsia"/>
          <w:color w:val="auto"/>
        </w:rPr>
      </w:pPr>
      <w:bookmarkStart w:id="302" w:name="_Toc23949"/>
      <w:bookmarkStart w:id="303" w:name="_Toc14083"/>
      <w:bookmarkStart w:id="304" w:name="_Toc32408"/>
      <w:bookmarkStart w:id="305" w:name="_Toc19190"/>
      <w:r>
        <w:rPr>
          <w:rFonts w:hint="eastAsia"/>
          <w:color w:val="auto"/>
        </w:rPr>
        <w:t>中小企业声明函（服务）</w:t>
      </w:r>
      <w:bookmarkEnd w:id="302"/>
      <w:bookmarkEnd w:id="303"/>
      <w:bookmarkEnd w:id="304"/>
      <w:bookmarkEnd w:id="305"/>
    </w:p>
    <w:p w14:paraId="395BF644">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本公司（联合体）郑重声明，根据《政府采购促进中小企业发展管理办法》（财库﹝2020﹞46 号）的规定，本公司 （联合体）参加</w:t>
      </w:r>
      <w:r>
        <w:rPr>
          <w:rFonts w:hint="eastAsia" w:ascii="宋体" w:hAnsi="宋体" w:cs="宋体"/>
          <w:color w:val="auto"/>
          <w:kern w:val="0"/>
          <w:sz w:val="24"/>
          <w:szCs w:val="24"/>
          <w:u w:val="single"/>
          <w:lang w:bidi="ar"/>
        </w:rPr>
        <w:t>（单位名称）</w:t>
      </w:r>
      <w:r>
        <w:rPr>
          <w:rFonts w:hint="eastAsia" w:ascii="宋体" w:hAnsi="宋体" w:cs="宋体"/>
          <w:color w:val="auto"/>
          <w:kern w:val="0"/>
          <w:sz w:val="24"/>
          <w:szCs w:val="24"/>
          <w:lang w:bidi="ar"/>
        </w:rPr>
        <w:t>的</w:t>
      </w:r>
      <w:r>
        <w:rPr>
          <w:rFonts w:hint="eastAsia" w:ascii="宋体" w:hAnsi="宋体" w:cs="宋体"/>
          <w:color w:val="auto"/>
          <w:kern w:val="0"/>
          <w:sz w:val="24"/>
          <w:szCs w:val="24"/>
          <w:u w:val="single"/>
          <w:lang w:bidi="ar"/>
        </w:rPr>
        <w:t>（项目名称）</w:t>
      </w:r>
      <w:r>
        <w:rPr>
          <w:rFonts w:hint="eastAsia" w:ascii="宋体" w:hAnsi="宋体" w:cs="宋体"/>
          <w:color w:val="auto"/>
          <w:kern w:val="0"/>
          <w:sz w:val="24"/>
          <w:szCs w:val="24"/>
          <w:lang w:bidi="ar"/>
        </w:rPr>
        <w:t>采购活动，工程的施工单位全部为符合政策要求的中小企业（或者：服务全部由符合政策要求的中小企业承接）。相关企业（含联合体中的中小企业、签订分包意向协议的中小企业）的具体情况如下：</w:t>
      </w:r>
    </w:p>
    <w:p w14:paraId="2C5DD69E">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 xml:space="preserve">1. </w:t>
      </w:r>
      <w:r>
        <w:rPr>
          <w:rFonts w:hint="eastAsia" w:ascii="宋体" w:hAnsi="宋体" w:cs="宋体"/>
          <w:color w:val="auto"/>
          <w:kern w:val="0"/>
          <w:sz w:val="24"/>
          <w:szCs w:val="24"/>
          <w:u w:val="single"/>
          <w:lang w:bidi="ar"/>
        </w:rPr>
        <w:t xml:space="preserve">（标的名称） </w:t>
      </w:r>
      <w:r>
        <w:rPr>
          <w:rFonts w:hint="eastAsia" w:ascii="宋体" w:hAnsi="宋体" w:cs="宋体"/>
          <w:color w:val="auto"/>
          <w:kern w:val="0"/>
          <w:sz w:val="24"/>
          <w:szCs w:val="24"/>
          <w:lang w:bidi="ar"/>
        </w:rPr>
        <w:t>，属于</w:t>
      </w:r>
      <w:r>
        <w:rPr>
          <w:rFonts w:hint="eastAsia" w:ascii="宋体" w:hAnsi="宋体" w:cs="宋体"/>
          <w:color w:val="auto"/>
          <w:kern w:val="0"/>
          <w:sz w:val="24"/>
          <w:szCs w:val="24"/>
          <w:u w:val="single"/>
          <w:lang w:bidi="ar"/>
        </w:rPr>
        <w:t>（采购文件中明确的所属行业）</w:t>
      </w:r>
      <w:r>
        <w:rPr>
          <w:rFonts w:hint="eastAsia" w:ascii="宋体" w:hAnsi="宋体" w:cs="宋体"/>
          <w:color w:val="auto"/>
          <w:kern w:val="0"/>
          <w:sz w:val="24"/>
          <w:szCs w:val="24"/>
          <w:lang w:bidi="ar"/>
        </w:rPr>
        <w:t>； 承建（承接）企业为</w:t>
      </w:r>
      <w:r>
        <w:rPr>
          <w:rFonts w:hint="eastAsia" w:ascii="宋体" w:hAnsi="宋体" w:cs="宋体"/>
          <w:color w:val="auto"/>
          <w:kern w:val="0"/>
          <w:sz w:val="24"/>
          <w:szCs w:val="24"/>
          <w:u w:val="single"/>
          <w:lang w:bidi="ar"/>
        </w:rPr>
        <w:t>（企业名称）</w:t>
      </w:r>
      <w:r>
        <w:rPr>
          <w:rFonts w:hint="eastAsia" w:ascii="宋体" w:hAnsi="宋体" w:cs="宋体"/>
          <w:color w:val="auto"/>
          <w:kern w:val="0"/>
          <w:sz w:val="24"/>
          <w:szCs w:val="24"/>
          <w:lang w:bidi="ar"/>
        </w:rPr>
        <w:t>，从业人员</w:t>
      </w:r>
      <w:r>
        <w:rPr>
          <w:rFonts w:hint="eastAsia" w:ascii="宋体" w:hAnsi="宋体" w:cs="宋体"/>
          <w:color w:val="auto"/>
          <w:kern w:val="0"/>
          <w:sz w:val="24"/>
          <w:szCs w:val="24"/>
          <w:u w:val="single"/>
          <w:lang w:bidi="ar"/>
        </w:rPr>
        <w:t xml:space="preserve">     </w:t>
      </w:r>
      <w:r>
        <w:rPr>
          <w:rFonts w:hint="eastAsia" w:ascii="宋体" w:hAnsi="宋体" w:cs="宋体"/>
          <w:color w:val="auto"/>
          <w:kern w:val="0"/>
          <w:sz w:val="24"/>
          <w:szCs w:val="24"/>
          <w:lang w:bidi="ar"/>
        </w:rPr>
        <w:t>人，营业收入为</w:t>
      </w:r>
      <w:r>
        <w:rPr>
          <w:rFonts w:hint="eastAsia" w:ascii="宋体" w:hAnsi="宋体" w:cs="宋体"/>
          <w:color w:val="auto"/>
          <w:kern w:val="0"/>
          <w:sz w:val="24"/>
          <w:szCs w:val="24"/>
          <w:u w:val="single"/>
          <w:lang w:bidi="ar"/>
        </w:rPr>
        <w:t xml:space="preserve">    </w:t>
      </w:r>
      <w:r>
        <w:rPr>
          <w:rFonts w:hint="eastAsia" w:ascii="宋体" w:hAnsi="宋体" w:cs="宋体"/>
          <w:color w:val="auto"/>
          <w:kern w:val="0"/>
          <w:sz w:val="24"/>
          <w:szCs w:val="24"/>
          <w:lang w:bidi="ar"/>
        </w:rPr>
        <w:t>万元，资产总额为</w:t>
      </w:r>
      <w:r>
        <w:rPr>
          <w:rFonts w:hint="eastAsia" w:ascii="宋体" w:hAnsi="宋体" w:cs="宋体"/>
          <w:color w:val="auto"/>
          <w:kern w:val="0"/>
          <w:sz w:val="24"/>
          <w:szCs w:val="24"/>
          <w:u w:val="single"/>
          <w:lang w:bidi="ar"/>
        </w:rPr>
        <w:t xml:space="preserve">    </w:t>
      </w:r>
      <w:r>
        <w:rPr>
          <w:rFonts w:hint="eastAsia" w:ascii="宋体" w:hAnsi="宋体" w:cs="宋体"/>
          <w:color w:val="auto"/>
          <w:kern w:val="0"/>
          <w:sz w:val="24"/>
          <w:szCs w:val="24"/>
          <w:lang w:bidi="ar"/>
        </w:rPr>
        <w:t>万元</w:t>
      </w:r>
      <w:r>
        <w:rPr>
          <w:rFonts w:hint="eastAsia" w:ascii="宋体" w:hAnsi="宋体" w:cs="宋体"/>
          <w:color w:val="auto"/>
          <w:kern w:val="0"/>
          <w:sz w:val="28"/>
          <w:szCs w:val="28"/>
          <w:vertAlign w:val="superscript"/>
          <w:lang w:bidi="ar"/>
        </w:rPr>
        <w:t>1</w:t>
      </w:r>
      <w:r>
        <w:rPr>
          <w:rFonts w:hint="eastAsia" w:ascii="宋体" w:hAnsi="宋体" w:cs="宋体"/>
          <w:color w:val="auto"/>
          <w:kern w:val="0"/>
          <w:sz w:val="24"/>
          <w:szCs w:val="24"/>
          <w:lang w:bidi="ar"/>
        </w:rPr>
        <w:t>，属于</w:t>
      </w:r>
      <w:r>
        <w:rPr>
          <w:rFonts w:hint="eastAsia" w:ascii="宋体" w:hAnsi="宋体" w:cs="宋体"/>
          <w:color w:val="auto"/>
          <w:kern w:val="0"/>
          <w:sz w:val="24"/>
          <w:szCs w:val="24"/>
          <w:u w:val="single"/>
          <w:lang w:bidi="ar"/>
        </w:rPr>
        <w:t>（中型企业、小型企业、微型企业）</w:t>
      </w:r>
      <w:r>
        <w:rPr>
          <w:rFonts w:hint="eastAsia" w:ascii="宋体" w:hAnsi="宋体" w:cs="宋体"/>
          <w:color w:val="auto"/>
          <w:kern w:val="0"/>
          <w:sz w:val="24"/>
          <w:szCs w:val="24"/>
          <w:lang w:bidi="ar"/>
        </w:rPr>
        <w:t xml:space="preserve">； </w:t>
      </w:r>
    </w:p>
    <w:p w14:paraId="15962BB3">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2.</w:t>
      </w:r>
      <w:r>
        <w:rPr>
          <w:rFonts w:hint="eastAsia" w:ascii="宋体" w:hAnsi="宋体" w:cs="宋体"/>
          <w:color w:val="auto"/>
          <w:kern w:val="0"/>
          <w:sz w:val="24"/>
          <w:szCs w:val="24"/>
          <w:u w:val="single"/>
          <w:lang w:bidi="ar"/>
        </w:rPr>
        <w:t xml:space="preserve"> （标的名称） </w:t>
      </w:r>
      <w:r>
        <w:rPr>
          <w:rFonts w:hint="eastAsia" w:ascii="宋体" w:hAnsi="宋体" w:cs="宋体"/>
          <w:color w:val="auto"/>
          <w:kern w:val="0"/>
          <w:sz w:val="24"/>
          <w:szCs w:val="24"/>
          <w:lang w:bidi="ar"/>
        </w:rPr>
        <w:t>，属于</w:t>
      </w:r>
      <w:r>
        <w:rPr>
          <w:rFonts w:hint="eastAsia" w:ascii="宋体" w:hAnsi="宋体" w:cs="宋体"/>
          <w:color w:val="auto"/>
          <w:kern w:val="0"/>
          <w:sz w:val="24"/>
          <w:szCs w:val="24"/>
          <w:u w:val="single"/>
          <w:lang w:bidi="ar"/>
        </w:rPr>
        <w:t>（采购文件中明确的所属行业）</w:t>
      </w:r>
      <w:r>
        <w:rPr>
          <w:rFonts w:hint="eastAsia" w:ascii="宋体" w:hAnsi="宋体" w:cs="宋体"/>
          <w:color w:val="auto"/>
          <w:kern w:val="0"/>
          <w:sz w:val="24"/>
          <w:szCs w:val="24"/>
          <w:lang w:bidi="ar"/>
        </w:rPr>
        <w:t>； 承建（承接）企业为</w:t>
      </w:r>
      <w:r>
        <w:rPr>
          <w:rFonts w:hint="eastAsia" w:ascii="宋体" w:hAnsi="宋体" w:cs="宋体"/>
          <w:color w:val="auto"/>
          <w:kern w:val="0"/>
          <w:sz w:val="24"/>
          <w:szCs w:val="24"/>
          <w:u w:val="single"/>
          <w:lang w:bidi="ar"/>
        </w:rPr>
        <w:t>（企业名称）</w:t>
      </w:r>
      <w:r>
        <w:rPr>
          <w:rFonts w:hint="eastAsia" w:ascii="宋体" w:hAnsi="宋体" w:cs="宋体"/>
          <w:color w:val="auto"/>
          <w:kern w:val="0"/>
          <w:sz w:val="24"/>
          <w:szCs w:val="24"/>
          <w:lang w:bidi="ar"/>
        </w:rPr>
        <w:t>，从业人员</w:t>
      </w:r>
      <w:r>
        <w:rPr>
          <w:rFonts w:hint="eastAsia" w:ascii="宋体" w:hAnsi="宋体" w:cs="宋体"/>
          <w:color w:val="auto"/>
          <w:kern w:val="0"/>
          <w:sz w:val="24"/>
          <w:szCs w:val="24"/>
          <w:u w:val="single"/>
          <w:lang w:bidi="ar"/>
        </w:rPr>
        <w:t xml:space="preserve">    </w:t>
      </w:r>
      <w:r>
        <w:rPr>
          <w:rFonts w:hint="eastAsia" w:ascii="宋体" w:hAnsi="宋体" w:cs="宋体"/>
          <w:color w:val="auto"/>
          <w:kern w:val="0"/>
          <w:sz w:val="24"/>
          <w:szCs w:val="24"/>
          <w:lang w:bidi="ar"/>
        </w:rPr>
        <w:t>人，营业收入为</w:t>
      </w:r>
      <w:r>
        <w:rPr>
          <w:rFonts w:hint="eastAsia" w:ascii="宋体" w:hAnsi="宋体" w:cs="宋体"/>
          <w:color w:val="auto"/>
          <w:kern w:val="0"/>
          <w:sz w:val="24"/>
          <w:szCs w:val="24"/>
          <w:u w:val="single"/>
          <w:lang w:bidi="ar"/>
        </w:rPr>
        <w:t xml:space="preserve">    </w:t>
      </w:r>
      <w:r>
        <w:rPr>
          <w:rFonts w:hint="eastAsia" w:ascii="宋体" w:hAnsi="宋体" w:cs="宋体"/>
          <w:color w:val="auto"/>
          <w:kern w:val="0"/>
          <w:sz w:val="24"/>
          <w:szCs w:val="24"/>
          <w:lang w:bidi="ar"/>
        </w:rPr>
        <w:t>万元，资产总额为</w:t>
      </w:r>
      <w:r>
        <w:rPr>
          <w:rFonts w:hint="eastAsia" w:ascii="宋体" w:hAnsi="宋体" w:cs="宋体"/>
          <w:color w:val="auto"/>
          <w:kern w:val="0"/>
          <w:sz w:val="24"/>
          <w:szCs w:val="24"/>
          <w:u w:val="single"/>
          <w:lang w:bidi="ar"/>
        </w:rPr>
        <w:t xml:space="preserve">     </w:t>
      </w:r>
      <w:r>
        <w:rPr>
          <w:rFonts w:hint="eastAsia" w:ascii="宋体" w:hAnsi="宋体" w:cs="宋体"/>
          <w:color w:val="auto"/>
          <w:kern w:val="0"/>
          <w:sz w:val="24"/>
          <w:szCs w:val="24"/>
          <w:lang w:bidi="ar"/>
        </w:rPr>
        <w:t>万元，属于</w:t>
      </w:r>
      <w:r>
        <w:rPr>
          <w:rFonts w:hint="eastAsia" w:ascii="宋体" w:hAnsi="宋体" w:cs="宋体"/>
          <w:color w:val="auto"/>
          <w:kern w:val="0"/>
          <w:sz w:val="24"/>
          <w:szCs w:val="24"/>
          <w:u w:val="single"/>
          <w:lang w:bidi="ar"/>
        </w:rPr>
        <w:t>（中型企业、小型企业、微型企业）</w:t>
      </w:r>
      <w:r>
        <w:rPr>
          <w:rFonts w:hint="eastAsia" w:ascii="宋体" w:hAnsi="宋体" w:cs="宋体"/>
          <w:color w:val="auto"/>
          <w:kern w:val="0"/>
          <w:sz w:val="24"/>
          <w:szCs w:val="24"/>
          <w:lang w:bidi="ar"/>
        </w:rPr>
        <w:t xml:space="preserve">； </w:t>
      </w:r>
    </w:p>
    <w:p w14:paraId="6B6C30BE">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w:t>
      </w:r>
    </w:p>
    <w:p w14:paraId="228CEBCD">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以上企业，不属于大企业的分支机构，不存在控股股东为大企业的情形，也不存在与大企业的负责人为同一人的情形。</w:t>
      </w:r>
    </w:p>
    <w:p w14:paraId="73CB8495">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 xml:space="preserve">本企业对上述声明内容的真实性负责。如有虚假，将依法承担相应责任。 </w:t>
      </w:r>
    </w:p>
    <w:p w14:paraId="6042C27F">
      <w:pPr>
        <w:widowControl/>
        <w:spacing w:line="360" w:lineRule="auto"/>
        <w:jc w:val="left"/>
        <w:rPr>
          <w:rFonts w:hint="eastAsia" w:ascii="宋体" w:hAnsi="宋体" w:cs="宋体"/>
          <w:color w:val="auto"/>
          <w:kern w:val="0"/>
          <w:sz w:val="24"/>
          <w:szCs w:val="24"/>
          <w:lang w:bidi="ar"/>
        </w:rPr>
      </w:pPr>
    </w:p>
    <w:p w14:paraId="04D22F67">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 xml:space="preserve">企业名称（盖章）： </w:t>
      </w:r>
    </w:p>
    <w:p w14:paraId="50980AEE">
      <w:pPr>
        <w:widowControl/>
        <w:spacing w:line="360" w:lineRule="auto"/>
        <w:ind w:firstLine="480" w:firstLineChars="200"/>
        <w:jc w:val="left"/>
        <w:rPr>
          <w:rFonts w:hint="eastAsia" w:ascii="宋体" w:hAnsi="宋体" w:cs="宋体"/>
          <w:color w:val="auto"/>
          <w:sz w:val="24"/>
          <w:szCs w:val="24"/>
        </w:rPr>
      </w:pPr>
      <w:r>
        <w:rPr>
          <w:rFonts w:hint="eastAsia" w:ascii="宋体" w:hAnsi="宋体" w:cs="宋体"/>
          <w:color w:val="auto"/>
          <w:kern w:val="0"/>
          <w:sz w:val="24"/>
          <w:szCs w:val="24"/>
          <w:lang w:bidi="ar"/>
        </w:rPr>
        <w:t xml:space="preserve">日 期： </w:t>
      </w:r>
    </w:p>
    <w:p w14:paraId="67E6FAD3">
      <w:pPr>
        <w:widowControl/>
        <w:spacing w:line="360" w:lineRule="auto"/>
        <w:jc w:val="left"/>
        <w:rPr>
          <w:rFonts w:hint="eastAsia" w:ascii="宋体" w:hAnsi="宋体" w:cs="宋体"/>
          <w:color w:val="auto"/>
          <w:kern w:val="0"/>
          <w:sz w:val="32"/>
          <w:szCs w:val="32"/>
          <w:vertAlign w:val="superscript"/>
          <w:lang w:bidi="ar"/>
        </w:rPr>
      </w:pPr>
    </w:p>
    <w:p w14:paraId="1A8FDB80">
      <w:pPr>
        <w:widowControl/>
        <w:spacing w:line="360" w:lineRule="auto"/>
        <w:jc w:val="left"/>
        <w:rPr>
          <w:rFonts w:hint="eastAsia" w:ascii="宋体" w:hAnsi="宋体" w:cs="宋体"/>
          <w:color w:val="auto"/>
          <w:kern w:val="0"/>
          <w:sz w:val="32"/>
          <w:szCs w:val="32"/>
          <w:vertAlign w:val="superscript"/>
          <w:lang w:bidi="ar"/>
        </w:rPr>
      </w:pP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p>
    <w:p w14:paraId="45636C9D">
      <w:pPr>
        <w:spacing w:line="360" w:lineRule="auto"/>
        <w:rPr>
          <w:rFonts w:hint="eastAsia" w:ascii="宋体" w:hAnsi="宋体" w:eastAsia="宋体" w:cs="宋体"/>
        </w:rPr>
      </w:pPr>
      <w:r>
        <w:rPr>
          <w:rFonts w:hint="eastAsia" w:ascii="宋体" w:hAnsi="宋体" w:cs="宋体"/>
          <w:color w:val="auto"/>
          <w:kern w:val="0"/>
          <w:sz w:val="24"/>
          <w:szCs w:val="24"/>
          <w:lang w:bidi="ar"/>
        </w:rPr>
        <w:t xml:space="preserve"> 从业人员、营业收入、资产总额填报上一年度数据，无上一年度数据的新成立企业可不填报。</w:t>
      </w:r>
    </w:p>
    <w:p w14:paraId="5714DC77">
      <w:pPr>
        <w:pStyle w:val="4"/>
        <w:bidi w:val="0"/>
        <w:spacing w:line="360" w:lineRule="auto"/>
        <w:rPr>
          <w:rFonts w:hint="eastAsia" w:ascii="宋体" w:hAnsi="宋体" w:eastAsia="宋体" w:cs="宋体"/>
          <w:b/>
          <w:sz w:val="32"/>
          <w:szCs w:val="32"/>
        </w:rPr>
      </w:pPr>
      <w:bookmarkStart w:id="306" w:name="_Toc21377"/>
      <w:bookmarkStart w:id="307" w:name="_Toc17126"/>
      <w:r>
        <w:rPr>
          <w:rFonts w:hint="eastAsia" w:ascii="宋体" w:hAnsi="宋体" w:eastAsia="宋体" w:cs="宋体"/>
          <w:b/>
          <w:sz w:val="32"/>
          <w:szCs w:val="32"/>
          <w:lang w:eastAsia="zh-CN"/>
        </w:rPr>
        <w:t>附件</w:t>
      </w:r>
      <w:r>
        <w:rPr>
          <w:rFonts w:hint="eastAsia" w:ascii="宋体" w:hAnsi="宋体" w:eastAsia="宋体" w:cs="宋体"/>
          <w:b/>
          <w:sz w:val="32"/>
          <w:szCs w:val="32"/>
          <w:lang w:val="en-US" w:eastAsia="zh-CN"/>
        </w:rPr>
        <w:t>2</w:t>
      </w:r>
      <w:r>
        <w:rPr>
          <w:rFonts w:hint="eastAsia" w:ascii="宋体" w:hAnsi="宋体" w:eastAsia="宋体" w:cs="宋体"/>
          <w:b/>
          <w:sz w:val="32"/>
          <w:szCs w:val="32"/>
          <w:lang w:val="zh-CN"/>
        </w:rPr>
        <w:t>残疾人福利性单位声明函（非</w:t>
      </w:r>
      <w:r>
        <w:rPr>
          <w:rFonts w:hint="eastAsia" w:ascii="宋体" w:hAnsi="宋体" w:eastAsia="宋体" w:cs="宋体"/>
          <w:b/>
          <w:sz w:val="32"/>
          <w:szCs w:val="32"/>
        </w:rPr>
        <w:t>残疾人福利企业</w:t>
      </w:r>
      <w:r>
        <w:rPr>
          <w:rFonts w:hint="eastAsia" w:ascii="宋体" w:hAnsi="宋体" w:eastAsia="宋体" w:cs="宋体"/>
          <w:b/>
          <w:sz w:val="32"/>
          <w:szCs w:val="32"/>
          <w:lang w:val="zh-CN"/>
        </w:rPr>
        <w:t>不</w:t>
      </w:r>
      <w:r>
        <w:rPr>
          <w:rFonts w:hint="eastAsia" w:ascii="宋体" w:hAnsi="宋体" w:eastAsia="宋体" w:cs="宋体"/>
          <w:b/>
          <w:sz w:val="32"/>
          <w:szCs w:val="32"/>
        </w:rPr>
        <w:t>填写</w:t>
      </w:r>
      <w:r>
        <w:rPr>
          <w:rFonts w:hint="eastAsia" w:ascii="宋体" w:hAnsi="宋体" w:eastAsia="宋体" w:cs="宋体"/>
          <w:b/>
          <w:sz w:val="32"/>
          <w:szCs w:val="32"/>
          <w:lang w:val="zh-CN"/>
        </w:rPr>
        <w:t>）</w:t>
      </w:r>
      <w:bookmarkEnd w:id="306"/>
      <w:bookmarkEnd w:id="307"/>
    </w:p>
    <w:p w14:paraId="5B29F3DF">
      <w:pPr>
        <w:spacing w:line="360" w:lineRule="auto"/>
        <w:rPr>
          <w:rFonts w:hint="eastAsia" w:ascii="宋体" w:hAnsi="宋体" w:eastAsia="宋体" w:cs="宋体"/>
          <w:b/>
          <w:color w:val="auto"/>
          <w:spacing w:val="6"/>
          <w:sz w:val="32"/>
          <w:szCs w:val="32"/>
          <w:shd w:val="pct10" w:color="auto" w:fill="FFFFFF"/>
        </w:rPr>
      </w:pPr>
    </w:p>
    <w:p w14:paraId="40F9B18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5BA421C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4D9D2087">
      <w:pPr>
        <w:spacing w:line="360" w:lineRule="auto"/>
        <w:ind w:firstLine="480" w:firstLineChars="200"/>
        <w:rPr>
          <w:rFonts w:hint="eastAsia" w:ascii="宋体" w:hAnsi="宋体" w:eastAsia="宋体" w:cs="宋体"/>
          <w:color w:val="auto"/>
          <w:sz w:val="24"/>
        </w:rPr>
      </w:pPr>
    </w:p>
    <w:p w14:paraId="01C2224C">
      <w:pPr>
        <w:spacing w:line="360" w:lineRule="auto"/>
        <w:ind w:firstLine="480" w:firstLineChars="200"/>
        <w:rPr>
          <w:rFonts w:hint="eastAsia" w:ascii="宋体" w:hAnsi="宋体" w:eastAsia="宋体" w:cs="宋体"/>
          <w:color w:val="auto"/>
          <w:sz w:val="24"/>
        </w:rPr>
      </w:pPr>
    </w:p>
    <w:p w14:paraId="399529D7">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14:paraId="6C1E7D85">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702A9FAE">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6BE7D402">
      <w:pPr>
        <w:spacing w:line="360" w:lineRule="auto"/>
        <w:ind w:firstLine="506" w:firstLineChars="200"/>
        <w:rPr>
          <w:rFonts w:hint="eastAsia" w:ascii="宋体" w:hAnsi="宋体" w:eastAsia="宋体" w:cs="宋体"/>
          <w:b/>
          <w:color w:val="auto"/>
          <w:spacing w:val="6"/>
          <w:sz w:val="24"/>
          <w:shd w:val="pct10" w:color="auto" w:fill="FFFFFF"/>
        </w:rPr>
      </w:pPr>
    </w:p>
    <w:p w14:paraId="6EE869E9">
      <w:pPr>
        <w:spacing w:line="360" w:lineRule="auto"/>
        <w:ind w:firstLine="506" w:firstLineChars="200"/>
        <w:rPr>
          <w:rFonts w:hint="eastAsia" w:ascii="宋体" w:hAnsi="宋体" w:eastAsia="宋体" w:cs="宋体"/>
          <w:b/>
          <w:color w:val="auto"/>
          <w:spacing w:val="6"/>
          <w:sz w:val="24"/>
          <w:shd w:val="pct10" w:color="auto" w:fill="FFFFFF"/>
        </w:rPr>
      </w:pPr>
    </w:p>
    <w:p w14:paraId="1D6EEA80">
      <w:pPr>
        <w:kinsoku w:val="0"/>
        <w:spacing w:line="360" w:lineRule="auto"/>
        <w:ind w:firstLine="480" w:firstLineChars="200"/>
        <w:rPr>
          <w:rFonts w:hint="eastAsia" w:ascii="宋体" w:hAnsi="宋体" w:eastAsia="宋体" w:cs="宋体"/>
          <w:color w:val="auto"/>
          <w:kern w:val="0"/>
          <w:sz w:val="24"/>
          <w:lang w:val="zh-CN"/>
        </w:rPr>
      </w:pPr>
      <w:r>
        <w:rPr>
          <w:rFonts w:hint="eastAsia" w:ascii="宋体" w:hAnsi="宋体" w:eastAsia="宋体" w:cs="宋体"/>
          <w:color w:val="auto"/>
          <w:kern w:val="0"/>
          <w:sz w:val="24"/>
          <w:lang w:val="zh-CN"/>
        </w:rPr>
        <w:t>备注：供应商提供的《残疾人福利性单位声明函》必须真实有效，如果被举报经查实出具虚假声明函的，将被取消投标资格，并按有关规定予以处理。</w:t>
      </w:r>
    </w:p>
    <w:p w14:paraId="4CB6C4E1">
      <w:pPr>
        <w:spacing w:before="120" w:beforeLines="50" w:after="240" w:afterLines="100" w:line="360" w:lineRule="auto"/>
        <w:jc w:val="center"/>
        <w:rPr>
          <w:rFonts w:hint="eastAsia" w:ascii="宋体" w:hAnsi="宋体" w:eastAsia="宋体" w:cs="宋体"/>
          <w:b/>
          <w:color w:val="auto"/>
          <w:spacing w:val="4"/>
          <w:sz w:val="30"/>
          <w:szCs w:val="30"/>
        </w:rPr>
      </w:pPr>
    </w:p>
    <w:p w14:paraId="37446139">
      <w:pPr>
        <w:spacing w:before="120" w:beforeLines="50" w:after="240" w:afterLines="100" w:line="360" w:lineRule="auto"/>
        <w:jc w:val="center"/>
        <w:rPr>
          <w:rFonts w:hint="eastAsia" w:ascii="宋体" w:hAnsi="宋体" w:eastAsia="宋体" w:cs="宋体"/>
          <w:b/>
          <w:color w:val="auto"/>
          <w:spacing w:val="4"/>
          <w:sz w:val="30"/>
          <w:szCs w:val="30"/>
        </w:rPr>
      </w:pPr>
    </w:p>
    <w:p w14:paraId="00ACE9E5">
      <w:pPr>
        <w:pStyle w:val="9"/>
        <w:spacing w:line="360" w:lineRule="auto"/>
        <w:rPr>
          <w:rFonts w:hint="eastAsia" w:ascii="宋体" w:hAnsi="宋体" w:eastAsia="宋体" w:cs="宋体"/>
          <w:b/>
          <w:color w:val="auto"/>
          <w:spacing w:val="4"/>
          <w:sz w:val="30"/>
          <w:szCs w:val="30"/>
        </w:rPr>
      </w:pPr>
    </w:p>
    <w:p w14:paraId="0F4BE276">
      <w:pPr>
        <w:pStyle w:val="21"/>
        <w:spacing w:line="360" w:lineRule="auto"/>
        <w:rPr>
          <w:rFonts w:hint="eastAsia" w:ascii="宋体" w:hAnsi="宋体" w:eastAsia="宋体" w:cs="宋体"/>
        </w:rPr>
      </w:pPr>
    </w:p>
    <w:p w14:paraId="78DCE916">
      <w:pPr>
        <w:spacing w:line="360" w:lineRule="auto"/>
        <w:rPr>
          <w:rFonts w:hint="eastAsia" w:ascii="宋体" w:hAnsi="宋体" w:eastAsia="宋体" w:cs="宋体"/>
          <w:b/>
          <w:color w:val="auto"/>
          <w:spacing w:val="4"/>
          <w:sz w:val="30"/>
          <w:szCs w:val="30"/>
        </w:rPr>
      </w:pPr>
    </w:p>
    <w:p w14:paraId="4CC0371D">
      <w:pPr>
        <w:pStyle w:val="9"/>
        <w:spacing w:line="360" w:lineRule="auto"/>
        <w:rPr>
          <w:rFonts w:hint="eastAsia" w:ascii="宋体" w:hAnsi="宋体" w:eastAsia="宋体" w:cs="宋体"/>
          <w:b/>
          <w:color w:val="auto"/>
          <w:spacing w:val="4"/>
          <w:sz w:val="30"/>
          <w:szCs w:val="30"/>
        </w:rPr>
      </w:pPr>
    </w:p>
    <w:p w14:paraId="3304C5CC">
      <w:pPr>
        <w:bidi w:val="0"/>
        <w:spacing w:line="360" w:lineRule="auto"/>
        <w:rPr>
          <w:rFonts w:hint="eastAsia"/>
        </w:rPr>
      </w:pPr>
    </w:p>
    <w:bookmarkEnd w:id="299"/>
    <w:p w14:paraId="034A3C8A">
      <w:pPr>
        <w:pStyle w:val="4"/>
        <w:bidi w:val="0"/>
        <w:spacing w:line="360" w:lineRule="auto"/>
        <w:rPr>
          <w:rFonts w:hint="eastAsia" w:ascii="宋体" w:hAnsi="宋体" w:eastAsia="宋体" w:cs="宋体"/>
          <w:b/>
          <w:sz w:val="32"/>
          <w:szCs w:val="32"/>
          <w:lang w:val="en-US" w:eastAsia="zh-CN"/>
        </w:rPr>
      </w:pPr>
      <w:r>
        <w:rPr>
          <w:rFonts w:hint="eastAsia" w:ascii="宋体" w:hAnsi="宋体" w:eastAsia="宋体" w:cs="宋体"/>
          <w:b/>
          <w:sz w:val="32"/>
          <w:szCs w:val="32"/>
          <w:lang w:eastAsia="zh-CN"/>
        </w:rPr>
        <w:t>附件</w:t>
      </w:r>
      <w:r>
        <w:rPr>
          <w:rFonts w:hint="eastAsia" w:ascii="宋体" w:hAnsi="宋体" w:eastAsia="宋体" w:cs="宋体"/>
          <w:b/>
          <w:sz w:val="32"/>
          <w:szCs w:val="32"/>
          <w:lang w:val="en-US" w:eastAsia="zh-CN"/>
        </w:rPr>
        <w:t xml:space="preserve">3  </w:t>
      </w:r>
      <w:r>
        <w:rPr>
          <w:rFonts w:hint="eastAsia" w:ascii="宋体" w:hAnsi="宋体" w:eastAsia="宋体" w:cs="宋体"/>
          <w:b/>
          <w:sz w:val="32"/>
          <w:szCs w:val="32"/>
          <w:lang w:eastAsia="zh-CN"/>
        </w:rPr>
        <w:t>投</w:t>
      </w:r>
      <w:bookmarkStart w:id="308" w:name="_Toc18319"/>
      <w:r>
        <w:rPr>
          <w:rFonts w:hint="eastAsia" w:ascii="宋体" w:hAnsi="宋体" w:eastAsia="宋体" w:cs="宋体"/>
          <w:b/>
          <w:sz w:val="32"/>
          <w:szCs w:val="32"/>
          <w:lang w:val="en-US" w:eastAsia="zh-CN"/>
        </w:rPr>
        <w:t>投标信用承诺书</w:t>
      </w:r>
      <w:bookmarkEnd w:id="308"/>
    </w:p>
    <w:p w14:paraId="555F6D8E">
      <w:pPr>
        <w:pStyle w:val="9"/>
        <w:spacing w:line="360" w:lineRule="auto"/>
        <w:jc w:val="center"/>
        <w:rPr>
          <w:rFonts w:hint="eastAsia" w:ascii="Times New Roman" w:hAnsi="Times New Roman" w:eastAsia="宋体" w:cs="Times New Roman"/>
          <w:b/>
          <w:color w:val="0000FF"/>
          <w:sz w:val="28"/>
          <w:szCs w:val="36"/>
          <w:lang w:eastAsia="zh-CN"/>
        </w:rPr>
      </w:pPr>
      <w:r>
        <w:rPr>
          <w:rFonts w:hint="eastAsia" w:ascii="Times New Roman" w:hAnsi="Times New Roman" w:eastAsia="宋体" w:cs="Times New Roman"/>
          <w:b/>
          <w:sz w:val="28"/>
          <w:szCs w:val="36"/>
          <w:lang w:val="en-US" w:eastAsia="zh-CN"/>
        </w:rPr>
        <w:t>投标信用（保证金）承诺书</w:t>
      </w:r>
    </w:p>
    <w:p w14:paraId="13ADC2CF">
      <w:pPr>
        <w:widowControl/>
        <w:spacing w:line="540" w:lineRule="exact"/>
        <w:jc w:val="left"/>
        <w:rPr>
          <w:rFonts w:ascii="宋体" w:cs="宋体"/>
          <w:kern w:val="0"/>
          <w:sz w:val="24"/>
          <w:u w:val="single"/>
        </w:rPr>
      </w:pPr>
      <w:r>
        <w:rPr>
          <w:rFonts w:hint="eastAsia" w:ascii="宋体" w:hAnsi="宋体" w:cs="宋体"/>
          <w:kern w:val="0"/>
          <w:sz w:val="24"/>
          <w:lang w:val="en-US" w:eastAsia="zh-CN"/>
        </w:rPr>
        <w:t>项目名称</w:t>
      </w:r>
      <w:r>
        <w:rPr>
          <w:rFonts w:hint="eastAsia" w:ascii="宋体" w:hAnsi="宋体" w:cs="宋体"/>
          <w:kern w:val="0"/>
          <w:sz w:val="24"/>
        </w:rPr>
        <w:t>：</w:t>
      </w:r>
      <w:r>
        <w:rPr>
          <w:rFonts w:ascii="宋体" w:hAnsi="宋体" w:cs="宋体"/>
          <w:kern w:val="0"/>
          <w:sz w:val="24"/>
          <w:u w:val="single"/>
        </w:rPr>
        <w:t xml:space="preserve">            </w:t>
      </w:r>
      <w:r>
        <w:rPr>
          <w:rFonts w:hint="eastAsia" w:ascii="宋体" w:hAnsi="宋体" w:cs="宋体"/>
          <w:kern w:val="0"/>
          <w:sz w:val="24"/>
          <w:u w:val="single"/>
        </w:rPr>
        <w:t xml:space="preserve">  </w:t>
      </w:r>
      <w:r>
        <w:rPr>
          <w:rFonts w:ascii="宋体" w:hAnsi="宋体" w:cs="宋体"/>
          <w:kern w:val="0"/>
          <w:sz w:val="24"/>
          <w:u w:val="single"/>
        </w:rPr>
        <w:t xml:space="preserve">                                                  </w:t>
      </w:r>
    </w:p>
    <w:p w14:paraId="63C44DE7">
      <w:pPr>
        <w:widowControl/>
        <w:spacing w:line="540" w:lineRule="exact"/>
        <w:jc w:val="left"/>
        <w:rPr>
          <w:rFonts w:ascii="宋体" w:hAnsi="宋体" w:cs="宋体"/>
          <w:kern w:val="0"/>
          <w:sz w:val="24"/>
          <w:u w:val="single"/>
        </w:rPr>
      </w:pPr>
      <w:r>
        <w:rPr>
          <w:rFonts w:hint="eastAsia" w:ascii="宋体" w:hAnsi="宋体" w:cs="宋体"/>
          <w:kern w:val="0"/>
          <w:sz w:val="24"/>
        </w:rPr>
        <w:t>投标人：</w:t>
      </w:r>
      <w:r>
        <w:rPr>
          <w:rFonts w:ascii="宋体" w:hAnsi="宋体" w:cs="宋体"/>
          <w:kern w:val="0"/>
          <w:sz w:val="24"/>
          <w:u w:val="single"/>
        </w:rPr>
        <w:t xml:space="preserve">                                                                    </w:t>
      </w:r>
    </w:p>
    <w:p w14:paraId="6C6BA90B">
      <w:pPr>
        <w:widowControl/>
        <w:spacing w:line="540" w:lineRule="exact"/>
        <w:jc w:val="left"/>
        <w:rPr>
          <w:rFonts w:ascii="宋体" w:hAnsi="宋体" w:cs="宋体"/>
          <w:kern w:val="0"/>
          <w:sz w:val="24"/>
          <w:u w:val="single"/>
        </w:rPr>
      </w:pPr>
      <w:r>
        <w:rPr>
          <w:rFonts w:hint="eastAsia" w:ascii="宋体" w:hAnsi="宋体" w:cs="宋体"/>
          <w:kern w:val="0"/>
          <w:sz w:val="24"/>
        </w:rPr>
        <w:t>统一社会信用代码：</w:t>
      </w:r>
      <w:r>
        <w:rPr>
          <w:rFonts w:ascii="宋体" w:hAnsi="宋体" w:cs="宋体"/>
          <w:kern w:val="0"/>
          <w:sz w:val="24"/>
          <w:u w:val="single"/>
        </w:rPr>
        <w:t xml:space="preserve">                               </w:t>
      </w:r>
      <w:r>
        <w:rPr>
          <w:rFonts w:hint="eastAsia" w:ascii="宋体" w:hAnsi="宋体" w:cs="宋体"/>
          <w:kern w:val="0"/>
          <w:sz w:val="24"/>
        </w:rPr>
        <w:t>法人代表：</w:t>
      </w:r>
      <w:r>
        <w:rPr>
          <w:rFonts w:ascii="宋体" w:hAnsi="宋体" w:cs="宋体"/>
          <w:kern w:val="0"/>
          <w:sz w:val="24"/>
          <w:u w:val="single"/>
        </w:rPr>
        <w:t xml:space="preserve">                 </w:t>
      </w:r>
    </w:p>
    <w:p w14:paraId="7847630C">
      <w:pPr>
        <w:widowControl/>
        <w:adjustRightInd w:val="0"/>
        <w:snapToGrid w:val="0"/>
        <w:spacing w:line="540" w:lineRule="exact"/>
        <w:ind w:firstLine="480" w:firstLineChars="200"/>
        <w:jc w:val="left"/>
        <w:rPr>
          <w:rFonts w:ascii="宋体" w:cs="宋体"/>
          <w:kern w:val="0"/>
          <w:sz w:val="24"/>
        </w:rPr>
      </w:pPr>
      <w:r>
        <w:rPr>
          <w:rFonts w:hint="eastAsia" w:ascii="宋体" w:hAnsi="宋体" w:cs="宋体"/>
          <w:kern w:val="0"/>
          <w:sz w:val="24"/>
        </w:rPr>
        <w:t>在本项目标段招投标活动中，我公司（单位）自愿作出以下投标信用承诺：</w:t>
      </w:r>
    </w:p>
    <w:p w14:paraId="1C95C934">
      <w:pPr>
        <w:widowControl/>
        <w:adjustRightInd w:val="0"/>
        <w:snapToGrid w:val="0"/>
        <w:spacing w:line="540" w:lineRule="exact"/>
        <w:ind w:firstLine="480" w:firstLineChars="200"/>
        <w:jc w:val="left"/>
        <w:rPr>
          <w:rFonts w:ascii="宋体" w:hAnsi="宋体" w:cs="宋体"/>
          <w:kern w:val="0"/>
          <w:sz w:val="24"/>
        </w:rPr>
      </w:pPr>
      <w:r>
        <w:rPr>
          <w:rFonts w:hint="eastAsia" w:ascii="宋体" w:hAnsi="宋体" w:cs="宋体"/>
          <w:kern w:val="0"/>
          <w:sz w:val="24"/>
        </w:rPr>
        <w:t>（一）能严格遵守法律法规、职业道德和行业规范。</w:t>
      </w:r>
    </w:p>
    <w:p w14:paraId="1BFD86EE">
      <w:pPr>
        <w:widowControl/>
        <w:adjustRightInd w:val="0"/>
        <w:snapToGrid w:val="0"/>
        <w:spacing w:line="540" w:lineRule="exact"/>
        <w:ind w:firstLine="480" w:firstLineChars="200"/>
        <w:jc w:val="left"/>
        <w:rPr>
          <w:rFonts w:ascii="宋体" w:cs="宋体"/>
          <w:kern w:val="0"/>
          <w:sz w:val="24"/>
        </w:rPr>
      </w:pPr>
      <w:r>
        <w:rPr>
          <w:rFonts w:hint="eastAsia" w:ascii="宋体" w:hAnsi="宋体" w:cs="宋体"/>
          <w:kern w:val="0"/>
          <w:sz w:val="24"/>
        </w:rPr>
        <w:t>（二）不得有以下违法违规行为：</w:t>
      </w:r>
      <w:r>
        <w:rPr>
          <w:rFonts w:ascii="宋体" w:hAnsi="宋体" w:cs="宋体"/>
          <w:kern w:val="0"/>
          <w:sz w:val="24"/>
        </w:rPr>
        <w:t>1.</w:t>
      </w:r>
      <w:r>
        <w:rPr>
          <w:rFonts w:hint="eastAsia" w:ascii="宋体" w:hAnsi="宋体" w:cs="宋体"/>
          <w:kern w:val="0"/>
          <w:sz w:val="24"/>
        </w:rPr>
        <w:t>围标串标；以他人名义或者其他方式弄虚作假投标；出让出租资格、资质证书供他人投标；恶意竞标、强揽工程；以暴力、威胁、利诱等手段阻止或者控制其他潜在投标人参与招投标活动。</w:t>
      </w:r>
      <w:r>
        <w:rPr>
          <w:rFonts w:ascii="宋体" w:hAnsi="宋体" w:cs="宋体"/>
          <w:kern w:val="0"/>
          <w:sz w:val="24"/>
        </w:rPr>
        <w:t>2.</w:t>
      </w:r>
      <w:r>
        <w:rPr>
          <w:rFonts w:hint="eastAsia" w:ascii="宋体" w:hAnsi="宋体" w:cs="宋体"/>
          <w:kern w:val="0"/>
          <w:sz w:val="24"/>
        </w:rPr>
        <w:t>向招投标监督部门、交易中心、招标人、招标代理机构、评审委员会及其成员等当事主体赠送财物。</w:t>
      </w:r>
      <w:r>
        <w:rPr>
          <w:rFonts w:ascii="宋体" w:hAnsi="宋体" w:cs="宋体"/>
          <w:kern w:val="0"/>
          <w:sz w:val="24"/>
        </w:rPr>
        <w:t>3.</w:t>
      </w:r>
      <w:r>
        <w:rPr>
          <w:rFonts w:hint="eastAsia" w:ascii="宋体" w:hAnsi="宋体" w:cs="宋体"/>
          <w:kern w:val="0"/>
          <w:sz w:val="24"/>
        </w:rPr>
        <w:t>投标截止后至中标人确定前，修改或者撤销投标文件。</w:t>
      </w:r>
      <w:r>
        <w:rPr>
          <w:rFonts w:ascii="宋体" w:hAnsi="宋体" w:cs="宋体"/>
          <w:kern w:val="0"/>
          <w:sz w:val="24"/>
        </w:rPr>
        <w:t>4.</w:t>
      </w:r>
      <w:r>
        <w:rPr>
          <w:rFonts w:hint="eastAsia" w:ascii="宋体" w:hAnsi="宋体" w:cs="宋体"/>
          <w:kern w:val="0"/>
          <w:sz w:val="24"/>
        </w:rPr>
        <w:t>在被确定为中标人后无正当理由：不按照招标文件和投标文件与招标人签订合同；在签订合同时向招标人提出附加条件、或者改变投标文件的实质性内容；放弃中标；不按照招标文件的规定提交履约保证金。</w:t>
      </w:r>
      <w:r>
        <w:rPr>
          <w:rFonts w:ascii="宋体" w:hAnsi="宋体" w:cs="宋体"/>
          <w:kern w:val="0"/>
          <w:sz w:val="24"/>
        </w:rPr>
        <w:t>5.</w:t>
      </w:r>
      <w:r>
        <w:rPr>
          <w:rFonts w:hint="eastAsia" w:ascii="宋体" w:hAnsi="宋体" w:cs="宋体"/>
          <w:kern w:val="0"/>
          <w:sz w:val="24"/>
        </w:rPr>
        <w:t>招投标法规定的其它违法违规行为。</w:t>
      </w:r>
    </w:p>
    <w:p w14:paraId="5F4BF5BB">
      <w:pPr>
        <w:widowControl/>
        <w:adjustRightInd w:val="0"/>
        <w:snapToGrid w:val="0"/>
        <w:spacing w:line="540" w:lineRule="exact"/>
        <w:ind w:firstLine="480" w:firstLineChars="200"/>
        <w:jc w:val="left"/>
        <w:rPr>
          <w:rFonts w:ascii="宋体" w:cs="宋体"/>
          <w:kern w:val="0"/>
          <w:sz w:val="24"/>
        </w:rPr>
      </w:pPr>
      <w:r>
        <w:rPr>
          <w:rFonts w:hint="eastAsia" w:ascii="宋体" w:hAnsi="宋体" w:cs="宋体"/>
          <w:kern w:val="0"/>
          <w:sz w:val="24"/>
        </w:rPr>
        <w:t>（三）若我公司（单位）及相关参与人员违背以上承诺事项，即被视为失信企业（法人），依据《关于对公共资源交易领域严重失信主体开展联合惩戒的备忘录》（发改法规</w:t>
      </w:r>
      <w:r>
        <w:rPr>
          <w:rFonts w:ascii="宋体" w:hAnsi="宋体" w:cs="宋体"/>
          <w:kern w:val="0"/>
          <w:sz w:val="24"/>
        </w:rPr>
        <w:t>[2018]457</w:t>
      </w:r>
      <w:r>
        <w:rPr>
          <w:rFonts w:hint="eastAsia" w:ascii="宋体" w:hAnsi="宋体" w:cs="宋体"/>
          <w:kern w:val="0"/>
          <w:sz w:val="24"/>
        </w:rPr>
        <w:t>号），自愿接受</w:t>
      </w:r>
      <w:r>
        <w:rPr>
          <w:rFonts w:ascii="宋体" w:hAnsi="宋体" w:cs="宋体"/>
          <w:kern w:val="0"/>
          <w:sz w:val="24"/>
        </w:rPr>
        <w:t>1</w:t>
      </w:r>
      <w:r>
        <w:rPr>
          <w:rFonts w:hint="eastAsia" w:ascii="宋体" w:hAnsi="宋体" w:cs="宋体"/>
          <w:kern w:val="0"/>
          <w:sz w:val="24"/>
        </w:rPr>
        <w:t>至</w:t>
      </w:r>
      <w:r>
        <w:rPr>
          <w:rFonts w:ascii="宋体" w:hAnsi="宋体" w:cs="宋体"/>
          <w:kern w:val="0"/>
          <w:sz w:val="24"/>
        </w:rPr>
        <w:t>3</w:t>
      </w:r>
      <w:r>
        <w:rPr>
          <w:rFonts w:hint="eastAsia" w:ascii="宋体" w:hAnsi="宋体" w:cs="宋体"/>
          <w:kern w:val="0"/>
          <w:sz w:val="24"/>
        </w:rPr>
        <w:t>年内限制参与公共资源交易活动。</w:t>
      </w:r>
    </w:p>
    <w:p w14:paraId="46632175">
      <w:pPr>
        <w:bidi w:val="0"/>
      </w:pPr>
    </w:p>
    <w:p w14:paraId="58A7E2F8">
      <w:pPr>
        <w:widowControl/>
        <w:tabs>
          <w:tab w:val="left" w:pos="4395"/>
        </w:tabs>
        <w:adjustRightInd w:val="0"/>
        <w:snapToGrid w:val="0"/>
        <w:spacing w:line="500" w:lineRule="exact"/>
        <w:ind w:firstLine="480" w:firstLineChars="200"/>
        <w:jc w:val="left"/>
        <w:rPr>
          <w:rFonts w:ascii="宋体" w:cs="宋体"/>
          <w:kern w:val="0"/>
          <w:sz w:val="24"/>
        </w:rPr>
      </w:pPr>
      <w:r>
        <w:rPr>
          <w:rFonts w:hint="eastAsia" w:ascii="宋体" w:hAnsi="宋体" w:cs="宋体"/>
          <w:kern w:val="0"/>
          <w:sz w:val="24"/>
        </w:rPr>
        <w:t>法定代表人（签章）：</w:t>
      </w:r>
      <w:r>
        <w:rPr>
          <w:rFonts w:ascii="宋体" w:hAnsi="宋体" w:cs="宋体"/>
          <w:kern w:val="0"/>
          <w:sz w:val="24"/>
        </w:rPr>
        <w:t xml:space="preserve">             </w:t>
      </w:r>
      <w:r>
        <w:rPr>
          <w:rFonts w:hint="eastAsia" w:ascii="宋体" w:hAnsi="宋体" w:cs="宋体"/>
          <w:kern w:val="0"/>
          <w:sz w:val="24"/>
        </w:rPr>
        <w:t>投标人（盖章）：</w:t>
      </w:r>
    </w:p>
    <w:p w14:paraId="61A28BE3">
      <w:pPr>
        <w:bidi w:val="0"/>
      </w:pPr>
    </w:p>
    <w:p w14:paraId="66BDD70B">
      <w:pPr>
        <w:adjustRightInd w:val="0"/>
        <w:snapToGrid w:val="0"/>
        <w:spacing w:line="500" w:lineRule="exact"/>
        <w:ind w:firstLine="4440" w:firstLineChars="1850"/>
        <w:rPr>
          <w:rFonts w:ascii="宋体" w:hAnsi="宋体" w:cs="宋体"/>
          <w:b/>
          <w:kern w:val="0"/>
          <w:sz w:val="24"/>
        </w:rPr>
      </w:pPr>
      <w:r>
        <w:rPr>
          <w:rFonts w:hint="eastAsia" w:ascii="宋体" w:hAnsi="宋体" w:cs="宋体"/>
          <w:kern w:val="0"/>
          <w:sz w:val="24"/>
        </w:rPr>
        <w:t>承诺时间：</w:t>
      </w:r>
      <w:r>
        <w:rPr>
          <w:rFonts w:ascii="宋体" w:hAnsi="宋体" w:cs="宋体"/>
          <w:kern w:val="0"/>
          <w:sz w:val="24"/>
          <w:u w:val="single"/>
        </w:rPr>
        <w:t xml:space="preserve">       </w:t>
      </w:r>
      <w:r>
        <w:rPr>
          <w:rFonts w:hint="eastAsia" w:ascii="宋体" w:hAnsi="宋体" w:cs="宋体"/>
          <w:kern w:val="0"/>
          <w:sz w:val="24"/>
        </w:rPr>
        <w:t>年</w:t>
      </w:r>
      <w:r>
        <w:rPr>
          <w:rFonts w:ascii="宋体" w:hAnsi="宋体" w:cs="宋体"/>
          <w:kern w:val="0"/>
          <w:sz w:val="24"/>
          <w:u w:val="single"/>
        </w:rPr>
        <w:t xml:space="preserve">     </w:t>
      </w:r>
      <w:r>
        <w:rPr>
          <w:rFonts w:hint="eastAsia" w:ascii="宋体" w:hAnsi="宋体" w:cs="宋体"/>
          <w:kern w:val="0"/>
          <w:sz w:val="24"/>
        </w:rPr>
        <w:t>月</w:t>
      </w:r>
      <w:r>
        <w:rPr>
          <w:rFonts w:ascii="宋体" w:hAnsi="宋体" w:cs="宋体"/>
          <w:kern w:val="0"/>
          <w:sz w:val="24"/>
          <w:u w:val="single"/>
        </w:rPr>
        <w:t xml:space="preserve">     </w:t>
      </w:r>
      <w:r>
        <w:rPr>
          <w:rFonts w:hint="eastAsia" w:ascii="宋体" w:hAnsi="宋体" w:cs="宋体"/>
          <w:kern w:val="0"/>
          <w:sz w:val="24"/>
        </w:rPr>
        <w:t>日</w:t>
      </w:r>
    </w:p>
    <w:p w14:paraId="75AC9F0E">
      <w:pPr>
        <w:bidi w:val="0"/>
        <w:spacing w:line="360" w:lineRule="auto"/>
        <w:rPr>
          <w:rFonts w:hint="eastAsia"/>
          <w:b/>
          <w:bCs/>
          <w:sz w:val="24"/>
          <w:szCs w:val="22"/>
          <w:lang w:eastAsia="zh-CN"/>
        </w:rPr>
      </w:pPr>
      <w:r>
        <w:rPr>
          <w:rFonts w:hint="eastAsia"/>
          <w:b/>
          <w:bCs/>
          <w:sz w:val="24"/>
          <w:szCs w:val="22"/>
        </w:rPr>
        <w:t>说明：本承诺书效力和作用等同投标保证金，其有效期与投标有效期一致。</w:t>
      </w:r>
      <w:r>
        <w:rPr>
          <w:b/>
          <w:bCs/>
          <w:sz w:val="24"/>
          <w:szCs w:val="22"/>
        </w:rPr>
        <w:t xml:space="preserve">   </w:t>
      </w:r>
    </w:p>
    <w:p w14:paraId="4BAB4DCC">
      <w:pPr>
        <w:spacing w:before="78" w:line="219" w:lineRule="auto"/>
        <w:outlineLvl w:val="2"/>
        <w:rPr>
          <w:rFonts w:hint="eastAsia" w:ascii="宋体" w:hAnsi="宋体" w:eastAsia="宋体" w:cs="宋体"/>
          <w:b/>
          <w:bCs/>
          <w:sz w:val="24"/>
          <w:szCs w:val="24"/>
          <w:lang w:val="en-US" w:eastAsia="zh-CN"/>
        </w:rPr>
      </w:pPr>
    </w:p>
    <w:p w14:paraId="166970FA">
      <w:pPr>
        <w:spacing w:before="78" w:line="219" w:lineRule="auto"/>
        <w:outlineLvl w:val="2"/>
        <w:rPr>
          <w:rFonts w:hint="eastAsia" w:ascii="宋体" w:hAnsi="宋体" w:eastAsia="宋体" w:cs="宋体"/>
          <w:b/>
          <w:bCs/>
          <w:sz w:val="24"/>
          <w:szCs w:val="24"/>
          <w:lang w:val="en-US" w:eastAsia="zh-CN"/>
        </w:rPr>
      </w:pPr>
    </w:p>
    <w:p w14:paraId="3B964D8A">
      <w:pPr>
        <w:spacing w:before="78" w:line="219" w:lineRule="auto"/>
        <w:outlineLvl w:val="2"/>
        <w:rPr>
          <w:rFonts w:hint="eastAsia" w:ascii="宋体" w:hAnsi="宋体" w:eastAsia="宋体" w:cs="宋体"/>
          <w:b/>
          <w:bCs/>
          <w:sz w:val="24"/>
          <w:szCs w:val="24"/>
          <w:lang w:val="en-US" w:eastAsia="zh-CN"/>
        </w:rPr>
      </w:pPr>
    </w:p>
    <w:p w14:paraId="0F2D1D76">
      <w:pPr>
        <w:spacing w:before="78" w:line="219" w:lineRule="auto"/>
        <w:outlineLvl w:val="2"/>
        <w:rPr>
          <w:rFonts w:hint="eastAsia" w:ascii="宋体" w:hAnsi="宋体" w:eastAsia="宋体" w:cs="宋体"/>
          <w:b/>
          <w:bCs/>
          <w:sz w:val="24"/>
          <w:szCs w:val="24"/>
          <w:lang w:val="en-US" w:eastAsia="zh-CN"/>
        </w:rPr>
      </w:pPr>
    </w:p>
    <w:p w14:paraId="59CF9579">
      <w:pPr>
        <w:pStyle w:val="4"/>
        <w:pageBreakBefore w:val="0"/>
        <w:widowControl w:val="0"/>
        <w:shd w:val="clear" w:color="auto" w:fill="auto"/>
        <w:kinsoku/>
        <w:wordWrap/>
        <w:overflowPunct/>
        <w:topLinePunct w:val="0"/>
        <w:autoSpaceDE/>
        <w:autoSpaceDN/>
        <w:bidi w:val="0"/>
        <w:adjustRightInd/>
        <w:snapToGrid/>
        <w:spacing w:before="0" w:beforeLines="0" w:after="0" w:afterLines="0" w:line="240" w:lineRule="auto"/>
        <w:jc w:val="center"/>
        <w:textAlignment w:val="auto"/>
        <w:rPr>
          <w:rFonts w:hint="eastAsia" w:ascii="宋体" w:hAnsi="宋体" w:eastAsia="宋体" w:cs="宋体"/>
          <w:b/>
          <w:color w:val="auto"/>
          <w:sz w:val="24"/>
          <w:szCs w:val="18"/>
          <w:highlight w:val="none"/>
        </w:rPr>
      </w:pPr>
      <w:bookmarkStart w:id="309" w:name="_Toc21385"/>
      <w:r>
        <w:rPr>
          <w:rFonts w:hint="eastAsia" w:ascii="宋体" w:hAnsi="宋体" w:eastAsia="宋体" w:cs="宋体"/>
          <w:b/>
          <w:color w:val="auto"/>
          <w:sz w:val="28"/>
          <w:szCs w:val="20"/>
          <w:highlight w:val="none"/>
        </w:rPr>
        <w:t>投标人信用承诺书</w:t>
      </w:r>
      <w:bookmarkEnd w:id="309"/>
    </w:p>
    <w:p w14:paraId="25C75B6D">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2D73E70D">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统一社会信用代码：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法人代表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126704AD">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承诺有效期限：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日（自递交文件截止之日起1年）</w:t>
      </w:r>
    </w:p>
    <w:p w14:paraId="5DCCF14D">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u w:val="single"/>
          <w:lang w:val="en-US" w:eastAsia="zh-CN"/>
        </w:rPr>
        <w:t xml:space="preserve">             项目名称：    项目编号：          </w:t>
      </w:r>
      <w:r>
        <w:rPr>
          <w:rFonts w:hint="eastAsia" w:ascii="宋体" w:hAnsi="宋体" w:eastAsia="宋体" w:cs="宋体"/>
          <w:color w:val="auto"/>
          <w:sz w:val="24"/>
          <w:szCs w:val="24"/>
          <w:highlight w:val="none"/>
        </w:rPr>
        <w:t>项目招投标活动中，我公司（单位）郑重作出以下信用承诺：</w:t>
      </w:r>
    </w:p>
    <w:p w14:paraId="7EF22C6A">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08AC645D">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（二）不得有以下违法违规行为：1. 围标串标；以他人名义或者其他方式弄虚作假投标；出让出租资格、资质证书供他人投标；恶意竞标、强揽工程；以暴力、威胁、利诱等手段阻止或者控制其他潜在投标人参与招投标活动。2. 向招投标监督部门、交易中心、招标人、招标代理机构、评审委员会及其成员等当事主体赠送财物。3. 投标截止后至中标人确定前，修改或者撤销</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。4. 在被确定为中标人后无正当理由：不按照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与招标人签订合同；在签订合同时向招标人提出附加条件、或者改变</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的实质性内容；放弃中标；不按照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的规定提交履约保证金。5. 招投标法规定的其它违法违规行为。</w:t>
      </w:r>
    </w:p>
    <w:p w14:paraId="021DC7C8">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（三）自愿接受招投标监督部门和有关行政监督部门的依法检查。</w:t>
      </w:r>
    </w:p>
    <w:p w14:paraId="347A8742">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（四）同意将此信用承诺纳入陕西省公共信用信息平台和榆林市公共信用信息共享平台，并上网公示，接受社会监督。</w:t>
      </w:r>
    </w:p>
    <w:p w14:paraId="387A03AB">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（五）若我公司（单位）及相关参与人员违背以上承诺事项，即被视为失信企（法人）， 依据《关于对公共资源交易领域严重失信主体开展联合惩戒的备忘录》 (发改法规［2018] 457号）， 自愿接受失信联合惩戒和依法给予的行政处罚（处理）， 并依法承担赔偿责任和刑事责任。</w:t>
      </w:r>
    </w:p>
    <w:p w14:paraId="12FEDD24">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投标人（盖章）：</w:t>
      </w:r>
    </w:p>
    <w:p w14:paraId="156E2714">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4320" w:firstLineChars="18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48308422">
      <w:pPr>
        <w:ind w:firstLine="240" w:firstLineChars="100"/>
        <w:rPr>
          <w:rFonts w:hint="default" w:ascii="宋体" w:hAnsi="宋体" w:eastAsia="宋体" w:cs="宋体"/>
          <w:b/>
          <w:bCs/>
          <w:color w:val="auto"/>
          <w:sz w:val="24"/>
          <w:lang w:val="en-US" w:eastAsia="zh-CN"/>
        </w:rPr>
      </w:pPr>
      <w:r>
        <w:rPr>
          <w:rFonts w:hint="eastAsia" w:ascii="宋体" w:hAnsi="宋体" w:eastAsia="宋体" w:cs="宋体"/>
          <w:sz w:val="24"/>
        </w:rPr>
        <w:t>供应商参与投标截止时间</w:t>
      </w:r>
      <w:r>
        <w:rPr>
          <w:rFonts w:hint="eastAsia" w:ascii="宋体" w:hAnsi="宋体" w:eastAsia="宋体" w:cs="宋体"/>
          <w:color w:val="auto"/>
          <w:sz w:val="24"/>
        </w:rPr>
        <w:t>前时需在信用中国（陕西榆林）”网站进行注册、登陆，自主上报信用承诺书（网址：</w:t>
      </w:r>
      <w:r>
        <w:rPr>
          <w:color w:val="auto"/>
        </w:rPr>
        <w:fldChar w:fldCharType="begin"/>
      </w:r>
      <w:r>
        <w:rPr>
          <w:color w:val="auto"/>
        </w:rPr>
        <w:instrText xml:space="preserve"> HYPERLINK "https://credit.yl.gov.cn/）。" </w:instrText>
      </w:r>
      <w:r>
        <w:rPr>
          <w:color w:val="auto"/>
        </w:rPr>
        <w:fldChar w:fldCharType="separate"/>
      </w:r>
      <w:r>
        <w:rPr>
          <w:rStyle w:val="37"/>
          <w:color w:val="auto"/>
          <w:sz w:val="24"/>
          <w:szCs w:val="24"/>
        </w:rPr>
        <w:t>https://credit.yl.gov.cn/）。</w:t>
      </w:r>
      <w:r>
        <w:rPr>
          <w:color w:val="auto"/>
          <w:sz w:val="24"/>
          <w:szCs w:val="24"/>
        </w:rPr>
        <w:fldChar w:fldCharType="end"/>
      </w:r>
      <w:r>
        <w:rPr>
          <w:rStyle w:val="37"/>
          <w:rFonts w:hint="eastAsia"/>
          <w:b/>
          <w:bCs/>
          <w:color w:val="auto"/>
          <w:sz w:val="24"/>
          <w:szCs w:val="24"/>
          <w:lang w:val="en-US" w:eastAsia="zh-CN"/>
        </w:rPr>
        <w:t>后附截图</w:t>
      </w:r>
    </w:p>
    <w:p w14:paraId="42BB7027">
      <w:pPr>
        <w:spacing w:before="78" w:line="219" w:lineRule="auto"/>
        <w:outlineLvl w:val="2"/>
        <w:rPr>
          <w:rFonts w:hint="eastAsia" w:ascii="宋体" w:hAnsi="宋体" w:eastAsia="宋体" w:cs="宋体"/>
          <w:b/>
          <w:bCs/>
          <w:color w:val="auto"/>
          <w:sz w:val="24"/>
          <w:szCs w:val="24"/>
          <w:lang w:val="en-US" w:eastAsia="zh-CN"/>
        </w:rPr>
      </w:pPr>
    </w:p>
    <w:p w14:paraId="0748A5DC">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b/>
          <w:color w:val="auto"/>
          <w:kern w:val="2"/>
          <w:sz w:val="28"/>
          <w:szCs w:val="28"/>
          <w:highlight w:val="none"/>
          <w:lang w:val="en-US" w:eastAsia="zh-CN" w:bidi="ar-SA"/>
        </w:rPr>
        <w:t>投标人委托代理人员信用承诺书</w:t>
      </w:r>
    </w:p>
    <w:p w14:paraId="5DDA713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u w:val="single"/>
          <w:lang w:val="en-US" w:eastAsia="zh-CN"/>
        </w:rPr>
        <w:t xml:space="preserve">         项目名称：  项目编号：             </w:t>
      </w:r>
      <w:r>
        <w:rPr>
          <w:rFonts w:hint="eastAsia" w:ascii="宋体" w:hAnsi="宋体" w:eastAsia="宋体" w:cs="宋体"/>
          <w:color w:val="auto"/>
          <w:sz w:val="24"/>
          <w:szCs w:val="24"/>
          <w:highlight w:val="none"/>
        </w:rPr>
        <w:t>项目招投标活动中，我公司（单位）郑重作出以下信用承诺：</w:t>
      </w:r>
    </w:p>
    <w:p w14:paraId="486A687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0289758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（二）不得有以下违法违规行为：1. 围标串标；以他人名义或者其他方式弄虚作假投标；出让出租资格、资质证书供他人投标；恶意竞标、强揽工程；以暴力、威胁、利诱等手段阻止或者控制其他潜在投标人参与招投标活动。2. 向招投标监督部门、交易中心、招标人、招标代理机构、评审委员会及其成员等当事主体赠送财物。3. 投标截止后至中标人确定前，修改或者撤销</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。4. 在被确定为中标人后无正当理由：不按照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与招标人签订合同；在签订合同时向招标人提出附加条件、或者改变</w:t>
      </w:r>
      <w:r>
        <w:rPr>
          <w:rFonts w:hint="eastAsia" w:ascii="宋体" w:hAnsi="宋体" w:eastAsia="宋体" w:cs="宋体"/>
          <w:color w:val="auto"/>
          <w:sz w:val="24"/>
          <w:szCs w:val="24"/>
          <w:highlight w:val="none"/>
          <w:lang w:eastAsia="zh-CN"/>
        </w:rPr>
        <w:t>磋商响应文件</w:t>
      </w:r>
      <w:r>
        <w:rPr>
          <w:rFonts w:hint="eastAsia" w:ascii="宋体" w:hAnsi="宋体" w:eastAsia="宋体" w:cs="宋体"/>
          <w:color w:val="auto"/>
          <w:sz w:val="24"/>
          <w:szCs w:val="24"/>
          <w:highlight w:val="none"/>
        </w:rPr>
        <w:t>的实质性内容；放弃中标；不按照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的规定提交履约保证金。5. 招投标法规定的其它违法违规行为。</w:t>
      </w:r>
    </w:p>
    <w:p w14:paraId="44294DF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（三）自愿接受招投标监督部门和有关行政监督部门的依法检查。</w:t>
      </w:r>
    </w:p>
    <w:p w14:paraId="5C6A6C4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（四）同意将此信用承诺纳入陕西省公共信用信息平台和榆林市公共信用信息共享平台，并上网公示，接受社会监督。</w:t>
      </w:r>
    </w:p>
    <w:p w14:paraId="6D9FAD3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（五）若我公司（单位）及相关参与人员违背以上承诺事项，即被视为失信企（法人）， 依据《关于对公共资源交易领域严重失信主体开展联合惩戒的备忘录》 (发改法规［2018] 457号）， 自愿接受失信联合惩戒和依法给予的行政处罚（处理）， 并依法承担赔偿责任和刑事责任。</w:t>
      </w:r>
      <w:r>
        <w:rPr>
          <w:rFonts w:hint="eastAsia" w:ascii="宋体" w:hAnsi="宋体" w:eastAsia="宋体" w:cs="宋体"/>
          <w:color w:val="auto"/>
          <w:highlight w:val="none"/>
          <w:lang w:val="en-US" w:eastAsia="zh-CN"/>
        </w:rPr>
        <w:t xml:space="preserve"> </w:t>
      </w:r>
    </w:p>
    <w:p w14:paraId="106455BB">
      <w:pPr>
        <w:bidi w:val="0"/>
        <w:rPr>
          <w:rFonts w:hint="eastAsia"/>
          <w:lang w:val="en-US" w:eastAsia="zh-CN"/>
        </w:rPr>
      </w:pPr>
    </w:p>
    <w:p w14:paraId="747D46AC">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承诺有效期限：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。（自递交文件截止之日起1年）</w:t>
      </w:r>
    </w:p>
    <w:p w14:paraId="7D1548FE">
      <w:pPr>
        <w:pStyle w:val="9"/>
        <w:shd w:val="clear" w:color="auto" w:fill="auto"/>
        <w:spacing w:line="360" w:lineRule="auto"/>
        <w:ind w:firstLine="240" w:firstLineChars="100"/>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lang w:val="en-US" w:eastAsia="zh-CN"/>
        </w:rPr>
        <w:t>投标人：</w:t>
      </w:r>
      <w:r>
        <w:rPr>
          <w:rFonts w:hint="eastAsia" w:ascii="宋体" w:hAnsi="宋体" w:eastAsia="宋体" w:cs="宋体"/>
          <w:b w:val="0"/>
          <w:bCs/>
          <w:color w:val="auto"/>
          <w:sz w:val="24"/>
          <w:szCs w:val="24"/>
          <w:highlight w:val="none"/>
          <w:u w:val="non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p>
    <w:p w14:paraId="06B80ED5">
      <w:pPr>
        <w:shd w:val="clear" w:color="auto" w:fill="auto"/>
        <w:spacing w:line="360" w:lineRule="auto"/>
        <w:ind w:firstLine="240" w:firstLineChars="1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承诺人（签字）：</w:t>
      </w:r>
      <w:r>
        <w:rPr>
          <w:rFonts w:hint="eastAsia" w:ascii="宋体" w:hAnsi="宋体" w:eastAsia="宋体" w:cs="宋体"/>
          <w:color w:val="auto"/>
          <w:sz w:val="24"/>
          <w:szCs w:val="24"/>
          <w:highlight w:val="none"/>
          <w:u w:val="single"/>
          <w:lang w:val="en-US" w:eastAsia="zh-CN"/>
        </w:rPr>
        <w:t xml:space="preserve">                    </w:t>
      </w:r>
    </w:p>
    <w:p w14:paraId="19397019">
      <w:pPr>
        <w:shd w:val="clear" w:color="auto" w:fill="auto"/>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承诺时间：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13760E8F">
      <w:pPr>
        <w:ind w:firstLine="240" w:firstLineChars="100"/>
        <w:rPr>
          <w:rFonts w:hint="default" w:ascii="宋体" w:hAnsi="宋体" w:eastAsia="宋体" w:cs="宋体"/>
          <w:b/>
          <w:bCs/>
          <w:sz w:val="24"/>
          <w:lang w:val="en-US" w:eastAsia="zh-CN"/>
        </w:rPr>
      </w:pPr>
      <w:r>
        <w:rPr>
          <w:rFonts w:hint="eastAsia" w:ascii="宋体" w:hAnsi="宋体" w:eastAsia="宋体" w:cs="宋体"/>
          <w:sz w:val="24"/>
        </w:rPr>
        <w:t>供应商参与投标截止时间前时需在信用中国（陕西榆林）”网站进行注册、登陆，自主上报信用承诺书（网址</w:t>
      </w:r>
      <w:r>
        <w:rPr>
          <w:rFonts w:hint="eastAsia" w:ascii="宋体" w:hAnsi="宋体" w:eastAsia="宋体" w:cs="宋体"/>
          <w:color w:val="auto"/>
          <w:sz w:val="24"/>
        </w:rPr>
        <w:t>：</w:t>
      </w:r>
      <w:r>
        <w:rPr>
          <w:color w:val="auto"/>
        </w:rPr>
        <w:fldChar w:fldCharType="begin"/>
      </w:r>
      <w:r>
        <w:rPr>
          <w:color w:val="auto"/>
        </w:rPr>
        <w:instrText xml:space="preserve"> HYPERLINK "https://credit.yl.gov.cn/）。" </w:instrText>
      </w:r>
      <w:r>
        <w:rPr>
          <w:color w:val="auto"/>
        </w:rPr>
        <w:fldChar w:fldCharType="separate"/>
      </w:r>
      <w:r>
        <w:rPr>
          <w:rStyle w:val="37"/>
          <w:color w:val="auto"/>
          <w:sz w:val="24"/>
          <w:szCs w:val="24"/>
        </w:rPr>
        <w:t>https://credit.yl.gov.cn/）。</w:t>
      </w:r>
      <w:r>
        <w:rPr>
          <w:color w:val="auto"/>
          <w:sz w:val="24"/>
          <w:szCs w:val="24"/>
        </w:rPr>
        <w:fldChar w:fldCharType="end"/>
      </w:r>
      <w:r>
        <w:rPr>
          <w:rStyle w:val="37"/>
          <w:rFonts w:hint="eastAsia"/>
          <w:b/>
          <w:bCs/>
          <w:color w:val="auto"/>
          <w:sz w:val="24"/>
          <w:szCs w:val="24"/>
          <w:lang w:val="en-US" w:eastAsia="zh-CN"/>
        </w:rPr>
        <w:t>后附截图</w:t>
      </w:r>
    </w:p>
    <w:p w14:paraId="473016FE">
      <w:pPr>
        <w:spacing w:before="78" w:line="219" w:lineRule="auto"/>
        <w:outlineLvl w:val="2"/>
        <w:rPr>
          <w:rFonts w:hint="default" w:ascii="宋体" w:hAnsi="宋体" w:eastAsia="宋体" w:cs="宋体"/>
          <w:b/>
          <w:bCs/>
          <w:sz w:val="24"/>
          <w:szCs w:val="24"/>
          <w:lang w:val="en-US" w:eastAsia="zh-CN"/>
        </w:rPr>
      </w:pPr>
    </w:p>
    <w:p w14:paraId="0F07EAC4">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center"/>
        <w:textAlignment w:val="auto"/>
        <w:outlineLvl w:val="1"/>
        <w:rPr>
          <w:rFonts w:hint="eastAsia" w:ascii="Arial" w:hAnsi="Arial" w:eastAsia="宋体" w:cs="Times New Roman"/>
          <w:b/>
          <w:kern w:val="2"/>
          <w:sz w:val="28"/>
          <w:szCs w:val="20"/>
          <w:lang w:val="en-US" w:eastAsia="zh-CN" w:bidi="ar-SA"/>
        </w:rPr>
      </w:pPr>
      <w:bookmarkStart w:id="310" w:name="_Toc24173"/>
      <w:bookmarkStart w:id="311" w:name="_Toc24841"/>
      <w:r>
        <w:rPr>
          <w:rFonts w:hint="eastAsia" w:ascii="Arial" w:hAnsi="Arial" w:eastAsia="宋体" w:cs="Times New Roman"/>
          <w:b/>
          <w:kern w:val="2"/>
          <w:sz w:val="28"/>
          <w:szCs w:val="20"/>
          <w:lang w:val="en-US" w:eastAsia="zh-CN" w:bidi="ar-SA"/>
        </w:rPr>
        <w:t>榆林市政府采购服务类项目供应商信用承诺书</w:t>
      </w:r>
      <w:bookmarkEnd w:id="310"/>
      <w:bookmarkEnd w:id="311"/>
    </w:p>
    <w:p w14:paraId="0DC27F83">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市场主体名称：</w:t>
      </w:r>
    </w:p>
    <w:p w14:paraId="5304300C">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证件类型：统一社会信用代码</w:t>
      </w:r>
    </w:p>
    <w:p w14:paraId="14937851">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证件号码：</w:t>
      </w:r>
    </w:p>
    <w:p w14:paraId="521133A1">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法人代表：</w:t>
      </w:r>
    </w:p>
    <w:p w14:paraId="50817397">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承诺有效期限：   年    月   日—     年     月   日</w:t>
      </w:r>
      <w:r>
        <w:rPr>
          <w:rFonts w:hint="eastAsia" w:ascii="宋体" w:hAnsi="宋体" w:eastAsia="宋体" w:cs="宋体"/>
          <w:color w:val="auto"/>
          <w:sz w:val="24"/>
          <w:szCs w:val="24"/>
          <w:highlight w:val="none"/>
          <w:lang w:val="en-US" w:eastAsia="zh-CN"/>
        </w:rPr>
        <w:t>（自递交文件截止之日起1年）</w:t>
      </w:r>
    </w:p>
    <w:p w14:paraId="70F5E0F4">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承诺内容：</w:t>
      </w:r>
    </w:p>
    <w:p w14:paraId="5282B95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为维护公开、公平、公正的政府采购市场秩序，树立诚实守信的政府采购供应商形象，本单位自愿做出以下承诺：</w:t>
      </w:r>
    </w:p>
    <w:p w14:paraId="4660D97D">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一、承诺本单位严格遵守国家法律、法规和规章，全面履行应尽的责任和义务，全面做到履约守信，具备《政府采购法》第二十二条第一款规定的条件;</w:t>
      </w:r>
    </w:p>
    <w:p w14:paraId="6EC7AFBD">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二、承诺本单位提供给注册登记部门、行业管理部门、司法部门、行业组织以及在政府采购活动中提交的所有资料均合法、真实、有效，无任何伪造、修改、虚假成份，并对所提供资料的真实性负责；</w:t>
      </w:r>
    </w:p>
    <w:p w14:paraId="5AB71D31">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三、承诺本单位严格依法开展生产经营活动，主动接受行业监管，自愿接受依法开展的日常检查；违法失信经营后将自愿接受约束和惩戒，并依法承担相应责任；</w:t>
      </w:r>
    </w:p>
    <w:p w14:paraId="002BAF69">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四、承诺本单位自觉接受行政管理部门、行业组织、社会公众、新闻舆论的监督；</w:t>
      </w:r>
    </w:p>
    <w:p w14:paraId="678CCE9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五、承诺本单位自我约束、自我管理，重合同、守信用，不制假售假、商标侵权、虚假宣传、违约毁约、恶意逃债、偷税漏税、价格欺诈、垄断和不正当竞争，维护经营者、消费者的合法权益；</w:t>
      </w:r>
    </w:p>
    <w:p w14:paraId="1FF21A73">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六、承诺本单位提出政府采购质疑和投诉坚持依法依规、诚实信用原则，在全国范围12个月内没有三次以上查无实据的政府采购投诉；</w:t>
      </w:r>
    </w:p>
    <w:p w14:paraId="3F5A707C">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七、根据政府采购相关法律法规的规定需要作出的其他承诺：</w:t>
      </w:r>
      <w:r>
        <w:rPr>
          <w:rFonts w:hint="eastAsia" w:ascii="宋体" w:hAnsi="宋体" w:eastAsia="宋体" w:cs="宋体"/>
          <w:color w:val="000000"/>
          <w:kern w:val="0"/>
          <w:sz w:val="24"/>
          <w:szCs w:val="24"/>
          <w:u w:val="single"/>
          <w:lang w:val="en-US" w:eastAsia="zh-CN" w:bidi="ar"/>
        </w:rPr>
        <w:t>      </w:t>
      </w:r>
      <w:r>
        <w:rPr>
          <w:rFonts w:hint="eastAsia" w:ascii="宋体" w:hAnsi="宋体" w:eastAsia="宋体" w:cs="宋体"/>
          <w:color w:val="000000"/>
          <w:kern w:val="0"/>
          <w:sz w:val="24"/>
          <w:szCs w:val="24"/>
          <w:lang w:val="en-US" w:eastAsia="zh-CN" w:bidi="ar"/>
        </w:rPr>
        <w:t>。</w:t>
      </w:r>
    </w:p>
    <w:p w14:paraId="369355CE">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61B8963">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承诺单位（盖章）：</w:t>
      </w:r>
    </w:p>
    <w:p w14:paraId="3767F05A">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法定代表人（负责人）：</w:t>
      </w:r>
    </w:p>
    <w:p w14:paraId="528FE74B">
      <w:pPr>
        <w:keepNext w:val="0"/>
        <w:keepLines w:val="0"/>
        <w:widowControl/>
        <w:suppressLineNumbers w:val="0"/>
        <w:spacing w:line="360" w:lineRule="auto"/>
        <w:ind w:firstLine="2880" w:firstLineChars="1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法定代表人（负责人）身份证号：</w:t>
      </w:r>
    </w:p>
    <w:p w14:paraId="6AC70FF6">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承诺日期：</w:t>
      </w:r>
    </w:p>
    <w:p w14:paraId="5E0366D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注：法定代表人或负责人、主体名称发生变更的应当重新做出承诺；承诺书标题按照工程类、货物类、服务类确定。</w:t>
      </w:r>
      <w:bookmarkStart w:id="312" w:name="_Toc11480"/>
      <w:r>
        <w:rPr>
          <w:rFonts w:hint="eastAsia" w:ascii="宋体" w:hAnsi="宋体" w:eastAsia="宋体" w:cs="宋体"/>
          <w:b/>
          <w:bCs/>
          <w:color w:val="000000"/>
          <w:kern w:val="0"/>
          <w:sz w:val="24"/>
          <w:szCs w:val="24"/>
          <w:lang w:val="en-US" w:eastAsia="zh-CN" w:bidi="ar"/>
        </w:rPr>
        <w:t>后附信用榆林上报截图</w:t>
      </w:r>
      <w:bookmarkEnd w:id="312"/>
    </w:p>
    <w:p w14:paraId="108A1BA1">
      <w:pPr>
        <w:pStyle w:val="7"/>
        <w:keepNext w:val="0"/>
        <w:keepLines w:val="0"/>
        <w:pageBreakBefore w:val="0"/>
        <w:widowControl w:val="0"/>
        <w:kinsoku/>
        <w:wordWrap/>
        <w:overflowPunct/>
        <w:topLinePunct w:val="0"/>
        <w:autoSpaceDE/>
        <w:autoSpaceDN/>
        <w:bidi w:val="0"/>
        <w:adjustRightInd w:val="0"/>
        <w:snapToGrid w:val="0"/>
        <w:spacing w:line="360" w:lineRule="auto"/>
        <w:ind w:firstLine="723" w:firstLineChars="300"/>
        <w:textAlignment w:val="auto"/>
        <w:rPr>
          <w:rFonts w:hint="eastAsia" w:ascii="宋体" w:hAnsi="宋体" w:eastAsia="宋体" w:cs="宋体"/>
          <w:b/>
          <w:kern w:val="0"/>
          <w:sz w:val="24"/>
        </w:rPr>
      </w:pPr>
    </w:p>
    <w:p w14:paraId="0D201CB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645" w:leftChars="0"/>
        <w:textAlignment w:val="auto"/>
        <w:rPr>
          <w:rFonts w:hint="eastAsia" w:ascii="宋体" w:hAnsi="宋体" w:eastAsia="宋体" w:cs="宋体"/>
          <w:kern w:val="0"/>
          <w:sz w:val="24"/>
        </w:rPr>
      </w:pPr>
      <w:r>
        <w:rPr>
          <w:rFonts w:hint="eastAsia" w:ascii="宋体" w:hAnsi="宋体" w:eastAsia="宋体" w:cs="宋体"/>
          <w:kern w:val="0"/>
          <w:sz w:val="24"/>
        </w:rPr>
        <w:t xml:space="preserve">   </w:t>
      </w:r>
    </w:p>
    <w:p w14:paraId="7A1FC8C9">
      <w:pPr>
        <w:spacing w:line="360" w:lineRule="auto"/>
        <w:jc w:val="both"/>
        <w:rPr>
          <w:rFonts w:hint="eastAsia" w:ascii="宋体" w:hAnsi="宋体" w:eastAsia="宋体" w:cs="宋体"/>
          <w:b/>
          <w:bCs/>
          <w:sz w:val="24"/>
          <w:szCs w:val="22"/>
          <w:lang w:val="en-US" w:eastAsia="zh-CN"/>
        </w:rPr>
        <w:sectPr>
          <w:pgSz w:w="11906" w:h="16838"/>
          <w:pgMar w:top="1440" w:right="1644" w:bottom="1440" w:left="1644" w:header="851" w:footer="992" w:gutter="0"/>
          <w:pgNumType w:fmt="decimal"/>
          <w:cols w:space="720" w:num="1"/>
          <w:docGrid w:type="lines" w:linePitch="312" w:charSpace="0"/>
        </w:sectPr>
      </w:pPr>
    </w:p>
    <w:p w14:paraId="50B20540">
      <w:pPr>
        <w:spacing w:line="360" w:lineRule="auto"/>
        <w:jc w:val="both"/>
        <w:rPr>
          <w:rFonts w:hint="eastAsia" w:ascii="宋体" w:hAnsi="宋体" w:eastAsia="宋体" w:cs="宋体"/>
          <w:b/>
          <w:bCs/>
          <w:sz w:val="24"/>
          <w:szCs w:val="22"/>
          <w:lang w:eastAsia="zh-CN"/>
        </w:rPr>
      </w:pPr>
      <w:r>
        <w:rPr>
          <w:rFonts w:hint="eastAsia" w:ascii="宋体" w:hAnsi="宋体" w:eastAsia="宋体" w:cs="宋体"/>
          <w:b/>
          <w:bCs/>
          <w:sz w:val="24"/>
          <w:szCs w:val="22"/>
          <w:lang w:val="en-US" w:eastAsia="zh-CN"/>
        </w:rPr>
        <w:t xml:space="preserve">附件4  </w:t>
      </w:r>
      <w:r>
        <w:rPr>
          <w:rFonts w:hint="eastAsia" w:ascii="宋体" w:hAnsi="宋体" w:eastAsia="宋体" w:cs="宋体"/>
          <w:b/>
          <w:bCs/>
          <w:sz w:val="24"/>
          <w:szCs w:val="22"/>
          <w:lang w:eastAsia="zh-CN"/>
        </w:rPr>
        <w:t>信用承诺上报操作指南</w:t>
      </w:r>
    </w:p>
    <w:p w14:paraId="1698C193">
      <w:pPr>
        <w:spacing w:line="360" w:lineRule="auto"/>
        <w:jc w:val="center"/>
        <w:rPr>
          <w:rFonts w:hint="eastAsia" w:ascii="宋体" w:hAnsi="宋体" w:eastAsia="宋体" w:cs="宋体"/>
          <w:szCs w:val="20"/>
        </w:rPr>
      </w:pPr>
      <w:r>
        <w:rPr>
          <w:rFonts w:hint="eastAsia" w:ascii="宋体" w:hAnsi="宋体" w:eastAsia="宋体" w:cs="宋体"/>
        </w:rPr>
        <w:drawing>
          <wp:inline distT="0" distB="0" distL="114300" distR="114300">
            <wp:extent cx="5755640" cy="8070850"/>
            <wp:effectExtent l="0" t="0" r="5080" b="635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2"/>
                    <a:stretch>
                      <a:fillRect/>
                    </a:stretch>
                  </pic:blipFill>
                  <pic:spPr>
                    <a:xfrm>
                      <a:off x="0" y="0"/>
                      <a:ext cx="5755640" cy="8070850"/>
                    </a:xfrm>
                    <a:prstGeom prst="rect">
                      <a:avLst/>
                    </a:prstGeom>
                    <a:noFill/>
                    <a:ln>
                      <a:noFill/>
                    </a:ln>
                  </pic:spPr>
                </pic:pic>
              </a:graphicData>
            </a:graphic>
          </wp:inline>
        </w:drawing>
      </w:r>
      <w:r>
        <w:rPr>
          <w:rFonts w:hint="eastAsia" w:ascii="宋体" w:hAnsi="宋体" w:eastAsia="宋体" w:cs="宋体"/>
        </w:rPr>
        <w:drawing>
          <wp:inline distT="0" distB="0" distL="114300" distR="114300">
            <wp:extent cx="5755640" cy="7927975"/>
            <wp:effectExtent l="0" t="0" r="5080" b="1206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3"/>
                    <a:stretch>
                      <a:fillRect/>
                    </a:stretch>
                  </pic:blipFill>
                  <pic:spPr>
                    <a:xfrm>
                      <a:off x="0" y="0"/>
                      <a:ext cx="5755640" cy="7927975"/>
                    </a:xfrm>
                    <a:prstGeom prst="rect">
                      <a:avLst/>
                    </a:prstGeom>
                    <a:noFill/>
                    <a:ln>
                      <a:noFill/>
                    </a:ln>
                  </pic:spPr>
                </pic:pic>
              </a:graphicData>
            </a:graphic>
          </wp:inline>
        </w:drawing>
      </w:r>
      <w:r>
        <w:rPr>
          <w:rFonts w:hint="eastAsia" w:ascii="宋体" w:hAnsi="宋体" w:eastAsia="宋体" w:cs="宋体"/>
          <w:szCs w:val="20"/>
        </w:rPr>
        <w:drawing>
          <wp:inline distT="0" distB="0" distL="114300" distR="114300">
            <wp:extent cx="3756025" cy="2139950"/>
            <wp:effectExtent l="0" t="0" r="8255" b="889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4"/>
                    <a:stretch>
                      <a:fillRect/>
                    </a:stretch>
                  </pic:blipFill>
                  <pic:spPr>
                    <a:xfrm>
                      <a:off x="0" y="0"/>
                      <a:ext cx="3756025" cy="2139950"/>
                    </a:xfrm>
                    <a:prstGeom prst="rect">
                      <a:avLst/>
                    </a:prstGeom>
                    <a:noFill/>
                    <a:ln>
                      <a:noFill/>
                    </a:ln>
                  </pic:spPr>
                </pic:pic>
              </a:graphicData>
            </a:graphic>
          </wp:inline>
        </w:drawing>
      </w:r>
    </w:p>
    <w:p w14:paraId="301055A4">
      <w:pPr>
        <w:spacing w:line="360" w:lineRule="auto"/>
        <w:jc w:val="center"/>
        <w:rPr>
          <w:rFonts w:hint="eastAsia" w:ascii="宋体" w:hAnsi="宋体" w:eastAsia="宋体" w:cs="宋体"/>
          <w:szCs w:val="20"/>
        </w:rPr>
      </w:pPr>
    </w:p>
    <w:p w14:paraId="28918C63">
      <w:pPr>
        <w:spacing w:line="360" w:lineRule="auto"/>
        <w:jc w:val="center"/>
        <w:rPr>
          <w:rFonts w:hint="eastAsia" w:ascii="宋体" w:hAnsi="宋体" w:eastAsia="宋体" w:cs="宋体"/>
          <w:szCs w:val="20"/>
        </w:rPr>
      </w:pPr>
      <w:r>
        <w:rPr>
          <w:rFonts w:hint="eastAsia" w:ascii="宋体" w:hAnsi="宋体" w:eastAsia="宋体" w:cs="宋体"/>
          <w:szCs w:val="20"/>
        </w:rPr>
        <w:drawing>
          <wp:inline distT="0" distB="0" distL="114300" distR="114300">
            <wp:extent cx="3941445" cy="2202180"/>
            <wp:effectExtent l="0" t="0" r="5715" b="762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15"/>
                    <a:stretch>
                      <a:fillRect/>
                    </a:stretch>
                  </pic:blipFill>
                  <pic:spPr>
                    <a:xfrm>
                      <a:off x="0" y="0"/>
                      <a:ext cx="3941445" cy="2202180"/>
                    </a:xfrm>
                    <a:prstGeom prst="rect">
                      <a:avLst/>
                    </a:prstGeom>
                    <a:noFill/>
                    <a:ln>
                      <a:noFill/>
                    </a:ln>
                  </pic:spPr>
                </pic:pic>
              </a:graphicData>
            </a:graphic>
          </wp:inline>
        </w:drawing>
      </w:r>
    </w:p>
    <w:p w14:paraId="45E3DCCE">
      <w:pPr>
        <w:spacing w:line="360" w:lineRule="auto"/>
        <w:jc w:val="center"/>
        <w:rPr>
          <w:rFonts w:hint="eastAsia" w:ascii="宋体" w:hAnsi="宋体" w:eastAsia="宋体" w:cs="宋体"/>
          <w:szCs w:val="20"/>
        </w:rPr>
      </w:pPr>
    </w:p>
    <w:p w14:paraId="65DE84D8">
      <w:pPr>
        <w:spacing w:line="360" w:lineRule="auto"/>
        <w:jc w:val="center"/>
        <w:rPr>
          <w:rFonts w:hint="eastAsia" w:ascii="宋体" w:hAnsi="宋体" w:eastAsia="宋体" w:cs="宋体"/>
          <w:szCs w:val="20"/>
        </w:rPr>
      </w:pPr>
      <w:r>
        <w:rPr>
          <w:rFonts w:hint="eastAsia" w:ascii="宋体" w:hAnsi="宋体" w:eastAsia="宋体" w:cs="宋体"/>
          <w:szCs w:val="20"/>
        </w:rPr>
        <w:drawing>
          <wp:inline distT="0" distB="0" distL="114300" distR="114300">
            <wp:extent cx="4086225" cy="2303780"/>
            <wp:effectExtent l="0" t="0" r="13335" b="12700"/>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16"/>
                    <a:stretch>
                      <a:fillRect/>
                    </a:stretch>
                  </pic:blipFill>
                  <pic:spPr>
                    <a:xfrm>
                      <a:off x="0" y="0"/>
                      <a:ext cx="4086225" cy="2303780"/>
                    </a:xfrm>
                    <a:prstGeom prst="rect">
                      <a:avLst/>
                    </a:prstGeom>
                    <a:noFill/>
                    <a:ln>
                      <a:noFill/>
                    </a:ln>
                  </pic:spPr>
                </pic:pic>
              </a:graphicData>
            </a:graphic>
          </wp:inline>
        </w:drawing>
      </w:r>
    </w:p>
    <w:p w14:paraId="40DD69B8">
      <w:pPr>
        <w:spacing w:line="360" w:lineRule="auto"/>
        <w:jc w:val="both"/>
        <w:rPr>
          <w:rFonts w:hint="eastAsia" w:ascii="宋体" w:hAnsi="宋体" w:eastAsia="宋体" w:cs="宋体"/>
          <w:szCs w:val="20"/>
        </w:rPr>
      </w:pPr>
    </w:p>
    <w:p w14:paraId="225540E8">
      <w:pPr>
        <w:spacing w:line="360" w:lineRule="auto"/>
        <w:jc w:val="center"/>
        <w:rPr>
          <w:rFonts w:hint="eastAsia" w:ascii="宋体" w:hAnsi="宋体" w:eastAsia="宋体" w:cs="宋体"/>
          <w:szCs w:val="20"/>
        </w:rPr>
      </w:pPr>
      <w:r>
        <w:rPr>
          <w:rFonts w:hint="eastAsia" w:ascii="宋体" w:hAnsi="宋体" w:eastAsia="宋体" w:cs="宋体"/>
          <w:szCs w:val="20"/>
        </w:rPr>
        <w:drawing>
          <wp:inline distT="0" distB="0" distL="114300" distR="114300">
            <wp:extent cx="3968750" cy="2249805"/>
            <wp:effectExtent l="0" t="0" r="8890" b="5715"/>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icPr>
                  <pic:blipFill>
                    <a:blip r:embed="rId17"/>
                    <a:stretch>
                      <a:fillRect/>
                    </a:stretch>
                  </pic:blipFill>
                  <pic:spPr>
                    <a:xfrm>
                      <a:off x="0" y="0"/>
                      <a:ext cx="3968750" cy="2249805"/>
                    </a:xfrm>
                    <a:prstGeom prst="rect">
                      <a:avLst/>
                    </a:prstGeom>
                    <a:noFill/>
                    <a:ln>
                      <a:noFill/>
                    </a:ln>
                  </pic:spPr>
                </pic:pic>
              </a:graphicData>
            </a:graphic>
          </wp:inline>
        </w:drawing>
      </w:r>
    </w:p>
    <w:p w14:paraId="619D52A6">
      <w:pPr>
        <w:spacing w:line="360" w:lineRule="auto"/>
        <w:jc w:val="center"/>
        <w:rPr>
          <w:rFonts w:hint="eastAsia" w:ascii="宋体" w:hAnsi="宋体" w:eastAsia="宋体" w:cs="宋体"/>
          <w:szCs w:val="20"/>
        </w:rPr>
      </w:pPr>
    </w:p>
    <w:p w14:paraId="1DF4090B">
      <w:pPr>
        <w:spacing w:line="360" w:lineRule="auto"/>
        <w:jc w:val="center"/>
        <w:rPr>
          <w:rFonts w:hint="eastAsia" w:ascii="宋体" w:hAnsi="宋体" w:eastAsia="宋体" w:cs="宋体"/>
          <w:szCs w:val="20"/>
        </w:rPr>
      </w:pPr>
      <w:r>
        <w:rPr>
          <w:rFonts w:hint="eastAsia" w:ascii="宋体" w:hAnsi="宋体" w:eastAsia="宋体" w:cs="宋体"/>
          <w:szCs w:val="20"/>
        </w:rPr>
        <w:drawing>
          <wp:inline distT="0" distB="0" distL="114300" distR="114300">
            <wp:extent cx="4075430" cy="2304415"/>
            <wp:effectExtent l="0" t="0" r="8890" b="12065"/>
            <wp:docPr id="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pic:cNvPicPr>
                      <a:picLocks noChangeAspect="1"/>
                    </pic:cNvPicPr>
                  </pic:nvPicPr>
                  <pic:blipFill>
                    <a:blip r:embed="rId18"/>
                    <a:stretch>
                      <a:fillRect/>
                    </a:stretch>
                  </pic:blipFill>
                  <pic:spPr>
                    <a:xfrm>
                      <a:off x="0" y="0"/>
                      <a:ext cx="4075430" cy="2304415"/>
                    </a:xfrm>
                    <a:prstGeom prst="rect">
                      <a:avLst/>
                    </a:prstGeom>
                    <a:noFill/>
                    <a:ln>
                      <a:noFill/>
                    </a:ln>
                  </pic:spPr>
                </pic:pic>
              </a:graphicData>
            </a:graphic>
          </wp:inline>
        </w:drawing>
      </w:r>
    </w:p>
    <w:p w14:paraId="0AA252A0">
      <w:pPr>
        <w:spacing w:line="360" w:lineRule="auto"/>
        <w:jc w:val="center"/>
        <w:rPr>
          <w:rFonts w:hint="eastAsia" w:ascii="宋体" w:hAnsi="宋体" w:eastAsia="宋体" w:cs="宋体"/>
          <w:szCs w:val="20"/>
        </w:rPr>
      </w:pPr>
    </w:p>
    <w:p w14:paraId="78C1E792">
      <w:pPr>
        <w:spacing w:line="360" w:lineRule="auto"/>
        <w:jc w:val="center"/>
        <w:rPr>
          <w:rFonts w:hint="eastAsia" w:ascii="宋体" w:hAnsi="宋体" w:eastAsia="宋体" w:cs="宋体"/>
          <w:szCs w:val="20"/>
        </w:rPr>
      </w:pPr>
      <w:r>
        <w:rPr>
          <w:rFonts w:hint="eastAsia" w:ascii="宋体" w:hAnsi="宋体" w:eastAsia="宋体" w:cs="宋体"/>
          <w:szCs w:val="20"/>
        </w:rPr>
        <w:drawing>
          <wp:inline distT="0" distB="0" distL="114300" distR="114300">
            <wp:extent cx="4094480" cy="2308860"/>
            <wp:effectExtent l="0" t="0" r="508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9"/>
                    <a:stretch>
                      <a:fillRect/>
                    </a:stretch>
                  </pic:blipFill>
                  <pic:spPr>
                    <a:xfrm>
                      <a:off x="0" y="0"/>
                      <a:ext cx="4094480" cy="2308860"/>
                    </a:xfrm>
                    <a:prstGeom prst="rect">
                      <a:avLst/>
                    </a:prstGeom>
                    <a:noFill/>
                    <a:ln>
                      <a:noFill/>
                    </a:ln>
                  </pic:spPr>
                </pic:pic>
              </a:graphicData>
            </a:graphic>
          </wp:inline>
        </w:drawing>
      </w:r>
      <w:r>
        <w:rPr>
          <w:rFonts w:hint="eastAsia" w:ascii="宋体" w:hAnsi="宋体" w:eastAsia="宋体" w:cs="宋体"/>
          <w:szCs w:val="20"/>
        </w:rPr>
        <w:drawing>
          <wp:inline distT="0" distB="0" distL="114300" distR="114300">
            <wp:extent cx="5291455" cy="3002280"/>
            <wp:effectExtent l="0" t="0" r="1206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20"/>
                    <a:stretch>
                      <a:fillRect/>
                    </a:stretch>
                  </pic:blipFill>
                  <pic:spPr>
                    <a:xfrm>
                      <a:off x="0" y="0"/>
                      <a:ext cx="5291455" cy="3002280"/>
                    </a:xfrm>
                    <a:prstGeom prst="rect">
                      <a:avLst/>
                    </a:prstGeom>
                    <a:noFill/>
                    <a:ln>
                      <a:noFill/>
                    </a:ln>
                  </pic:spPr>
                </pic:pic>
              </a:graphicData>
            </a:graphic>
          </wp:inline>
        </w:drawing>
      </w:r>
    </w:p>
    <w:p w14:paraId="39CE4B24">
      <w:pPr>
        <w:spacing w:line="360" w:lineRule="auto"/>
        <w:jc w:val="both"/>
        <w:rPr>
          <w:rFonts w:hint="eastAsia" w:ascii="宋体" w:hAnsi="宋体" w:eastAsia="宋体" w:cs="宋体"/>
          <w:szCs w:val="20"/>
        </w:rPr>
      </w:pPr>
    </w:p>
    <w:p w14:paraId="1D8AB1D2">
      <w:pPr>
        <w:spacing w:line="360" w:lineRule="auto"/>
        <w:jc w:val="center"/>
        <w:rPr>
          <w:rFonts w:hint="eastAsia" w:ascii="宋体" w:hAnsi="宋体" w:eastAsia="宋体" w:cs="宋体"/>
          <w:szCs w:val="20"/>
        </w:rPr>
      </w:pPr>
      <w:r>
        <w:rPr>
          <w:rFonts w:hint="eastAsia" w:ascii="宋体" w:hAnsi="宋体" w:eastAsia="宋体" w:cs="宋体"/>
          <w:szCs w:val="20"/>
        </w:rPr>
        <w:drawing>
          <wp:inline distT="0" distB="0" distL="114300" distR="114300">
            <wp:extent cx="5393690" cy="3061970"/>
            <wp:effectExtent l="0" t="0" r="1270" b="1270"/>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pic:cNvPicPr>
                      <a:picLocks noChangeAspect="1"/>
                    </pic:cNvPicPr>
                  </pic:nvPicPr>
                  <pic:blipFill>
                    <a:blip r:embed="rId21"/>
                    <a:stretch>
                      <a:fillRect/>
                    </a:stretch>
                  </pic:blipFill>
                  <pic:spPr>
                    <a:xfrm>
                      <a:off x="0" y="0"/>
                      <a:ext cx="5393690" cy="3061970"/>
                    </a:xfrm>
                    <a:prstGeom prst="rect">
                      <a:avLst/>
                    </a:prstGeom>
                    <a:noFill/>
                    <a:ln>
                      <a:noFill/>
                    </a:ln>
                  </pic:spPr>
                </pic:pic>
              </a:graphicData>
            </a:graphic>
          </wp:inline>
        </w:drawing>
      </w:r>
      <w:r>
        <w:rPr>
          <w:rFonts w:hint="eastAsia" w:ascii="宋体" w:hAnsi="宋体" w:eastAsia="宋体" w:cs="宋体"/>
          <w:szCs w:val="20"/>
        </w:rPr>
        <w:drawing>
          <wp:inline distT="0" distB="0" distL="114300" distR="114300">
            <wp:extent cx="4557395" cy="2564130"/>
            <wp:effectExtent l="0" t="0" r="14605" b="1143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2"/>
                    <a:stretch>
                      <a:fillRect/>
                    </a:stretch>
                  </pic:blipFill>
                  <pic:spPr>
                    <a:xfrm>
                      <a:off x="0" y="0"/>
                      <a:ext cx="4557395" cy="2564130"/>
                    </a:xfrm>
                    <a:prstGeom prst="rect">
                      <a:avLst/>
                    </a:prstGeom>
                    <a:noFill/>
                    <a:ln>
                      <a:noFill/>
                    </a:ln>
                  </pic:spPr>
                </pic:pic>
              </a:graphicData>
            </a:graphic>
          </wp:inline>
        </w:drawing>
      </w:r>
    </w:p>
    <w:p w14:paraId="60DE3290">
      <w:pPr>
        <w:spacing w:line="360" w:lineRule="auto"/>
        <w:jc w:val="center"/>
        <w:rPr>
          <w:rFonts w:hint="eastAsia" w:ascii="宋体" w:hAnsi="宋体" w:eastAsia="宋体" w:cs="宋体"/>
          <w:szCs w:val="20"/>
        </w:rPr>
      </w:pPr>
    </w:p>
    <w:p w14:paraId="77B1BE90">
      <w:pPr>
        <w:spacing w:line="360" w:lineRule="auto"/>
        <w:jc w:val="center"/>
        <w:rPr>
          <w:rFonts w:hint="eastAsia" w:ascii="宋体" w:hAnsi="宋体" w:eastAsia="宋体" w:cs="宋体"/>
          <w:szCs w:val="20"/>
        </w:rPr>
      </w:pPr>
      <w:r>
        <w:rPr>
          <w:rFonts w:hint="eastAsia" w:ascii="宋体" w:hAnsi="宋体" w:eastAsia="宋体" w:cs="宋体"/>
          <w:szCs w:val="20"/>
        </w:rPr>
        <w:drawing>
          <wp:inline distT="0" distB="0" distL="114300" distR="114300">
            <wp:extent cx="4544060" cy="2543175"/>
            <wp:effectExtent l="0" t="0" r="12700" b="190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3"/>
                    <a:stretch>
                      <a:fillRect/>
                    </a:stretch>
                  </pic:blipFill>
                  <pic:spPr>
                    <a:xfrm>
                      <a:off x="0" y="0"/>
                      <a:ext cx="4544060" cy="2543175"/>
                    </a:xfrm>
                    <a:prstGeom prst="rect">
                      <a:avLst/>
                    </a:prstGeom>
                    <a:noFill/>
                    <a:ln>
                      <a:noFill/>
                    </a:ln>
                  </pic:spPr>
                </pic:pic>
              </a:graphicData>
            </a:graphic>
          </wp:inline>
        </w:drawing>
      </w:r>
    </w:p>
    <w:p w14:paraId="0F7431D9">
      <w:pPr>
        <w:spacing w:line="360" w:lineRule="auto"/>
        <w:jc w:val="center"/>
        <w:rPr>
          <w:rFonts w:hint="eastAsia" w:ascii="宋体" w:hAnsi="宋体" w:eastAsia="宋体" w:cs="宋体"/>
          <w:szCs w:val="20"/>
        </w:rPr>
      </w:pPr>
    </w:p>
    <w:p w14:paraId="2F6CA39D">
      <w:pPr>
        <w:spacing w:line="360" w:lineRule="auto"/>
        <w:jc w:val="center"/>
        <w:rPr>
          <w:rFonts w:hint="eastAsia" w:ascii="宋体" w:hAnsi="宋体" w:eastAsia="宋体" w:cs="宋体"/>
          <w:szCs w:val="20"/>
        </w:rPr>
        <w:sectPr>
          <w:pgSz w:w="11906" w:h="16838"/>
          <w:pgMar w:top="1440" w:right="1644" w:bottom="1440" w:left="1644" w:header="851" w:footer="992" w:gutter="0"/>
          <w:pgNumType w:fmt="decimal"/>
          <w:cols w:space="720" w:num="1"/>
          <w:docGrid w:type="lines" w:linePitch="312" w:charSpace="0"/>
        </w:sectPr>
      </w:pPr>
      <w:r>
        <w:rPr>
          <w:rFonts w:hint="eastAsia" w:ascii="宋体" w:hAnsi="宋体" w:eastAsia="宋体" w:cs="宋体"/>
          <w:szCs w:val="20"/>
        </w:rPr>
        <w:drawing>
          <wp:inline distT="0" distB="0" distL="114300" distR="114300">
            <wp:extent cx="4603115" cy="2596515"/>
            <wp:effectExtent l="0" t="0" r="14605" b="9525"/>
            <wp:docPr id="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3"/>
                    <pic:cNvPicPr>
                      <a:picLocks noChangeAspect="1"/>
                    </pic:cNvPicPr>
                  </pic:nvPicPr>
                  <pic:blipFill>
                    <a:blip r:embed="rId24"/>
                    <a:stretch>
                      <a:fillRect/>
                    </a:stretch>
                  </pic:blipFill>
                  <pic:spPr>
                    <a:xfrm>
                      <a:off x="0" y="0"/>
                      <a:ext cx="4603115" cy="2596515"/>
                    </a:xfrm>
                    <a:prstGeom prst="rect">
                      <a:avLst/>
                    </a:prstGeom>
                    <a:noFill/>
                    <a:ln>
                      <a:noFill/>
                    </a:ln>
                  </pic:spPr>
                </pic:pic>
              </a:graphicData>
            </a:graphic>
          </wp:inline>
        </w:drawing>
      </w:r>
    </w:p>
    <w:p w14:paraId="682FDA5F">
      <w:pPr>
        <w:pStyle w:val="3"/>
        <w:rPr>
          <w:rFonts w:hint="eastAsia" w:ascii="宋体" w:hAnsi="宋体" w:eastAsia="宋体" w:cs="宋体"/>
          <w:color w:val="auto"/>
        </w:rPr>
      </w:pPr>
      <w:bookmarkStart w:id="313" w:name="_Toc5792"/>
      <w:bookmarkStart w:id="314" w:name="_Toc10409"/>
      <w:bookmarkStart w:id="315" w:name="_Toc22368"/>
      <w:bookmarkStart w:id="316" w:name="_Toc518821231"/>
      <w:bookmarkStart w:id="317" w:name="_Toc6626"/>
      <w:r>
        <w:rPr>
          <w:rFonts w:hint="eastAsia" w:ascii="宋体" w:hAnsi="宋体" w:eastAsia="宋体" w:cs="宋体"/>
          <w:color w:val="auto"/>
        </w:rPr>
        <w:t>第</w:t>
      </w:r>
      <w:r>
        <w:rPr>
          <w:rFonts w:hint="eastAsia" w:ascii="宋体" w:hAnsi="宋体" w:cs="宋体"/>
          <w:color w:val="auto"/>
          <w:lang w:val="en-US" w:eastAsia="zh-CN"/>
        </w:rPr>
        <w:t>七章</w:t>
      </w:r>
      <w:r>
        <w:rPr>
          <w:rFonts w:hint="eastAsia" w:ascii="宋体" w:hAnsi="宋体" w:eastAsia="宋体" w:cs="宋体"/>
          <w:color w:val="auto"/>
        </w:rPr>
        <w:t xml:space="preserve">  </w:t>
      </w:r>
      <w:r>
        <w:rPr>
          <w:rFonts w:hint="eastAsia" w:ascii="宋体" w:hAnsi="宋体" w:cs="宋体"/>
          <w:color w:val="auto"/>
          <w:lang w:val="en-US" w:eastAsia="zh-CN"/>
        </w:rPr>
        <w:t>其他</w:t>
      </w:r>
      <w:r>
        <w:rPr>
          <w:rFonts w:hint="eastAsia" w:ascii="宋体" w:hAnsi="宋体" w:eastAsia="宋体" w:cs="宋体"/>
          <w:color w:val="auto"/>
        </w:rPr>
        <w:t>附件</w:t>
      </w:r>
      <w:bookmarkEnd w:id="313"/>
      <w:bookmarkEnd w:id="314"/>
      <w:bookmarkEnd w:id="315"/>
    </w:p>
    <w:bookmarkEnd w:id="316"/>
    <w:bookmarkEnd w:id="317"/>
    <w:p w14:paraId="2D5F4E51">
      <w:pPr>
        <w:spacing w:line="360" w:lineRule="atLeast"/>
        <w:textAlignment w:val="baseline"/>
        <w:outlineLvl w:val="0"/>
        <w:rPr>
          <w:rFonts w:hint="eastAsia" w:ascii="宋体" w:hAnsi="宋体" w:eastAsia="宋体" w:cs="宋体"/>
          <w:color w:val="auto"/>
          <w:sz w:val="24"/>
        </w:rPr>
      </w:pPr>
      <w:bookmarkStart w:id="318" w:name="_Toc26004"/>
      <w:bookmarkStart w:id="319" w:name="_Toc22556"/>
      <w:bookmarkStart w:id="320" w:name="_Toc9079"/>
      <w:bookmarkStart w:id="321" w:name="_Toc9694"/>
      <w:r>
        <w:rPr>
          <w:rFonts w:hint="eastAsia" w:ascii="宋体" w:hAnsi="宋体" w:eastAsia="宋体" w:cs="宋体"/>
          <w:b/>
          <w:color w:val="auto"/>
          <w:sz w:val="32"/>
          <w:szCs w:val="32"/>
        </w:rPr>
        <w:t>附件</w:t>
      </w:r>
      <w:bookmarkEnd w:id="318"/>
      <w:r>
        <w:rPr>
          <w:rFonts w:hint="eastAsia" w:ascii="宋体" w:hAnsi="宋体" w:eastAsia="宋体" w:cs="宋体"/>
          <w:b/>
          <w:color w:val="auto"/>
          <w:sz w:val="32"/>
          <w:szCs w:val="32"/>
        </w:rPr>
        <w:t xml:space="preserve"> </w:t>
      </w:r>
      <w:r>
        <w:rPr>
          <w:rFonts w:hint="eastAsia" w:ascii="宋体" w:hAnsi="宋体" w:eastAsia="宋体" w:cs="宋体"/>
          <w:b/>
          <w:color w:val="auto"/>
          <w:sz w:val="32"/>
          <w:szCs w:val="32"/>
          <w:lang w:val="en-US" w:eastAsia="zh-CN"/>
        </w:rPr>
        <w:t>1</w:t>
      </w:r>
      <w:bookmarkStart w:id="322" w:name="_Toc8907"/>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最终（二次）报价表</w:t>
      </w:r>
      <w:bookmarkEnd w:id="319"/>
      <w:bookmarkEnd w:id="320"/>
      <w:bookmarkEnd w:id="321"/>
      <w:bookmarkEnd w:id="322"/>
    </w:p>
    <w:p w14:paraId="0AEC370C">
      <w:pPr>
        <w:spacing w:line="360" w:lineRule="auto"/>
        <w:jc w:val="right"/>
        <w:textAlignment w:val="baseline"/>
        <w:rPr>
          <w:rFonts w:hint="eastAsia" w:ascii="宋体" w:hAnsi="宋体" w:eastAsia="宋体" w:cs="宋体"/>
          <w:color w:val="auto"/>
          <w:sz w:val="24"/>
        </w:rPr>
      </w:pPr>
      <w:r>
        <w:rPr>
          <w:rFonts w:hint="eastAsia" w:ascii="宋体" w:hAnsi="宋体" w:eastAsia="宋体" w:cs="宋体"/>
          <w:color w:val="auto"/>
          <w:sz w:val="24"/>
        </w:rPr>
        <w:t>单位 ：元（保留小数点后两位）</w:t>
      </w:r>
    </w:p>
    <w:tbl>
      <w:tblPr>
        <w:tblStyle w:val="25"/>
        <w:tblW w:w="92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48"/>
        <w:gridCol w:w="6263"/>
      </w:tblGrid>
      <w:tr w14:paraId="5F82E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21" w:hRule="atLeast"/>
          <w:jc w:val="center"/>
        </w:trPr>
        <w:tc>
          <w:tcPr>
            <w:tcW w:w="2948" w:type="dxa"/>
            <w:tcBorders>
              <w:top w:val="double" w:color="000000" w:sz="4" w:space="0"/>
              <w:left w:val="double" w:color="000000" w:sz="4" w:space="0"/>
              <w:bottom w:val="single" w:color="000000" w:sz="4" w:space="0"/>
              <w:right w:val="single" w:color="000000" w:sz="4" w:space="0"/>
            </w:tcBorders>
            <w:vAlign w:val="center"/>
          </w:tcPr>
          <w:p w14:paraId="36EF8A4C">
            <w:pPr>
              <w:spacing w:line="360" w:lineRule="auto"/>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eastAsia="zh-CN"/>
              </w:rPr>
              <w:t>项目名称</w:t>
            </w:r>
            <w:r>
              <w:rPr>
                <w:rFonts w:hint="eastAsia" w:ascii="宋体" w:hAnsi="宋体" w:cs="宋体"/>
                <w:b/>
                <w:bCs/>
                <w:sz w:val="24"/>
                <w:szCs w:val="24"/>
                <w:lang w:eastAsia="zh-CN"/>
              </w:rPr>
              <w:t>、</w:t>
            </w:r>
            <w:r>
              <w:rPr>
                <w:rFonts w:hint="eastAsia" w:ascii="宋体" w:hAnsi="宋体" w:cs="宋体"/>
                <w:b/>
                <w:bCs/>
                <w:sz w:val="24"/>
                <w:szCs w:val="24"/>
                <w:lang w:val="en-US" w:eastAsia="zh-CN"/>
              </w:rPr>
              <w:t>合同包名称</w:t>
            </w:r>
          </w:p>
        </w:tc>
        <w:tc>
          <w:tcPr>
            <w:tcW w:w="6263" w:type="dxa"/>
            <w:tcBorders>
              <w:top w:val="double" w:color="000000" w:sz="4" w:space="0"/>
              <w:left w:val="single" w:color="000000" w:sz="4" w:space="0"/>
              <w:bottom w:val="single" w:color="000000" w:sz="4" w:space="0"/>
              <w:right w:val="double" w:color="000000" w:sz="4" w:space="0"/>
            </w:tcBorders>
            <w:vAlign w:val="center"/>
          </w:tcPr>
          <w:p w14:paraId="3C342A4C">
            <w:pPr>
              <w:spacing w:line="360" w:lineRule="auto"/>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      </w:t>
            </w:r>
          </w:p>
        </w:tc>
      </w:tr>
      <w:tr w14:paraId="0AD3A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04" w:hRule="atLeast"/>
          <w:jc w:val="center"/>
        </w:trPr>
        <w:tc>
          <w:tcPr>
            <w:tcW w:w="2948" w:type="dxa"/>
            <w:tcBorders>
              <w:top w:val="single" w:color="000000" w:sz="4" w:space="0"/>
              <w:left w:val="double" w:color="000000" w:sz="4" w:space="0"/>
              <w:bottom w:val="single" w:color="000000" w:sz="4" w:space="0"/>
              <w:right w:val="single" w:color="000000" w:sz="4" w:space="0"/>
            </w:tcBorders>
            <w:vAlign w:val="center"/>
          </w:tcPr>
          <w:p w14:paraId="47B57E86">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lang w:eastAsia="zh-CN"/>
              </w:rPr>
              <w:t>项目编号</w:t>
            </w:r>
          </w:p>
        </w:tc>
        <w:tc>
          <w:tcPr>
            <w:tcW w:w="6263" w:type="dxa"/>
            <w:tcBorders>
              <w:top w:val="single" w:color="000000" w:sz="4" w:space="0"/>
              <w:left w:val="single" w:color="000000" w:sz="4" w:space="0"/>
              <w:bottom w:val="single" w:color="000000" w:sz="4" w:space="0"/>
              <w:right w:val="double" w:color="000000" w:sz="4" w:space="0"/>
            </w:tcBorders>
            <w:vAlign w:val="center"/>
          </w:tcPr>
          <w:p w14:paraId="3446C465">
            <w:pPr>
              <w:widowControl/>
              <w:spacing w:line="360" w:lineRule="auto"/>
              <w:jc w:val="center"/>
              <w:rPr>
                <w:rFonts w:hint="eastAsia" w:ascii="宋体" w:hAnsi="宋体" w:eastAsia="宋体" w:cs="宋体"/>
                <w:b/>
                <w:bCs/>
                <w:kern w:val="0"/>
                <w:sz w:val="24"/>
                <w:szCs w:val="24"/>
                <w:lang w:eastAsia="zh-CN"/>
              </w:rPr>
            </w:pPr>
          </w:p>
        </w:tc>
      </w:tr>
      <w:tr w14:paraId="2F2FE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04" w:hRule="atLeast"/>
          <w:jc w:val="center"/>
        </w:trPr>
        <w:tc>
          <w:tcPr>
            <w:tcW w:w="2948" w:type="dxa"/>
            <w:tcBorders>
              <w:top w:val="single" w:color="000000" w:sz="4" w:space="0"/>
              <w:left w:val="double" w:color="000000" w:sz="4" w:space="0"/>
              <w:bottom w:val="single" w:color="000000" w:sz="4" w:space="0"/>
              <w:right w:val="single" w:color="000000" w:sz="4" w:space="0"/>
            </w:tcBorders>
            <w:vAlign w:val="center"/>
          </w:tcPr>
          <w:p w14:paraId="6CD3A816">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供 应 商</w:t>
            </w:r>
          </w:p>
          <w:p w14:paraId="369C6B3C">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（公司名称）</w:t>
            </w:r>
          </w:p>
        </w:tc>
        <w:tc>
          <w:tcPr>
            <w:tcW w:w="6263" w:type="dxa"/>
            <w:tcBorders>
              <w:top w:val="single" w:color="000000" w:sz="4" w:space="0"/>
              <w:left w:val="single" w:color="000000" w:sz="4" w:space="0"/>
              <w:bottom w:val="single" w:color="000000" w:sz="4" w:space="0"/>
              <w:right w:val="double" w:color="000000" w:sz="4" w:space="0"/>
            </w:tcBorders>
            <w:vAlign w:val="center"/>
          </w:tcPr>
          <w:p w14:paraId="33F31557">
            <w:pPr>
              <w:spacing w:line="360" w:lineRule="auto"/>
              <w:rPr>
                <w:rFonts w:hint="eastAsia" w:ascii="宋体" w:hAnsi="宋体" w:eastAsia="宋体" w:cs="宋体"/>
                <w:sz w:val="24"/>
                <w:szCs w:val="24"/>
              </w:rPr>
            </w:pPr>
          </w:p>
        </w:tc>
      </w:tr>
      <w:tr w14:paraId="3B441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689" w:hRule="atLeast"/>
          <w:jc w:val="center"/>
        </w:trPr>
        <w:tc>
          <w:tcPr>
            <w:tcW w:w="2948" w:type="dxa"/>
            <w:tcBorders>
              <w:top w:val="single" w:color="000000" w:sz="4" w:space="0"/>
              <w:left w:val="double" w:color="000000" w:sz="4" w:space="0"/>
              <w:bottom w:val="single" w:color="000000" w:sz="4" w:space="0"/>
              <w:right w:val="single" w:color="000000" w:sz="4" w:space="0"/>
            </w:tcBorders>
            <w:vAlign w:val="center"/>
          </w:tcPr>
          <w:p w14:paraId="527F3A63">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lang w:eastAsia="zh-CN"/>
              </w:rPr>
              <w:t>磋商</w:t>
            </w:r>
            <w:r>
              <w:rPr>
                <w:rFonts w:hint="eastAsia" w:ascii="宋体" w:hAnsi="宋体" w:eastAsia="宋体" w:cs="宋体"/>
                <w:b/>
                <w:bCs/>
                <w:sz w:val="24"/>
                <w:szCs w:val="24"/>
              </w:rPr>
              <w:t>报价</w:t>
            </w:r>
          </w:p>
          <w:p w14:paraId="53C7342C">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（人民币）</w:t>
            </w:r>
          </w:p>
        </w:tc>
        <w:tc>
          <w:tcPr>
            <w:tcW w:w="6263" w:type="dxa"/>
            <w:tcBorders>
              <w:top w:val="single" w:color="000000" w:sz="4" w:space="0"/>
              <w:left w:val="single" w:color="000000" w:sz="4" w:space="0"/>
              <w:bottom w:val="single" w:color="000000" w:sz="4" w:space="0"/>
              <w:right w:val="double" w:color="000000" w:sz="4" w:space="0"/>
            </w:tcBorders>
            <w:vAlign w:val="center"/>
          </w:tcPr>
          <w:p w14:paraId="626C2D0F">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小写金额：</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p>
          <w:p w14:paraId="125A3D6E">
            <w:pPr>
              <w:spacing w:line="360" w:lineRule="auto"/>
              <w:rPr>
                <w:rFonts w:hint="eastAsia" w:ascii="宋体" w:hAnsi="宋体" w:eastAsia="宋体" w:cs="宋体"/>
                <w:b/>
                <w:bCs/>
                <w:sz w:val="24"/>
                <w:szCs w:val="24"/>
              </w:rPr>
            </w:pPr>
          </w:p>
          <w:p w14:paraId="582B4B4F">
            <w:pPr>
              <w:spacing w:line="360" w:lineRule="auto"/>
              <w:rPr>
                <w:rFonts w:hint="eastAsia" w:ascii="宋体" w:hAnsi="宋体" w:eastAsia="宋体" w:cs="宋体"/>
                <w:sz w:val="24"/>
                <w:szCs w:val="24"/>
              </w:rPr>
            </w:pPr>
            <w:r>
              <w:rPr>
                <w:rFonts w:hint="eastAsia" w:ascii="宋体" w:hAnsi="宋体" w:eastAsia="宋体" w:cs="宋体"/>
                <w:b/>
                <w:bCs/>
                <w:sz w:val="24"/>
                <w:szCs w:val="24"/>
              </w:rPr>
              <w:t>大写金额：</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p>
        </w:tc>
      </w:tr>
      <w:tr w14:paraId="0D383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74" w:hRule="atLeast"/>
          <w:jc w:val="center"/>
        </w:trPr>
        <w:tc>
          <w:tcPr>
            <w:tcW w:w="2948" w:type="dxa"/>
            <w:tcBorders>
              <w:top w:val="single" w:color="000000" w:sz="4" w:space="0"/>
              <w:left w:val="double" w:color="000000" w:sz="4" w:space="0"/>
              <w:bottom w:val="single" w:color="000000" w:sz="4" w:space="0"/>
              <w:right w:val="single" w:color="000000" w:sz="4" w:space="0"/>
            </w:tcBorders>
            <w:vAlign w:val="center"/>
          </w:tcPr>
          <w:p w14:paraId="28E8C444">
            <w:pPr>
              <w:spacing w:line="360" w:lineRule="auto"/>
              <w:jc w:val="center"/>
              <w:rPr>
                <w:rFonts w:hint="eastAsia" w:ascii="宋体" w:hAnsi="宋体" w:eastAsia="宋体" w:cs="宋体"/>
                <w:b/>
                <w:bCs/>
                <w:sz w:val="24"/>
                <w:szCs w:val="24"/>
              </w:rPr>
            </w:pPr>
            <w:r>
              <w:rPr>
                <w:rFonts w:hint="eastAsia" w:ascii="宋体" w:hAnsi="宋体" w:eastAsia="宋体" w:cs="宋体"/>
                <w:b/>
                <w:bCs/>
                <w:sz w:val="24"/>
                <w:lang w:val="en-US" w:eastAsia="zh-CN"/>
              </w:rPr>
              <w:t>服务期</w:t>
            </w:r>
          </w:p>
        </w:tc>
        <w:tc>
          <w:tcPr>
            <w:tcW w:w="6263" w:type="dxa"/>
            <w:tcBorders>
              <w:top w:val="single" w:color="000000" w:sz="4" w:space="0"/>
              <w:left w:val="single" w:color="000000" w:sz="4" w:space="0"/>
              <w:bottom w:val="single" w:color="000000" w:sz="4" w:space="0"/>
              <w:right w:val="double" w:color="000000" w:sz="4" w:space="0"/>
            </w:tcBorders>
            <w:vAlign w:val="center"/>
          </w:tcPr>
          <w:p w14:paraId="4E27B9ED">
            <w:pPr>
              <w:spacing w:line="360" w:lineRule="auto"/>
              <w:rPr>
                <w:rFonts w:hint="eastAsia" w:ascii="宋体" w:hAnsi="宋体" w:eastAsia="宋体" w:cs="宋体"/>
                <w:sz w:val="24"/>
                <w:szCs w:val="24"/>
              </w:rPr>
            </w:pPr>
          </w:p>
        </w:tc>
      </w:tr>
      <w:tr w14:paraId="18B89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96" w:hRule="atLeast"/>
          <w:jc w:val="center"/>
        </w:trPr>
        <w:tc>
          <w:tcPr>
            <w:tcW w:w="2948" w:type="dxa"/>
            <w:tcBorders>
              <w:top w:val="single" w:color="000000" w:sz="4" w:space="0"/>
              <w:left w:val="double" w:color="000000" w:sz="4" w:space="0"/>
              <w:bottom w:val="single" w:color="000000" w:sz="4" w:space="0"/>
              <w:right w:val="single" w:color="000000" w:sz="4" w:space="0"/>
            </w:tcBorders>
            <w:vAlign w:val="center"/>
          </w:tcPr>
          <w:p w14:paraId="41DD1967">
            <w:pPr>
              <w:spacing w:line="360" w:lineRule="auto"/>
              <w:jc w:val="center"/>
              <w:rPr>
                <w:rFonts w:hint="eastAsia" w:ascii="宋体" w:hAnsi="宋体" w:eastAsia="宋体" w:cs="宋体"/>
                <w:b/>
                <w:bCs/>
                <w:sz w:val="24"/>
              </w:rPr>
            </w:pPr>
            <w:r>
              <w:rPr>
                <w:rFonts w:hint="eastAsia" w:ascii="宋体" w:hAnsi="宋体" w:eastAsia="宋体" w:cs="宋体"/>
                <w:b/>
                <w:bCs/>
                <w:sz w:val="24"/>
              </w:rPr>
              <w:t>投标声明</w:t>
            </w:r>
          </w:p>
        </w:tc>
        <w:tc>
          <w:tcPr>
            <w:tcW w:w="6263" w:type="dxa"/>
            <w:tcBorders>
              <w:top w:val="single" w:color="000000" w:sz="4" w:space="0"/>
              <w:left w:val="single" w:color="000000" w:sz="4" w:space="0"/>
              <w:bottom w:val="single" w:color="000000" w:sz="4" w:space="0"/>
              <w:right w:val="double" w:color="000000" w:sz="4" w:space="0"/>
            </w:tcBorders>
            <w:vAlign w:val="center"/>
          </w:tcPr>
          <w:p w14:paraId="6DCB889E">
            <w:pPr>
              <w:spacing w:line="360" w:lineRule="auto"/>
              <w:rPr>
                <w:rFonts w:hint="eastAsia" w:ascii="宋体" w:hAnsi="宋体" w:eastAsia="宋体" w:cs="宋体"/>
                <w:sz w:val="24"/>
                <w:szCs w:val="24"/>
              </w:rPr>
            </w:pPr>
          </w:p>
        </w:tc>
      </w:tr>
      <w:tr w14:paraId="47B14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96" w:hRule="atLeast"/>
          <w:jc w:val="center"/>
        </w:trPr>
        <w:tc>
          <w:tcPr>
            <w:tcW w:w="9211" w:type="dxa"/>
            <w:gridSpan w:val="2"/>
            <w:tcBorders>
              <w:top w:val="single" w:color="000000" w:sz="4" w:space="0"/>
              <w:left w:val="double" w:color="000000" w:sz="4" w:space="0"/>
              <w:bottom w:val="double" w:color="000000" w:sz="4" w:space="0"/>
              <w:right w:val="double" w:color="000000" w:sz="4" w:space="0"/>
            </w:tcBorders>
            <w:vAlign w:val="center"/>
          </w:tcPr>
          <w:p w14:paraId="5E2E2B03">
            <w:pPr>
              <w:widowControl/>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2A4BB7A0">
            <w:pPr>
              <w:widowControl/>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1.本报价包含供应商为完成本项目所需的全部费用（包括劳务费、国家按现行税收政策征收的一切税费等）。</w:t>
            </w:r>
          </w:p>
          <w:p w14:paraId="7AE7E1FD">
            <w:pPr>
              <w:widowControl/>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2.本项目设有最高限价，供应商报价不得高于最高限价，否则其响应文件将无效。</w:t>
            </w:r>
          </w:p>
          <w:p w14:paraId="2306BD22">
            <w:pPr>
              <w:spacing w:line="360" w:lineRule="auto"/>
              <w:rPr>
                <w:rFonts w:hint="eastAsia" w:ascii="宋体" w:hAnsi="宋体" w:eastAsia="宋体" w:cs="宋体"/>
                <w:sz w:val="24"/>
                <w:szCs w:val="24"/>
              </w:rPr>
            </w:pPr>
            <w:r>
              <w:rPr>
                <w:rFonts w:hint="eastAsia" w:ascii="宋体" w:hAnsi="宋体" w:eastAsia="宋体" w:cs="宋体"/>
                <w:color w:val="auto"/>
                <w:sz w:val="24"/>
                <w:szCs w:val="24"/>
              </w:rPr>
              <w:t>3.报价以元为单位，大小写不一致时，以大写为准。</w:t>
            </w:r>
          </w:p>
        </w:tc>
      </w:tr>
    </w:tbl>
    <w:p w14:paraId="183A0814">
      <w:pPr>
        <w:spacing w:line="500" w:lineRule="exact"/>
        <w:ind w:firstLine="570"/>
        <w:textAlignment w:val="baseline"/>
        <w:rPr>
          <w:rFonts w:hint="eastAsia" w:ascii="宋体" w:hAnsi="宋体" w:eastAsia="宋体" w:cs="宋体"/>
          <w:color w:val="auto"/>
          <w:sz w:val="24"/>
        </w:rPr>
      </w:pPr>
    </w:p>
    <w:p w14:paraId="5B8239F5">
      <w:pPr>
        <w:spacing w:line="500" w:lineRule="exact"/>
        <w:ind w:firstLine="570"/>
        <w:textAlignment w:val="baseline"/>
        <w:rPr>
          <w:rFonts w:hint="eastAsia" w:ascii="宋体" w:hAnsi="宋体" w:eastAsia="宋体" w:cs="宋体"/>
          <w:color w:val="auto"/>
          <w:sz w:val="24"/>
          <w:u w:val="single"/>
          <w:lang w:val="en-US" w:eastAsia="zh-CN"/>
        </w:rPr>
      </w:pPr>
      <w:r>
        <w:rPr>
          <w:rFonts w:hint="eastAsia" w:ascii="宋体" w:hAnsi="宋体" w:eastAsia="宋体" w:cs="宋体"/>
          <w:color w:val="auto"/>
          <w:sz w:val="24"/>
        </w:rPr>
        <w:t>供应商（公章）：</w:t>
      </w:r>
      <w:r>
        <w:rPr>
          <w:rFonts w:hint="eastAsia" w:ascii="宋体" w:hAnsi="宋体" w:eastAsia="宋体" w:cs="宋体"/>
          <w:color w:val="auto"/>
          <w:sz w:val="24"/>
          <w:u w:val="single"/>
          <w:lang w:val="en-US" w:eastAsia="zh-CN"/>
        </w:rPr>
        <w:t xml:space="preserve">                               </w:t>
      </w:r>
    </w:p>
    <w:p w14:paraId="61F36DD3">
      <w:pPr>
        <w:spacing w:line="500" w:lineRule="exact"/>
        <w:ind w:firstLine="570"/>
        <w:textAlignment w:val="baseline"/>
        <w:rPr>
          <w:rFonts w:hint="eastAsia" w:ascii="宋体" w:hAnsi="宋体" w:eastAsia="宋体" w:cs="宋体"/>
          <w:color w:val="auto"/>
          <w:sz w:val="24"/>
        </w:rPr>
      </w:pPr>
    </w:p>
    <w:p w14:paraId="6BBD4157">
      <w:pPr>
        <w:spacing w:line="500" w:lineRule="exact"/>
        <w:ind w:firstLine="570"/>
        <w:textAlignment w:val="baseline"/>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u w:val="single"/>
          <w:lang w:val="en-US" w:eastAsia="zh-CN"/>
        </w:rPr>
        <w:t xml:space="preserve">                            </w:t>
      </w:r>
    </w:p>
    <w:p w14:paraId="7B157D34">
      <w:pPr>
        <w:pStyle w:val="42"/>
        <w:textAlignment w:val="baseline"/>
        <w:rPr>
          <w:rFonts w:hint="eastAsia" w:ascii="宋体" w:hAnsi="宋体" w:eastAsia="宋体" w:cs="宋体"/>
          <w:color w:val="auto"/>
        </w:rPr>
      </w:pPr>
    </w:p>
    <w:p w14:paraId="1A5F690A">
      <w:pPr>
        <w:spacing w:line="500" w:lineRule="exact"/>
        <w:ind w:firstLine="570"/>
        <w:textAlignment w:val="baseline"/>
        <w:rPr>
          <w:rFonts w:hint="eastAsia" w:ascii="宋体" w:hAnsi="宋体" w:eastAsia="宋体" w:cs="宋体"/>
          <w:color w:val="auto"/>
          <w:sz w:val="24"/>
        </w:rPr>
      </w:pPr>
      <w:r>
        <w:rPr>
          <w:rFonts w:hint="eastAsia" w:ascii="宋体" w:hAnsi="宋体" w:eastAsia="宋体" w:cs="宋体"/>
          <w:color w:val="auto"/>
          <w:sz w:val="24"/>
        </w:rPr>
        <w:t xml:space="preserve">                                                年   月   日</w:t>
      </w:r>
    </w:p>
    <w:p w14:paraId="4D38FD71">
      <w:pPr>
        <w:spacing w:line="500" w:lineRule="exact"/>
        <w:textAlignment w:val="baseline"/>
        <w:rPr>
          <w:rFonts w:hint="eastAsia" w:ascii="宋体" w:hAnsi="宋体" w:eastAsia="宋体" w:cs="宋体"/>
          <w:color w:val="auto"/>
          <w:sz w:val="24"/>
          <w:lang w:eastAsia="zh-CN"/>
        </w:rPr>
      </w:pPr>
      <w:r>
        <w:rPr>
          <w:rFonts w:hint="eastAsia" w:ascii="宋体" w:hAnsi="宋体" w:eastAsia="宋体" w:cs="宋体"/>
          <w:b/>
          <w:bCs/>
          <w:color w:val="auto"/>
          <w:sz w:val="24"/>
          <w:lang w:val="en-US" w:eastAsia="zh-CN"/>
        </w:rPr>
        <w:t>注：此表（加盖公章）需开标时由参会人员手持，报价需现场</w:t>
      </w:r>
      <w:r>
        <w:rPr>
          <w:rFonts w:hint="eastAsia" w:ascii="宋体" w:hAnsi="宋体" w:cs="宋体"/>
          <w:b/>
          <w:bCs/>
          <w:color w:val="auto"/>
          <w:sz w:val="24"/>
          <w:lang w:val="en-US" w:eastAsia="zh-CN"/>
        </w:rPr>
        <w:t>手</w:t>
      </w:r>
      <w:r>
        <w:rPr>
          <w:rFonts w:hint="eastAsia" w:ascii="宋体" w:hAnsi="宋体" w:eastAsia="宋体" w:cs="宋体"/>
          <w:b/>
          <w:bCs/>
          <w:color w:val="auto"/>
          <w:sz w:val="24"/>
          <w:lang w:val="en-US" w:eastAsia="zh-CN"/>
        </w:rPr>
        <w:t>写。</w:t>
      </w:r>
    </w:p>
    <w:sectPr>
      <w:pgSz w:w="11906" w:h="16838"/>
      <w:pgMar w:top="1440" w:right="1644" w:bottom="1440" w:left="164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monospac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Arial Narrow">
    <w:altName w:val="Arial"/>
    <w:panose1 w:val="020B0606020202030204"/>
    <w:charset w:val="00"/>
    <w:family w:val="swiss"/>
    <w:pitch w:val="default"/>
    <w:sig w:usb0="00000000"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7F426">
    <w:pPr>
      <w:pStyle w:val="15"/>
      <w:rPr>
        <w:rStyle w:val="30"/>
      </w:rPr>
    </w:pPr>
  </w:p>
  <w:p w14:paraId="0DB16F1F">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FC837">
    <w:pPr>
      <w:pStyle w:val="15"/>
      <w:rPr>
        <w:rStyle w:val="30"/>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02B2F1">
                          <w:pPr>
                            <w:pStyle w:val="15"/>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502B2F1">
                    <w:pPr>
                      <w:pStyle w:val="15"/>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p w14:paraId="783AFC95">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064D8">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FDF9DE">
                          <w:pPr>
                            <w:pStyle w:val="1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71FDF9DE">
                    <w:pPr>
                      <w:pStyle w:val="1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13CCB">
    <w:pPr>
      <w:pStyle w:val="15"/>
      <w:ind w:right="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5DB8A9">
                          <w:pPr>
                            <w:pStyle w:val="15"/>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185DB8A9">
                    <w:pPr>
                      <w:pStyle w:val="15"/>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CF3A3">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6FB1D8">
                          <w:pPr>
                            <w:pStyle w:val="15"/>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56FB1D8">
                    <w:pPr>
                      <w:pStyle w:val="15"/>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1C007">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A1FE8">
    <w:pPr>
      <w:pStyle w:val="17"/>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C6E52">
    <w:pPr>
      <w:pStyle w:val="17"/>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67B1B5"/>
    <w:multiLevelType w:val="singleLevel"/>
    <w:tmpl w:val="B767B1B5"/>
    <w:lvl w:ilvl="0" w:tentative="0">
      <w:start w:val="1"/>
      <w:numFmt w:val="chineseCounting"/>
      <w:suff w:val="space"/>
      <w:lvlText w:val="第%1章"/>
      <w:lvlJc w:val="left"/>
      <w:rPr>
        <w:rFonts w:hint="eastAsia"/>
      </w:rPr>
    </w:lvl>
  </w:abstractNum>
  <w:abstractNum w:abstractNumId="1">
    <w:nsid w:val="BA168800"/>
    <w:multiLevelType w:val="singleLevel"/>
    <w:tmpl w:val="BA168800"/>
    <w:lvl w:ilvl="0" w:tentative="0">
      <w:start w:val="1"/>
      <w:numFmt w:val="decimal"/>
      <w:lvlText w:val="(%1)"/>
      <w:lvlJc w:val="left"/>
      <w:pPr>
        <w:tabs>
          <w:tab w:val="left" w:pos="312"/>
        </w:tabs>
      </w:pPr>
    </w:lvl>
  </w:abstractNum>
  <w:abstractNum w:abstractNumId="2">
    <w:nsid w:val="39C67FA1"/>
    <w:multiLevelType w:val="singleLevel"/>
    <w:tmpl w:val="39C67FA1"/>
    <w:lvl w:ilvl="0" w:tentative="0">
      <w:start w:val="5"/>
      <w:numFmt w:val="chineseCounting"/>
      <w:suff w:val="space"/>
      <w:lvlText w:val="第%1章"/>
      <w:lvlJc w:val="left"/>
      <w:rPr>
        <w:rFonts w:hint="eastAsia"/>
      </w:rPr>
    </w:lvl>
  </w:abstractNum>
  <w:abstractNum w:abstractNumId="3">
    <w:nsid w:val="420C153B"/>
    <w:multiLevelType w:val="multilevel"/>
    <w:tmpl w:val="420C153B"/>
    <w:lvl w:ilvl="0" w:tentative="0">
      <w:start w:val="1"/>
      <w:numFmt w:val="decimal"/>
      <w:pStyle w:val="4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4491FF24"/>
    <w:multiLevelType w:val="singleLevel"/>
    <w:tmpl w:val="4491FF24"/>
    <w:lvl w:ilvl="0" w:tentative="0">
      <w:start w:val="1"/>
      <w:numFmt w:val="decimal"/>
      <w:lvlText w:val="%1."/>
      <w:lvlJc w:val="left"/>
      <w:pPr>
        <w:ind w:left="635" w:hanging="425"/>
      </w:pPr>
      <w:rPr>
        <w:rFonts w:hint="default"/>
      </w:rPr>
    </w:lvl>
  </w:abstractNum>
  <w:abstractNum w:abstractNumId="5">
    <w:nsid w:val="561B220F"/>
    <w:multiLevelType w:val="singleLevel"/>
    <w:tmpl w:val="561B220F"/>
    <w:lvl w:ilvl="0" w:tentative="0">
      <w:start w:val="2"/>
      <w:numFmt w:val="decimal"/>
      <w:suff w:val="nothing"/>
      <w:lvlText w:val="%1."/>
      <w:lvlJc w:val="left"/>
    </w:lvl>
  </w:abstractNum>
  <w:num w:numId="1">
    <w:abstractNumId w:val="3"/>
  </w:num>
  <w:num w:numId="2">
    <w:abstractNumId w:val="0"/>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yNzNmMTc2OGNlMjVhZTlmMDJmMzNkMjY2ZTk0YTMifQ=="/>
  </w:docVars>
  <w:rsids>
    <w:rsidRoot w:val="3A3E1146"/>
    <w:rsid w:val="00123953"/>
    <w:rsid w:val="004B48CF"/>
    <w:rsid w:val="006C21B0"/>
    <w:rsid w:val="006E4A62"/>
    <w:rsid w:val="007D3EB8"/>
    <w:rsid w:val="00C11BB0"/>
    <w:rsid w:val="011E0236"/>
    <w:rsid w:val="01A15F2B"/>
    <w:rsid w:val="029B159F"/>
    <w:rsid w:val="02EA3A9D"/>
    <w:rsid w:val="03104C59"/>
    <w:rsid w:val="03165767"/>
    <w:rsid w:val="033E4BBF"/>
    <w:rsid w:val="034C4B6E"/>
    <w:rsid w:val="039A1923"/>
    <w:rsid w:val="03B278E6"/>
    <w:rsid w:val="03C6567D"/>
    <w:rsid w:val="04D17C21"/>
    <w:rsid w:val="05170344"/>
    <w:rsid w:val="05203DC1"/>
    <w:rsid w:val="05910B93"/>
    <w:rsid w:val="061301D1"/>
    <w:rsid w:val="06725D8D"/>
    <w:rsid w:val="06CA5213"/>
    <w:rsid w:val="06F63304"/>
    <w:rsid w:val="06F7130D"/>
    <w:rsid w:val="076C2DD1"/>
    <w:rsid w:val="078D3673"/>
    <w:rsid w:val="07B1271A"/>
    <w:rsid w:val="07DA7079"/>
    <w:rsid w:val="07DF3389"/>
    <w:rsid w:val="07F910B5"/>
    <w:rsid w:val="08205BC3"/>
    <w:rsid w:val="082F41B5"/>
    <w:rsid w:val="08610359"/>
    <w:rsid w:val="08BB6344"/>
    <w:rsid w:val="08CA666F"/>
    <w:rsid w:val="091827FE"/>
    <w:rsid w:val="09206705"/>
    <w:rsid w:val="092B3874"/>
    <w:rsid w:val="09791EBF"/>
    <w:rsid w:val="099E1F14"/>
    <w:rsid w:val="0A474359"/>
    <w:rsid w:val="0A8E1D95"/>
    <w:rsid w:val="0A9E5F43"/>
    <w:rsid w:val="0AD6348A"/>
    <w:rsid w:val="0B5C03AF"/>
    <w:rsid w:val="0B6E1DBA"/>
    <w:rsid w:val="0B8C3E12"/>
    <w:rsid w:val="0BB54ACB"/>
    <w:rsid w:val="0BD32CF6"/>
    <w:rsid w:val="0C7B256F"/>
    <w:rsid w:val="0C7B596E"/>
    <w:rsid w:val="0CD70341"/>
    <w:rsid w:val="0CE17CAE"/>
    <w:rsid w:val="0D0E1F4D"/>
    <w:rsid w:val="0D365943"/>
    <w:rsid w:val="0D4F5010"/>
    <w:rsid w:val="0DF02FC6"/>
    <w:rsid w:val="0E093D18"/>
    <w:rsid w:val="0E3860EC"/>
    <w:rsid w:val="0EEA6178"/>
    <w:rsid w:val="0F05649B"/>
    <w:rsid w:val="0F145B27"/>
    <w:rsid w:val="0F1A482B"/>
    <w:rsid w:val="0F225629"/>
    <w:rsid w:val="0F227CFE"/>
    <w:rsid w:val="0F2F1E09"/>
    <w:rsid w:val="0F381D7B"/>
    <w:rsid w:val="0F58011E"/>
    <w:rsid w:val="0F7E0E73"/>
    <w:rsid w:val="0FF46A27"/>
    <w:rsid w:val="101764D5"/>
    <w:rsid w:val="109E41F1"/>
    <w:rsid w:val="10A74BAE"/>
    <w:rsid w:val="10B018EA"/>
    <w:rsid w:val="10ED4EC1"/>
    <w:rsid w:val="11521333"/>
    <w:rsid w:val="11F65593"/>
    <w:rsid w:val="1225502D"/>
    <w:rsid w:val="122574BC"/>
    <w:rsid w:val="12273C58"/>
    <w:rsid w:val="12316C28"/>
    <w:rsid w:val="12CB7D62"/>
    <w:rsid w:val="12F36384"/>
    <w:rsid w:val="1338209B"/>
    <w:rsid w:val="13803186"/>
    <w:rsid w:val="138A0316"/>
    <w:rsid w:val="13B647DF"/>
    <w:rsid w:val="14556AED"/>
    <w:rsid w:val="148F527B"/>
    <w:rsid w:val="149E0624"/>
    <w:rsid w:val="14A36A7A"/>
    <w:rsid w:val="14B946FD"/>
    <w:rsid w:val="14D6324F"/>
    <w:rsid w:val="14D94748"/>
    <w:rsid w:val="14E17D53"/>
    <w:rsid w:val="158741A4"/>
    <w:rsid w:val="159106BF"/>
    <w:rsid w:val="15A92BD3"/>
    <w:rsid w:val="15AA2C29"/>
    <w:rsid w:val="15AB5EBA"/>
    <w:rsid w:val="15B34DF7"/>
    <w:rsid w:val="15D534FC"/>
    <w:rsid w:val="15E42046"/>
    <w:rsid w:val="160550C9"/>
    <w:rsid w:val="16165636"/>
    <w:rsid w:val="167F1A1D"/>
    <w:rsid w:val="168C2774"/>
    <w:rsid w:val="16950915"/>
    <w:rsid w:val="16B130CB"/>
    <w:rsid w:val="16FF37B0"/>
    <w:rsid w:val="17AA65AD"/>
    <w:rsid w:val="17C249B3"/>
    <w:rsid w:val="17F65611"/>
    <w:rsid w:val="18506ACF"/>
    <w:rsid w:val="1855383A"/>
    <w:rsid w:val="18820C52"/>
    <w:rsid w:val="18B82B11"/>
    <w:rsid w:val="18D749A2"/>
    <w:rsid w:val="199B7755"/>
    <w:rsid w:val="19A40A22"/>
    <w:rsid w:val="19AA77DF"/>
    <w:rsid w:val="19F373AA"/>
    <w:rsid w:val="1A2E2E93"/>
    <w:rsid w:val="1A330A18"/>
    <w:rsid w:val="1A506677"/>
    <w:rsid w:val="1A515CFE"/>
    <w:rsid w:val="1A942B87"/>
    <w:rsid w:val="1AC545A1"/>
    <w:rsid w:val="1B025B91"/>
    <w:rsid w:val="1B0604F0"/>
    <w:rsid w:val="1B314141"/>
    <w:rsid w:val="1B553555"/>
    <w:rsid w:val="1B782380"/>
    <w:rsid w:val="1BB76157"/>
    <w:rsid w:val="1C262333"/>
    <w:rsid w:val="1C2E35CB"/>
    <w:rsid w:val="1C5514CB"/>
    <w:rsid w:val="1C9753F9"/>
    <w:rsid w:val="1CBB4CEA"/>
    <w:rsid w:val="1CD0411B"/>
    <w:rsid w:val="1D225130"/>
    <w:rsid w:val="1D5E11F7"/>
    <w:rsid w:val="1D850600"/>
    <w:rsid w:val="1D951C8F"/>
    <w:rsid w:val="1DA5166B"/>
    <w:rsid w:val="1E585A9B"/>
    <w:rsid w:val="1E840902"/>
    <w:rsid w:val="1E875215"/>
    <w:rsid w:val="1EBB3A0B"/>
    <w:rsid w:val="1F3B1493"/>
    <w:rsid w:val="1F4F2B0F"/>
    <w:rsid w:val="1F6E6D87"/>
    <w:rsid w:val="1FA91635"/>
    <w:rsid w:val="1FC16B99"/>
    <w:rsid w:val="20271CC8"/>
    <w:rsid w:val="2027280B"/>
    <w:rsid w:val="20B13F79"/>
    <w:rsid w:val="20B7160C"/>
    <w:rsid w:val="20B91CE4"/>
    <w:rsid w:val="20C756B8"/>
    <w:rsid w:val="21004E0A"/>
    <w:rsid w:val="211F4A87"/>
    <w:rsid w:val="213B68AD"/>
    <w:rsid w:val="213F5933"/>
    <w:rsid w:val="22660462"/>
    <w:rsid w:val="227A5FEE"/>
    <w:rsid w:val="22EC4B6D"/>
    <w:rsid w:val="231A51D5"/>
    <w:rsid w:val="231B6DD4"/>
    <w:rsid w:val="232C2B22"/>
    <w:rsid w:val="23445482"/>
    <w:rsid w:val="234522A4"/>
    <w:rsid w:val="2347561E"/>
    <w:rsid w:val="23645D40"/>
    <w:rsid w:val="2382382F"/>
    <w:rsid w:val="23C31737"/>
    <w:rsid w:val="24253E98"/>
    <w:rsid w:val="258C0450"/>
    <w:rsid w:val="25D24FCC"/>
    <w:rsid w:val="25E151CB"/>
    <w:rsid w:val="25E37751"/>
    <w:rsid w:val="25FC109E"/>
    <w:rsid w:val="266E3A32"/>
    <w:rsid w:val="267F648B"/>
    <w:rsid w:val="26AE6D2F"/>
    <w:rsid w:val="26DA109E"/>
    <w:rsid w:val="27B54BA0"/>
    <w:rsid w:val="27C326B5"/>
    <w:rsid w:val="27F51BAC"/>
    <w:rsid w:val="283323F9"/>
    <w:rsid w:val="28490586"/>
    <w:rsid w:val="28950E82"/>
    <w:rsid w:val="28E762C8"/>
    <w:rsid w:val="29033504"/>
    <w:rsid w:val="29047DA1"/>
    <w:rsid w:val="29C6398F"/>
    <w:rsid w:val="2A510807"/>
    <w:rsid w:val="2A7918AF"/>
    <w:rsid w:val="2AB654B5"/>
    <w:rsid w:val="2AC92B95"/>
    <w:rsid w:val="2AC94BBC"/>
    <w:rsid w:val="2AED223B"/>
    <w:rsid w:val="2B007644"/>
    <w:rsid w:val="2B11417F"/>
    <w:rsid w:val="2B215C77"/>
    <w:rsid w:val="2B2D764B"/>
    <w:rsid w:val="2B5A7C7C"/>
    <w:rsid w:val="2B6D7311"/>
    <w:rsid w:val="2BC17F83"/>
    <w:rsid w:val="2BC902D5"/>
    <w:rsid w:val="2BE643B4"/>
    <w:rsid w:val="2C8068DD"/>
    <w:rsid w:val="2C972810"/>
    <w:rsid w:val="2CC31296"/>
    <w:rsid w:val="2CCC5388"/>
    <w:rsid w:val="2CD0204F"/>
    <w:rsid w:val="2CDA29B3"/>
    <w:rsid w:val="2D17277F"/>
    <w:rsid w:val="2D2350AE"/>
    <w:rsid w:val="2DC641DF"/>
    <w:rsid w:val="2E144E35"/>
    <w:rsid w:val="2EAB3BA0"/>
    <w:rsid w:val="2EBA0CEE"/>
    <w:rsid w:val="2EC549F9"/>
    <w:rsid w:val="2EC80C6E"/>
    <w:rsid w:val="2ECA7717"/>
    <w:rsid w:val="2EDF415B"/>
    <w:rsid w:val="2EE71204"/>
    <w:rsid w:val="2F490108"/>
    <w:rsid w:val="2F7A3A16"/>
    <w:rsid w:val="2FB322A9"/>
    <w:rsid w:val="30115814"/>
    <w:rsid w:val="306A2B50"/>
    <w:rsid w:val="30A53990"/>
    <w:rsid w:val="30DC4F4C"/>
    <w:rsid w:val="31307046"/>
    <w:rsid w:val="31D91327"/>
    <w:rsid w:val="32721814"/>
    <w:rsid w:val="32806CA0"/>
    <w:rsid w:val="32B653D2"/>
    <w:rsid w:val="32C8659B"/>
    <w:rsid w:val="32D66952"/>
    <w:rsid w:val="32E96D73"/>
    <w:rsid w:val="32F04786"/>
    <w:rsid w:val="332901F1"/>
    <w:rsid w:val="3378463D"/>
    <w:rsid w:val="33AF790B"/>
    <w:rsid w:val="34877038"/>
    <w:rsid w:val="354F6F89"/>
    <w:rsid w:val="356D07FD"/>
    <w:rsid w:val="3591534D"/>
    <w:rsid w:val="35D34053"/>
    <w:rsid w:val="360C2B63"/>
    <w:rsid w:val="361707D4"/>
    <w:rsid w:val="365B0D17"/>
    <w:rsid w:val="36B4463D"/>
    <w:rsid w:val="36BA60D8"/>
    <w:rsid w:val="36F17A91"/>
    <w:rsid w:val="3701709F"/>
    <w:rsid w:val="37563943"/>
    <w:rsid w:val="375D1149"/>
    <w:rsid w:val="37BF18B3"/>
    <w:rsid w:val="37C55598"/>
    <w:rsid w:val="37F60BB6"/>
    <w:rsid w:val="381807A6"/>
    <w:rsid w:val="38717B72"/>
    <w:rsid w:val="38BE0D57"/>
    <w:rsid w:val="38C458AD"/>
    <w:rsid w:val="38D26C34"/>
    <w:rsid w:val="39AE491E"/>
    <w:rsid w:val="39D328AB"/>
    <w:rsid w:val="3A2B2AA0"/>
    <w:rsid w:val="3A3E1146"/>
    <w:rsid w:val="3AA02AB4"/>
    <w:rsid w:val="3AA2557E"/>
    <w:rsid w:val="3AE2791F"/>
    <w:rsid w:val="3AF92B9E"/>
    <w:rsid w:val="3B2E0A9A"/>
    <w:rsid w:val="3B4E004F"/>
    <w:rsid w:val="3B5E633C"/>
    <w:rsid w:val="3B7312B9"/>
    <w:rsid w:val="3B9E47CD"/>
    <w:rsid w:val="3BA0059C"/>
    <w:rsid w:val="3BC770E9"/>
    <w:rsid w:val="3BF87588"/>
    <w:rsid w:val="3C325ABF"/>
    <w:rsid w:val="3C8A3384"/>
    <w:rsid w:val="3C9147FD"/>
    <w:rsid w:val="3CD75376"/>
    <w:rsid w:val="3CF322FC"/>
    <w:rsid w:val="3D146DDE"/>
    <w:rsid w:val="3D7C0513"/>
    <w:rsid w:val="3DE35450"/>
    <w:rsid w:val="3E50538B"/>
    <w:rsid w:val="3E6D1E04"/>
    <w:rsid w:val="3EAD4561"/>
    <w:rsid w:val="3EB92D70"/>
    <w:rsid w:val="3EDA5FC1"/>
    <w:rsid w:val="3F1F44E6"/>
    <w:rsid w:val="3F4B6547"/>
    <w:rsid w:val="3F6727CC"/>
    <w:rsid w:val="3F7015CA"/>
    <w:rsid w:val="3F72705C"/>
    <w:rsid w:val="3F857D7B"/>
    <w:rsid w:val="3F8844F1"/>
    <w:rsid w:val="40640ABA"/>
    <w:rsid w:val="407D1B7C"/>
    <w:rsid w:val="40AA3F16"/>
    <w:rsid w:val="40B3559D"/>
    <w:rsid w:val="41197C65"/>
    <w:rsid w:val="413E2C75"/>
    <w:rsid w:val="416D4016"/>
    <w:rsid w:val="4191580E"/>
    <w:rsid w:val="426B5681"/>
    <w:rsid w:val="42727268"/>
    <w:rsid w:val="42C944B4"/>
    <w:rsid w:val="42D77C69"/>
    <w:rsid w:val="43071151"/>
    <w:rsid w:val="431C530E"/>
    <w:rsid w:val="43882435"/>
    <w:rsid w:val="44136783"/>
    <w:rsid w:val="44180D30"/>
    <w:rsid w:val="44233E12"/>
    <w:rsid w:val="443D287E"/>
    <w:rsid w:val="445826E4"/>
    <w:rsid w:val="446A46FF"/>
    <w:rsid w:val="44E20B2F"/>
    <w:rsid w:val="44EB0FE7"/>
    <w:rsid w:val="454139A8"/>
    <w:rsid w:val="456B41CA"/>
    <w:rsid w:val="45A81449"/>
    <w:rsid w:val="45E766E1"/>
    <w:rsid w:val="46023D44"/>
    <w:rsid w:val="462676C7"/>
    <w:rsid w:val="46432FE7"/>
    <w:rsid w:val="4645263F"/>
    <w:rsid w:val="464C6278"/>
    <w:rsid w:val="46690BD8"/>
    <w:rsid w:val="476F0470"/>
    <w:rsid w:val="47756788"/>
    <w:rsid w:val="47783365"/>
    <w:rsid w:val="47A806A1"/>
    <w:rsid w:val="47E10C1D"/>
    <w:rsid w:val="4849040E"/>
    <w:rsid w:val="48B05FD0"/>
    <w:rsid w:val="48BF71D5"/>
    <w:rsid w:val="491D3164"/>
    <w:rsid w:val="494A7E6B"/>
    <w:rsid w:val="4AA757D8"/>
    <w:rsid w:val="4AB03279"/>
    <w:rsid w:val="4AEC1002"/>
    <w:rsid w:val="4B391DA4"/>
    <w:rsid w:val="4B587B68"/>
    <w:rsid w:val="4B5E6486"/>
    <w:rsid w:val="4B781164"/>
    <w:rsid w:val="4B95078C"/>
    <w:rsid w:val="4BD874FD"/>
    <w:rsid w:val="4C3F5444"/>
    <w:rsid w:val="4C682E9E"/>
    <w:rsid w:val="4CFF4B86"/>
    <w:rsid w:val="4D165792"/>
    <w:rsid w:val="4D505D9D"/>
    <w:rsid w:val="4D7B3677"/>
    <w:rsid w:val="4D8163ED"/>
    <w:rsid w:val="4DEC63D5"/>
    <w:rsid w:val="4E2415BF"/>
    <w:rsid w:val="4E2F0F91"/>
    <w:rsid w:val="4E885413"/>
    <w:rsid w:val="4EAA0C7C"/>
    <w:rsid w:val="4EB85B10"/>
    <w:rsid w:val="4ECC7F56"/>
    <w:rsid w:val="4ED14E60"/>
    <w:rsid w:val="4EFB083B"/>
    <w:rsid w:val="4F1C0718"/>
    <w:rsid w:val="4F6C0F32"/>
    <w:rsid w:val="4F97095A"/>
    <w:rsid w:val="4F974DBD"/>
    <w:rsid w:val="4F9A091F"/>
    <w:rsid w:val="4F9D514F"/>
    <w:rsid w:val="4FD6333A"/>
    <w:rsid w:val="4FE95150"/>
    <w:rsid w:val="4FE95A43"/>
    <w:rsid w:val="5020130B"/>
    <w:rsid w:val="50525383"/>
    <w:rsid w:val="50747B0E"/>
    <w:rsid w:val="50800F31"/>
    <w:rsid w:val="5093166F"/>
    <w:rsid w:val="509A22C6"/>
    <w:rsid w:val="50BC1CEC"/>
    <w:rsid w:val="51BE6507"/>
    <w:rsid w:val="51C96A0B"/>
    <w:rsid w:val="51E63259"/>
    <w:rsid w:val="52036385"/>
    <w:rsid w:val="520806F5"/>
    <w:rsid w:val="520839FB"/>
    <w:rsid w:val="522C1C1A"/>
    <w:rsid w:val="523C1897"/>
    <w:rsid w:val="52C35EA9"/>
    <w:rsid w:val="52DC0ADC"/>
    <w:rsid w:val="53301AB0"/>
    <w:rsid w:val="53415339"/>
    <w:rsid w:val="534D6DD8"/>
    <w:rsid w:val="536512E4"/>
    <w:rsid w:val="544A07D5"/>
    <w:rsid w:val="545876CF"/>
    <w:rsid w:val="54DA3940"/>
    <w:rsid w:val="54F2448F"/>
    <w:rsid w:val="55074B5A"/>
    <w:rsid w:val="550943BB"/>
    <w:rsid w:val="55355A05"/>
    <w:rsid w:val="556B36EA"/>
    <w:rsid w:val="5574132E"/>
    <w:rsid w:val="5613290E"/>
    <w:rsid w:val="565A22EB"/>
    <w:rsid w:val="569E3745"/>
    <w:rsid w:val="56C6140B"/>
    <w:rsid w:val="56F825BE"/>
    <w:rsid w:val="56FD461C"/>
    <w:rsid w:val="573C60CD"/>
    <w:rsid w:val="575C163C"/>
    <w:rsid w:val="577C783C"/>
    <w:rsid w:val="57BF5BC4"/>
    <w:rsid w:val="57CC0FC7"/>
    <w:rsid w:val="57EB0119"/>
    <w:rsid w:val="580345D3"/>
    <w:rsid w:val="58213456"/>
    <w:rsid w:val="583C32DB"/>
    <w:rsid w:val="58466D6B"/>
    <w:rsid w:val="58B37ACE"/>
    <w:rsid w:val="58E34547"/>
    <w:rsid w:val="59430E4D"/>
    <w:rsid w:val="594D5C94"/>
    <w:rsid w:val="59D851F4"/>
    <w:rsid w:val="5A6C40FE"/>
    <w:rsid w:val="5A875679"/>
    <w:rsid w:val="5A8C0D65"/>
    <w:rsid w:val="5ACF2A49"/>
    <w:rsid w:val="5B2345DF"/>
    <w:rsid w:val="5B270FCB"/>
    <w:rsid w:val="5B286BC6"/>
    <w:rsid w:val="5B932B21"/>
    <w:rsid w:val="5BE34E7F"/>
    <w:rsid w:val="5BEC49BF"/>
    <w:rsid w:val="5C350A03"/>
    <w:rsid w:val="5C4F0418"/>
    <w:rsid w:val="5C8777F6"/>
    <w:rsid w:val="5C913694"/>
    <w:rsid w:val="5CE5235B"/>
    <w:rsid w:val="5D0E3E30"/>
    <w:rsid w:val="5D2A2CDF"/>
    <w:rsid w:val="5D361F20"/>
    <w:rsid w:val="5D42351E"/>
    <w:rsid w:val="5D4855EF"/>
    <w:rsid w:val="5D5201C0"/>
    <w:rsid w:val="5E1225CC"/>
    <w:rsid w:val="5E990595"/>
    <w:rsid w:val="5EF32BB6"/>
    <w:rsid w:val="5F1A2F60"/>
    <w:rsid w:val="5F284DFE"/>
    <w:rsid w:val="5F29089D"/>
    <w:rsid w:val="5F4F0039"/>
    <w:rsid w:val="5F5003C9"/>
    <w:rsid w:val="5FA33C2A"/>
    <w:rsid w:val="5FB76F8F"/>
    <w:rsid w:val="603E48FF"/>
    <w:rsid w:val="60E43A22"/>
    <w:rsid w:val="6110289B"/>
    <w:rsid w:val="612F3E61"/>
    <w:rsid w:val="61382BD4"/>
    <w:rsid w:val="61F963FD"/>
    <w:rsid w:val="62095AF3"/>
    <w:rsid w:val="621E5CC2"/>
    <w:rsid w:val="62496437"/>
    <w:rsid w:val="6266165A"/>
    <w:rsid w:val="62E617AF"/>
    <w:rsid w:val="63086863"/>
    <w:rsid w:val="633E13D1"/>
    <w:rsid w:val="63554509"/>
    <w:rsid w:val="63882CAA"/>
    <w:rsid w:val="63C26728"/>
    <w:rsid w:val="63D1267E"/>
    <w:rsid w:val="640E5125"/>
    <w:rsid w:val="640F72BA"/>
    <w:rsid w:val="642A4B6E"/>
    <w:rsid w:val="6433260C"/>
    <w:rsid w:val="643B477A"/>
    <w:rsid w:val="64767341"/>
    <w:rsid w:val="651F1286"/>
    <w:rsid w:val="653B0F11"/>
    <w:rsid w:val="653E0219"/>
    <w:rsid w:val="654F4FE5"/>
    <w:rsid w:val="65AD68DC"/>
    <w:rsid w:val="65D727B6"/>
    <w:rsid w:val="65FD18F1"/>
    <w:rsid w:val="662769A1"/>
    <w:rsid w:val="662E56E3"/>
    <w:rsid w:val="66680A54"/>
    <w:rsid w:val="667961B0"/>
    <w:rsid w:val="668F1CAA"/>
    <w:rsid w:val="671C4B51"/>
    <w:rsid w:val="6757143A"/>
    <w:rsid w:val="676A4358"/>
    <w:rsid w:val="679D028A"/>
    <w:rsid w:val="67FC0B68"/>
    <w:rsid w:val="682B24B5"/>
    <w:rsid w:val="68370D4F"/>
    <w:rsid w:val="689B650E"/>
    <w:rsid w:val="692E35B4"/>
    <w:rsid w:val="69520988"/>
    <w:rsid w:val="6977185B"/>
    <w:rsid w:val="699A7F63"/>
    <w:rsid w:val="6A081C47"/>
    <w:rsid w:val="6A8676FB"/>
    <w:rsid w:val="6AA42BFF"/>
    <w:rsid w:val="6B014A19"/>
    <w:rsid w:val="6B363F94"/>
    <w:rsid w:val="6BA33A90"/>
    <w:rsid w:val="6BB122F3"/>
    <w:rsid w:val="6BF52F1B"/>
    <w:rsid w:val="6C1A1401"/>
    <w:rsid w:val="6C42336C"/>
    <w:rsid w:val="6C5A499B"/>
    <w:rsid w:val="6C9C4220"/>
    <w:rsid w:val="6CA11A31"/>
    <w:rsid w:val="6D176B31"/>
    <w:rsid w:val="6DA32372"/>
    <w:rsid w:val="6DF8446C"/>
    <w:rsid w:val="6DFB202A"/>
    <w:rsid w:val="6E30120B"/>
    <w:rsid w:val="6E4C3863"/>
    <w:rsid w:val="6E5753FA"/>
    <w:rsid w:val="6EF22361"/>
    <w:rsid w:val="6F951B1C"/>
    <w:rsid w:val="6FB57A55"/>
    <w:rsid w:val="6FCD3700"/>
    <w:rsid w:val="6FD1766A"/>
    <w:rsid w:val="70231548"/>
    <w:rsid w:val="70365640"/>
    <w:rsid w:val="70A67F01"/>
    <w:rsid w:val="70E250CE"/>
    <w:rsid w:val="715B0FAE"/>
    <w:rsid w:val="717C1DA0"/>
    <w:rsid w:val="717C2705"/>
    <w:rsid w:val="71CB2A38"/>
    <w:rsid w:val="72014BEC"/>
    <w:rsid w:val="72CF4551"/>
    <w:rsid w:val="72E02E4E"/>
    <w:rsid w:val="72EE408F"/>
    <w:rsid w:val="732934A9"/>
    <w:rsid w:val="732B4FF0"/>
    <w:rsid w:val="73416AB6"/>
    <w:rsid w:val="734B00AC"/>
    <w:rsid w:val="734F3C71"/>
    <w:rsid w:val="74157ED7"/>
    <w:rsid w:val="749F3E77"/>
    <w:rsid w:val="74BE292D"/>
    <w:rsid w:val="74DA266E"/>
    <w:rsid w:val="74F57A4F"/>
    <w:rsid w:val="75116F43"/>
    <w:rsid w:val="758C19CA"/>
    <w:rsid w:val="76B82806"/>
    <w:rsid w:val="772C7CB7"/>
    <w:rsid w:val="77434EA2"/>
    <w:rsid w:val="77570E36"/>
    <w:rsid w:val="775766A7"/>
    <w:rsid w:val="7761127E"/>
    <w:rsid w:val="77C53203"/>
    <w:rsid w:val="77E4179D"/>
    <w:rsid w:val="7866634F"/>
    <w:rsid w:val="7897512C"/>
    <w:rsid w:val="78A47CB4"/>
    <w:rsid w:val="78C37D6C"/>
    <w:rsid w:val="79150307"/>
    <w:rsid w:val="796647E3"/>
    <w:rsid w:val="79880533"/>
    <w:rsid w:val="79AC325B"/>
    <w:rsid w:val="79D479CC"/>
    <w:rsid w:val="79EB31D2"/>
    <w:rsid w:val="79EF3BFA"/>
    <w:rsid w:val="7A0E42D7"/>
    <w:rsid w:val="7A225F2E"/>
    <w:rsid w:val="7A236D15"/>
    <w:rsid w:val="7A2930AA"/>
    <w:rsid w:val="7A6A04A0"/>
    <w:rsid w:val="7B004782"/>
    <w:rsid w:val="7B087FDE"/>
    <w:rsid w:val="7B173FF9"/>
    <w:rsid w:val="7B4052F0"/>
    <w:rsid w:val="7B413E20"/>
    <w:rsid w:val="7B533629"/>
    <w:rsid w:val="7B5D748F"/>
    <w:rsid w:val="7B845591"/>
    <w:rsid w:val="7BC44A99"/>
    <w:rsid w:val="7C592656"/>
    <w:rsid w:val="7D46736C"/>
    <w:rsid w:val="7D7A30EF"/>
    <w:rsid w:val="7DA43EDD"/>
    <w:rsid w:val="7DAF3D55"/>
    <w:rsid w:val="7E6E6608"/>
    <w:rsid w:val="7E771BAC"/>
    <w:rsid w:val="7E775614"/>
    <w:rsid w:val="7E800BC1"/>
    <w:rsid w:val="7E8B6C36"/>
    <w:rsid w:val="7EC15089"/>
    <w:rsid w:val="7ED964CE"/>
    <w:rsid w:val="7EE47560"/>
    <w:rsid w:val="7F52213D"/>
    <w:rsid w:val="7F930350"/>
    <w:rsid w:val="7FD27EAE"/>
    <w:rsid w:val="7FD447D6"/>
    <w:rsid w:val="7FDE1E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9"/>
    <w:pPr>
      <w:keepNext/>
      <w:adjustRightInd w:val="0"/>
      <w:snapToGrid w:val="0"/>
      <w:spacing w:line="240" w:lineRule="auto"/>
      <w:jc w:val="center"/>
      <w:outlineLvl w:val="0"/>
    </w:pPr>
    <w:rPr>
      <w:rFonts w:ascii="Times New Roman" w:hAnsi="Times New Roman" w:eastAsia="宋体"/>
      <w:b/>
      <w:sz w:val="32"/>
    </w:rPr>
  </w:style>
  <w:style w:type="paragraph" w:styleId="3">
    <w:name w:val="heading 2"/>
    <w:basedOn w:val="1"/>
    <w:next w:val="1"/>
    <w:link w:val="74"/>
    <w:qFormat/>
    <w:uiPriority w:val="99"/>
    <w:pPr>
      <w:keepNext/>
      <w:keepLines/>
      <w:adjustRightInd w:val="0"/>
      <w:snapToGrid w:val="0"/>
      <w:spacing w:line="360" w:lineRule="auto"/>
      <w:jc w:val="center"/>
      <w:outlineLvl w:val="1"/>
    </w:pPr>
    <w:rPr>
      <w:rFonts w:ascii="Arial" w:hAnsi="Arial"/>
      <w:b/>
      <w:bCs/>
      <w:sz w:val="32"/>
      <w:szCs w:val="32"/>
    </w:rPr>
  </w:style>
  <w:style w:type="paragraph" w:styleId="4">
    <w:name w:val="heading 3"/>
    <w:basedOn w:val="1"/>
    <w:next w:val="1"/>
    <w:qFormat/>
    <w:uiPriority w:val="99"/>
    <w:pPr>
      <w:keepNext/>
      <w:keepLines/>
      <w:spacing w:before="260" w:after="260" w:line="416" w:lineRule="auto"/>
      <w:outlineLvl w:val="2"/>
    </w:pPr>
    <w:rPr>
      <w:b/>
      <w:bCs/>
      <w:sz w:val="32"/>
      <w:szCs w:val="32"/>
    </w:rPr>
  </w:style>
  <w:style w:type="paragraph" w:styleId="5">
    <w:name w:val="heading 4"/>
    <w:basedOn w:val="1"/>
    <w:next w:val="1"/>
    <w:qFormat/>
    <w:uiPriority w:val="99"/>
    <w:pPr>
      <w:keepNext/>
      <w:keepLines/>
      <w:spacing w:before="280" w:after="290" w:line="376" w:lineRule="auto"/>
      <w:outlineLvl w:val="3"/>
    </w:pPr>
    <w:rPr>
      <w:rFonts w:ascii="Cambria" w:hAnsi="Cambria"/>
      <w:b/>
      <w:bCs/>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7">
    <w:name w:val="Default Paragraph Font"/>
    <w:link w:val="28"/>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99"/>
    <w:pPr>
      <w:ind w:firstLine="420" w:firstLineChars="200"/>
    </w:pPr>
    <w:rPr>
      <w:rFonts w:ascii="Calibri" w:hAnsi="Calibri"/>
      <w:kern w:val="0"/>
      <w:sz w:val="20"/>
    </w:rPr>
  </w:style>
  <w:style w:type="paragraph" w:styleId="8">
    <w:name w:val="Body Text 3"/>
    <w:basedOn w:val="1"/>
    <w:qFormat/>
    <w:uiPriority w:val="99"/>
    <w:pPr>
      <w:spacing w:after="120"/>
    </w:pPr>
    <w:rPr>
      <w:sz w:val="16"/>
      <w:szCs w:val="16"/>
    </w:rPr>
  </w:style>
  <w:style w:type="paragraph" w:styleId="9">
    <w:name w:val="Body Text"/>
    <w:basedOn w:val="1"/>
    <w:qFormat/>
    <w:uiPriority w:val="99"/>
    <w:pPr>
      <w:spacing w:after="120"/>
    </w:pPr>
    <w:rPr>
      <w:szCs w:val="24"/>
    </w:rPr>
  </w:style>
  <w:style w:type="paragraph" w:styleId="10">
    <w:name w:val="Body Text Indent"/>
    <w:basedOn w:val="1"/>
    <w:next w:val="1"/>
    <w:qFormat/>
    <w:uiPriority w:val="0"/>
    <w:pPr>
      <w:ind w:left="1083" w:leftChars="30" w:hanging="1020" w:hangingChars="425"/>
    </w:pPr>
    <w:rPr>
      <w:rFonts w:ascii="宋体" w:hAnsi="宋体"/>
      <w:sz w:val="24"/>
    </w:rPr>
  </w:style>
  <w:style w:type="paragraph" w:styleId="11">
    <w:name w:val="List 2"/>
    <w:basedOn w:val="1"/>
    <w:qFormat/>
    <w:uiPriority w:val="0"/>
    <w:pPr>
      <w:spacing w:line="360" w:lineRule="auto"/>
      <w:ind w:left="100" w:leftChars="200" w:hanging="200" w:hangingChars="200"/>
    </w:pPr>
    <w:rPr>
      <w:szCs w:val="20"/>
    </w:rPr>
  </w:style>
  <w:style w:type="paragraph" w:styleId="12">
    <w:name w:val="Block Text"/>
    <w:basedOn w:val="1"/>
    <w:next w:val="13"/>
    <w:qFormat/>
    <w:uiPriority w:val="0"/>
    <w:pPr>
      <w:ind w:left="1440" w:leftChars="700" w:right="700" w:rightChars="700"/>
    </w:pPr>
  </w:style>
  <w:style w:type="paragraph" w:styleId="13">
    <w:name w:val="Plain Text"/>
    <w:basedOn w:val="1"/>
    <w:next w:val="1"/>
    <w:qFormat/>
    <w:uiPriority w:val="99"/>
    <w:rPr>
      <w:rFonts w:ascii="宋体" w:hAnsi="Courier New"/>
    </w:rPr>
  </w:style>
  <w:style w:type="paragraph" w:styleId="14">
    <w:name w:val="Body Text Indent 2"/>
    <w:basedOn w:val="1"/>
    <w:qFormat/>
    <w:uiPriority w:val="0"/>
    <w:pPr>
      <w:autoSpaceDE w:val="0"/>
      <w:autoSpaceDN w:val="0"/>
      <w:adjustRightInd w:val="0"/>
      <w:spacing w:line="640" w:lineRule="exact"/>
      <w:ind w:firstLine="645"/>
    </w:pPr>
    <w:rPr>
      <w:rFonts w:ascii="楷体_GB2312" w:eastAsia="楷体_GB2312"/>
      <w:kern w:val="0"/>
      <w:sz w:val="32"/>
      <w:szCs w:val="32"/>
    </w:rPr>
  </w:style>
  <w:style w:type="paragraph" w:styleId="15">
    <w:name w:val="footer"/>
    <w:basedOn w:val="1"/>
    <w:qFormat/>
    <w:uiPriority w:val="99"/>
    <w:pPr>
      <w:tabs>
        <w:tab w:val="center" w:pos="4153"/>
        <w:tab w:val="right" w:pos="8306"/>
      </w:tabs>
      <w:adjustRightInd w:val="0"/>
      <w:spacing w:line="240" w:lineRule="atLeast"/>
      <w:jc w:val="left"/>
      <w:textAlignment w:val="baseline"/>
    </w:pPr>
    <w:rPr>
      <w:kern w:val="0"/>
      <w:sz w:val="18"/>
    </w:rPr>
  </w:style>
  <w:style w:type="paragraph" w:styleId="16">
    <w:name w:val="envelope return"/>
    <w:basedOn w:val="1"/>
    <w:qFormat/>
    <w:uiPriority w:val="0"/>
    <w:pPr>
      <w:snapToGrid w:val="0"/>
    </w:pPr>
    <w:rPr>
      <w:rFonts w:ascii="Arial" w:hAnsi="Arial"/>
    </w:rPr>
  </w:style>
  <w:style w:type="paragraph" w:styleId="17">
    <w:name w:val="header"/>
    <w:basedOn w:val="1"/>
    <w:qFormat/>
    <w:uiPriority w:val="99"/>
    <w:pPr>
      <w:pBdr>
        <w:bottom w:val="single" w:color="auto" w:sz="6" w:space="1"/>
      </w:pBdr>
      <w:tabs>
        <w:tab w:val="center" w:pos="4153"/>
        <w:tab w:val="right" w:pos="8306"/>
      </w:tabs>
      <w:snapToGrid w:val="0"/>
      <w:jc w:val="center"/>
    </w:pPr>
    <w:rPr>
      <w:sz w:val="18"/>
    </w:rPr>
  </w:style>
  <w:style w:type="paragraph" w:styleId="18">
    <w:name w:val="toc 1"/>
    <w:basedOn w:val="1"/>
    <w:next w:val="1"/>
    <w:qFormat/>
    <w:uiPriority w:val="0"/>
  </w:style>
  <w:style w:type="paragraph" w:styleId="19">
    <w:name w:val="Body Text Indent 3"/>
    <w:basedOn w:val="1"/>
    <w:qFormat/>
    <w:uiPriority w:val="0"/>
    <w:pPr>
      <w:spacing w:after="120" w:afterLines="0" w:afterAutospacing="0"/>
      <w:ind w:left="420" w:leftChars="200"/>
    </w:pPr>
    <w:rPr>
      <w:sz w:val="16"/>
    </w:rPr>
  </w:style>
  <w:style w:type="paragraph" w:styleId="20">
    <w:name w:val="toc 2"/>
    <w:basedOn w:val="1"/>
    <w:next w:val="1"/>
    <w:qFormat/>
    <w:uiPriority w:val="0"/>
    <w:pPr>
      <w:ind w:left="420" w:leftChars="200"/>
    </w:pPr>
  </w:style>
  <w:style w:type="paragraph" w:styleId="21">
    <w:name w:val="Body Text 2"/>
    <w:basedOn w:val="1"/>
    <w:qFormat/>
    <w:uiPriority w:val="0"/>
    <w:rPr>
      <w:rFonts w:ascii="楷体_GB2312" w:hAnsi="Copperplate Gothic Bold" w:eastAsia="楷体_GB2312"/>
      <w:sz w:val="28"/>
    </w:rPr>
  </w:style>
  <w:style w:type="paragraph" w:styleId="22">
    <w:name w:val="Normal (Web)"/>
    <w:basedOn w:val="1"/>
    <w:next w:val="16"/>
    <w:qFormat/>
    <w:uiPriority w:val="99"/>
    <w:pPr>
      <w:widowControl/>
      <w:spacing w:before="100" w:beforeAutospacing="1" w:after="100" w:afterAutospacing="1"/>
      <w:jc w:val="left"/>
    </w:pPr>
    <w:rPr>
      <w:rFonts w:ascii="宋体" w:hAnsi="宋体" w:cs="宋体"/>
      <w:kern w:val="0"/>
      <w:sz w:val="24"/>
      <w:szCs w:val="24"/>
    </w:rPr>
  </w:style>
  <w:style w:type="paragraph" w:styleId="23">
    <w:name w:val="Body Text First Indent"/>
    <w:basedOn w:val="9"/>
    <w:qFormat/>
    <w:uiPriority w:val="0"/>
    <w:pPr>
      <w:adjustRightInd w:val="0"/>
      <w:ind w:firstLine="420"/>
      <w:jc w:val="left"/>
      <w:textAlignment w:val="baseline"/>
    </w:pPr>
    <w:rPr>
      <w:kern w:val="0"/>
      <w:sz w:val="21"/>
    </w:rPr>
  </w:style>
  <w:style w:type="paragraph" w:styleId="24">
    <w:name w:val="Body Text First Indent 2"/>
    <w:basedOn w:val="10"/>
    <w:next w:val="1"/>
    <w:qFormat/>
    <w:uiPriority w:val="0"/>
    <w:pPr>
      <w:ind w:firstLine="420"/>
    </w:pPr>
    <w:rPr>
      <w:rFonts w:hint="eastAsia"/>
      <w:sz w:val="21"/>
    </w:rPr>
  </w:style>
  <w:style w:type="table" w:styleId="26">
    <w:name w:val="Table Grid"/>
    <w:basedOn w:val="2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
    <w:name w:val="Char"/>
    <w:basedOn w:val="1"/>
    <w:link w:val="27"/>
    <w:qFormat/>
    <w:uiPriority w:val="0"/>
  </w:style>
  <w:style w:type="character" w:styleId="29">
    <w:name w:val="Strong"/>
    <w:basedOn w:val="27"/>
    <w:qFormat/>
    <w:uiPriority w:val="0"/>
    <w:rPr>
      <w:b/>
      <w:bCs/>
    </w:rPr>
  </w:style>
  <w:style w:type="character" w:styleId="30">
    <w:name w:val="page number"/>
    <w:basedOn w:val="27"/>
    <w:qFormat/>
    <w:uiPriority w:val="99"/>
    <w:rPr>
      <w:rFonts w:cs="Times New Roman"/>
    </w:rPr>
  </w:style>
  <w:style w:type="character" w:styleId="31">
    <w:name w:val="FollowedHyperlink"/>
    <w:basedOn w:val="27"/>
    <w:qFormat/>
    <w:uiPriority w:val="0"/>
    <w:rPr>
      <w:color w:val="333333"/>
      <w:u w:val="none"/>
    </w:rPr>
  </w:style>
  <w:style w:type="character" w:styleId="32">
    <w:name w:val="Emphasis"/>
    <w:basedOn w:val="27"/>
    <w:qFormat/>
    <w:uiPriority w:val="0"/>
  </w:style>
  <w:style w:type="character" w:styleId="33">
    <w:name w:val="HTML Definition"/>
    <w:basedOn w:val="27"/>
    <w:qFormat/>
    <w:uiPriority w:val="0"/>
    <w:rPr>
      <w:i/>
      <w:iCs/>
    </w:rPr>
  </w:style>
  <w:style w:type="character" w:styleId="34">
    <w:name w:val="HTML Typewriter"/>
    <w:basedOn w:val="27"/>
    <w:qFormat/>
    <w:uiPriority w:val="0"/>
    <w:rPr>
      <w:rFonts w:hint="default" w:ascii="monospace" w:hAnsi="monospace" w:eastAsia="monospace" w:cs="monospace"/>
      <w:sz w:val="20"/>
    </w:rPr>
  </w:style>
  <w:style w:type="character" w:styleId="35">
    <w:name w:val="HTML Acronym"/>
    <w:basedOn w:val="27"/>
    <w:qFormat/>
    <w:uiPriority w:val="0"/>
  </w:style>
  <w:style w:type="character" w:styleId="36">
    <w:name w:val="HTML Variable"/>
    <w:basedOn w:val="27"/>
    <w:qFormat/>
    <w:uiPriority w:val="0"/>
  </w:style>
  <w:style w:type="character" w:styleId="37">
    <w:name w:val="Hyperlink"/>
    <w:basedOn w:val="27"/>
    <w:qFormat/>
    <w:uiPriority w:val="0"/>
    <w:rPr>
      <w:color w:val="333333"/>
      <w:u w:val="none"/>
    </w:rPr>
  </w:style>
  <w:style w:type="character" w:styleId="38">
    <w:name w:val="HTML Code"/>
    <w:basedOn w:val="27"/>
    <w:qFormat/>
    <w:uiPriority w:val="0"/>
    <w:rPr>
      <w:rFonts w:hint="default" w:ascii="Consolas" w:hAnsi="Consolas" w:eastAsia="Consolas" w:cs="Consolas"/>
      <w:color w:val="C7254E"/>
      <w:sz w:val="21"/>
      <w:szCs w:val="21"/>
      <w:shd w:val="clear" w:fill="F9F2F4"/>
    </w:rPr>
  </w:style>
  <w:style w:type="character" w:styleId="39">
    <w:name w:val="HTML Cite"/>
    <w:basedOn w:val="27"/>
    <w:qFormat/>
    <w:uiPriority w:val="0"/>
  </w:style>
  <w:style w:type="character" w:styleId="40">
    <w:name w:val="HTML Keyboard"/>
    <w:basedOn w:val="27"/>
    <w:qFormat/>
    <w:uiPriority w:val="0"/>
    <w:rPr>
      <w:rFonts w:hint="default" w:ascii="Consolas" w:hAnsi="Consolas" w:eastAsia="Consolas" w:cs="Consolas"/>
      <w:color w:val="FFFFFF"/>
      <w:sz w:val="21"/>
      <w:szCs w:val="21"/>
      <w:shd w:val="clear" w:fill="333333"/>
    </w:rPr>
  </w:style>
  <w:style w:type="character" w:styleId="41">
    <w:name w:val="HTML Sample"/>
    <w:basedOn w:val="27"/>
    <w:qFormat/>
    <w:uiPriority w:val="0"/>
    <w:rPr>
      <w:rFonts w:ascii="Consolas" w:hAnsi="Consolas" w:eastAsia="Consolas" w:cs="Consolas"/>
      <w:sz w:val="21"/>
      <w:szCs w:val="21"/>
    </w:rPr>
  </w:style>
  <w:style w:type="paragraph" w:customStyle="1" w:styleId="42">
    <w:name w:val="正文缩进1"/>
    <w:basedOn w:val="1"/>
    <w:qFormat/>
    <w:uiPriority w:val="0"/>
    <w:pPr>
      <w:ind w:firstLine="420" w:firstLineChars="200"/>
    </w:pPr>
  </w:style>
  <w:style w:type="paragraph" w:customStyle="1" w:styleId="43">
    <w:name w:val="Normal Indent1"/>
    <w:basedOn w:val="1"/>
    <w:qFormat/>
    <w:uiPriority w:val="0"/>
    <w:pPr>
      <w:ind w:firstLine="420" w:firstLineChars="200"/>
    </w:pPr>
  </w:style>
  <w:style w:type="paragraph" w:customStyle="1" w:styleId="44">
    <w:name w:val="样式1"/>
    <w:basedOn w:val="1"/>
    <w:next w:val="1"/>
    <w:qFormat/>
    <w:uiPriority w:val="0"/>
    <w:pPr>
      <w:numPr>
        <w:ilvl w:val="0"/>
        <w:numId w:val="1"/>
      </w:numPr>
      <w:adjustRightInd w:val="0"/>
      <w:textAlignment w:val="baseline"/>
    </w:pPr>
    <w:rPr>
      <w:rFonts w:ascii="宋体" w:hAnsi="宋体"/>
      <w:kern w:val="0"/>
      <w:szCs w:val="21"/>
    </w:rPr>
  </w:style>
  <w:style w:type="paragraph" w:customStyle="1" w:styleId="45">
    <w:name w:val="正式文本"/>
    <w:basedOn w:val="1"/>
    <w:qFormat/>
    <w:uiPriority w:val="0"/>
    <w:pPr>
      <w:spacing w:line="540" w:lineRule="exact"/>
      <w:ind w:firstLine="200" w:firstLineChars="200"/>
    </w:pPr>
    <w:rPr>
      <w:rFonts w:ascii="宋体" w:hAnsi="Arial Narrow" w:eastAsia="宋体" w:cs="Times New Roman"/>
      <w:sz w:val="28"/>
      <w:szCs w:val="24"/>
    </w:rPr>
  </w:style>
  <w:style w:type="paragraph" w:customStyle="1" w:styleId="46">
    <w:name w:val="WPSOffice手动目录 1"/>
    <w:qFormat/>
    <w:uiPriority w:val="0"/>
    <w:rPr>
      <w:rFonts w:ascii="Calibri" w:hAnsi="Calibri" w:eastAsia="宋体" w:cs="Times New Roman"/>
      <w:lang w:val="en-US" w:eastAsia="zh-CN" w:bidi="ar-SA"/>
    </w:rPr>
  </w:style>
  <w:style w:type="paragraph" w:customStyle="1" w:styleId="47">
    <w:name w:val="WPSOffice手动目录 2"/>
    <w:qFormat/>
    <w:uiPriority w:val="0"/>
    <w:pPr>
      <w:ind w:left="200" w:leftChars="200"/>
    </w:pPr>
    <w:rPr>
      <w:rFonts w:ascii="Calibri" w:hAnsi="Calibri" w:eastAsia="宋体" w:cs="Times New Roman"/>
      <w:lang w:val="en-US" w:eastAsia="zh-CN" w:bidi="ar-SA"/>
    </w:rPr>
  </w:style>
  <w:style w:type="paragraph" w:customStyle="1" w:styleId="48">
    <w:name w:val="List Paragraph1"/>
    <w:qFormat/>
    <w:uiPriority w:val="99"/>
    <w:pPr>
      <w:ind w:firstLine="420" w:firstLineChars="200"/>
    </w:pPr>
    <w:rPr>
      <w:rFonts w:ascii="Times New Roman" w:hAnsi="Times New Roman" w:eastAsia="宋体" w:cs="Times New Roman"/>
      <w:lang w:val="en-US" w:eastAsia="zh-CN" w:bidi="ar-SA"/>
    </w:rPr>
  </w:style>
  <w:style w:type="paragraph" w:customStyle="1" w:styleId="49">
    <w:name w:val="样式 标题 2 + Times New Roman 四号 非加粗 段前: 5 磅 段后: 0 磅 行距: 固定值 20..."/>
    <w:basedOn w:val="3"/>
    <w:qFormat/>
    <w:uiPriority w:val="99"/>
    <w:pPr>
      <w:spacing w:before="100" w:line="400" w:lineRule="exact"/>
    </w:pPr>
    <w:rPr>
      <w:rFonts w:ascii="Times New Roman" w:hAnsi="Times New Roman" w:cs="宋体"/>
      <w:b w:val="0"/>
      <w:kern w:val="0"/>
      <w:sz w:val="28"/>
    </w:rPr>
  </w:style>
  <w:style w:type="paragraph" w:customStyle="1" w:styleId="50">
    <w:name w:val="样式 标题 3 + (中文) 黑体 小四 非加粗 段前: 7.8 磅 段后: 0 磅 行距: 固定值 20 磅"/>
    <w:basedOn w:val="4"/>
    <w:next w:val="1"/>
    <w:qFormat/>
    <w:uiPriority w:val="99"/>
    <w:pPr>
      <w:spacing w:before="0" w:after="0" w:line="400" w:lineRule="exact"/>
    </w:pPr>
    <w:rPr>
      <w:rFonts w:hAnsi="Calibri" w:eastAsia="黑体" w:cs="宋体"/>
      <w:b w:val="0"/>
      <w:sz w:val="24"/>
    </w:rPr>
  </w:style>
  <w:style w:type="paragraph" w:styleId="51">
    <w:name w:val="List Paragraph"/>
    <w:basedOn w:val="1"/>
    <w:qFormat/>
    <w:uiPriority w:val="34"/>
    <w:pPr>
      <w:ind w:firstLine="420" w:firstLineChars="200"/>
    </w:pPr>
    <w:rPr>
      <w:rFonts w:ascii="Calibri" w:hAnsi="Calibri"/>
      <w:szCs w:val="22"/>
    </w:rPr>
  </w:style>
  <w:style w:type="paragraph" w:customStyle="1" w:styleId="52">
    <w:name w:val="目录"/>
    <w:basedOn w:val="1"/>
    <w:qFormat/>
    <w:uiPriority w:val="99"/>
    <w:pPr>
      <w:jc w:val="center"/>
    </w:pPr>
    <w:rPr>
      <w:rFonts w:ascii="宋体" w:hAnsi="Calibri"/>
      <w:b/>
      <w:sz w:val="36"/>
      <w:szCs w:val="22"/>
    </w:rPr>
  </w:style>
  <w:style w:type="paragraph" w:customStyle="1" w:styleId="53">
    <w:name w:val="正文样式"/>
    <w:basedOn w:val="1"/>
    <w:qFormat/>
    <w:uiPriority w:val="0"/>
    <w:pPr>
      <w:tabs>
        <w:tab w:val="left" w:pos="1560"/>
      </w:tabs>
      <w:spacing w:before="163" w:after="163" w:line="300" w:lineRule="auto"/>
      <w:ind w:left="1560" w:hanging="360" w:firstLineChars="200"/>
    </w:pPr>
    <w:rPr>
      <w:rFonts w:ascii="宋体" w:hAnsi="等线" w:eastAsia="等线"/>
      <w:sz w:val="24"/>
    </w:rPr>
  </w:style>
  <w:style w:type="paragraph" w:customStyle="1" w:styleId="54">
    <w:name w:val="首行缩进"/>
    <w:basedOn w:val="1"/>
    <w:qFormat/>
    <w:uiPriority w:val="0"/>
    <w:pPr>
      <w:spacing w:line="360" w:lineRule="auto"/>
      <w:ind w:firstLine="480" w:firstLineChars="200"/>
    </w:pPr>
    <w:rPr>
      <w:sz w:val="24"/>
      <w:szCs w:val="22"/>
      <w:lang w:val="zh-CN"/>
    </w:rPr>
  </w:style>
  <w:style w:type="paragraph" w:customStyle="1" w:styleId="55">
    <w:name w:val="Table Paragraph"/>
    <w:basedOn w:val="1"/>
    <w:qFormat/>
    <w:uiPriority w:val="1"/>
    <w:rPr>
      <w:rFonts w:ascii="仿宋" w:hAnsi="仿宋" w:eastAsia="仿宋" w:cs="仿宋"/>
      <w:lang w:val="zh-CN" w:eastAsia="zh-CN" w:bidi="zh-CN"/>
    </w:rPr>
  </w:style>
  <w:style w:type="character" w:customStyle="1" w:styleId="56">
    <w:name w:val="NormalCharacter"/>
    <w:qFormat/>
    <w:uiPriority w:val="0"/>
    <w:rPr>
      <w:kern w:val="2"/>
      <w:sz w:val="21"/>
      <w:lang w:val="en-US" w:eastAsia="zh-CN" w:bidi="ar-SA"/>
    </w:rPr>
  </w:style>
  <w:style w:type="character" w:customStyle="1" w:styleId="57">
    <w:name w:val="old"/>
    <w:basedOn w:val="27"/>
    <w:qFormat/>
    <w:uiPriority w:val="0"/>
    <w:rPr>
      <w:color w:val="999999"/>
    </w:rPr>
  </w:style>
  <w:style w:type="character" w:customStyle="1" w:styleId="58">
    <w:name w:val="hover3"/>
    <w:basedOn w:val="27"/>
    <w:qFormat/>
    <w:uiPriority w:val="0"/>
    <w:rPr>
      <w:shd w:val="clear" w:fill="EEEEEE"/>
    </w:rPr>
  </w:style>
  <w:style w:type="character" w:customStyle="1" w:styleId="59">
    <w:name w:val="indent"/>
    <w:basedOn w:val="27"/>
    <w:qFormat/>
    <w:uiPriority w:val="0"/>
  </w:style>
  <w:style w:type="character" w:customStyle="1" w:styleId="60">
    <w:name w:val="hour_am"/>
    <w:basedOn w:val="27"/>
    <w:qFormat/>
    <w:uiPriority w:val="0"/>
  </w:style>
  <w:style w:type="character" w:customStyle="1" w:styleId="61">
    <w:name w:val="button"/>
    <w:basedOn w:val="27"/>
    <w:qFormat/>
    <w:uiPriority w:val="0"/>
  </w:style>
  <w:style w:type="character" w:customStyle="1" w:styleId="62">
    <w:name w:val="tmpztreemove_arrow"/>
    <w:basedOn w:val="27"/>
    <w:qFormat/>
    <w:uiPriority w:val="0"/>
    <w:rPr>
      <w:shd w:val="clear" w:fill="FFFFFF"/>
    </w:rPr>
  </w:style>
  <w:style w:type="character" w:customStyle="1" w:styleId="63">
    <w:name w:val="hour_pm"/>
    <w:basedOn w:val="27"/>
    <w:qFormat/>
    <w:uiPriority w:val="0"/>
  </w:style>
  <w:style w:type="character" w:customStyle="1" w:styleId="64">
    <w:name w:val="glyphicon4"/>
    <w:basedOn w:val="27"/>
    <w:qFormat/>
    <w:uiPriority w:val="0"/>
  </w:style>
  <w:style w:type="paragraph" w:customStyle="1" w:styleId="65">
    <w:name w:val="设计书正文"/>
    <w:basedOn w:val="14"/>
    <w:qFormat/>
    <w:uiPriority w:val="0"/>
    <w:pPr>
      <w:spacing w:line="360" w:lineRule="auto"/>
      <w:ind w:firstLine="200"/>
      <w:jc w:val="both"/>
    </w:pPr>
  </w:style>
  <w:style w:type="paragraph" w:customStyle="1" w:styleId="66">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67">
    <w:name w:val="纯文本1"/>
    <w:basedOn w:val="1"/>
    <w:qFormat/>
    <w:uiPriority w:val="0"/>
    <w:pPr>
      <w:widowControl/>
      <w:spacing w:line="240" w:lineRule="auto"/>
      <w:jc w:val="left"/>
    </w:pPr>
    <w:rPr>
      <w:rFonts w:ascii="Arial" w:hAnsi="仿宋" w:cs="仿宋"/>
      <w:szCs w:val="21"/>
    </w:rPr>
  </w:style>
  <w:style w:type="character" w:customStyle="1" w:styleId="68">
    <w:name w:val="hover"/>
    <w:basedOn w:val="27"/>
    <w:qFormat/>
    <w:uiPriority w:val="0"/>
    <w:rPr>
      <w:shd w:val="clear" w:fill="EEEEEE"/>
    </w:rPr>
  </w:style>
  <w:style w:type="character" w:customStyle="1" w:styleId="69">
    <w:name w:val="glyphicon"/>
    <w:basedOn w:val="27"/>
    <w:qFormat/>
    <w:uiPriority w:val="0"/>
  </w:style>
  <w:style w:type="paragraph" w:customStyle="1" w:styleId="70">
    <w:name w:val=" Char Char1 Char"/>
    <w:basedOn w:val="1"/>
    <w:qFormat/>
    <w:uiPriority w:val="0"/>
    <w:rPr>
      <w:rFonts w:ascii="宋体" w:hAnsi="宋体"/>
      <w:sz w:val="24"/>
    </w:rPr>
  </w:style>
  <w:style w:type="paragraph" w:customStyle="1" w:styleId="71">
    <w:name w:val="正文 New"/>
    <w:qFormat/>
    <w:uiPriority w:val="99"/>
    <w:pPr>
      <w:widowControl w:val="0"/>
      <w:jc w:val="both"/>
    </w:pPr>
    <w:rPr>
      <w:rFonts w:ascii="Calibri" w:hAnsi="Calibri" w:eastAsia="宋体" w:cs="Times New Roman"/>
      <w:lang w:val="en-US" w:eastAsia="zh-CN" w:bidi="ar-SA"/>
    </w:rPr>
  </w:style>
  <w:style w:type="paragraph" w:customStyle="1" w:styleId="72">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73">
    <w:name w:val=" Char"/>
    <w:basedOn w:val="1"/>
    <w:qFormat/>
    <w:uiPriority w:val="0"/>
  </w:style>
  <w:style w:type="character" w:customStyle="1" w:styleId="74">
    <w:name w:val="标题 2 Char"/>
    <w:link w:val="3"/>
    <w:qFormat/>
    <w:uiPriority w:val="99"/>
    <w:rPr>
      <w:rFonts w:ascii="Arial" w:hAnsi="Arial"/>
      <w:b/>
      <w:bCs/>
      <w:sz w:val="32"/>
      <w:szCs w:val="32"/>
    </w:rPr>
  </w:style>
  <w:style w:type="paragraph" w:customStyle="1" w:styleId="75">
    <w:name w:val="正文（缩进）"/>
    <w:basedOn w:val="1"/>
    <w:qFormat/>
    <w:uiPriority w:val="0"/>
    <w:pPr>
      <w:spacing w:beforeLines="50" w:afterLines="50"/>
      <w:ind w:firstLine="480"/>
    </w:pPr>
    <w:rPr>
      <w:sz w:val="24"/>
    </w:rPr>
  </w:style>
  <w:style w:type="table" w:customStyle="1" w:styleId="76">
    <w:name w:val="Table Normal"/>
    <w:semiHidden/>
    <w:unhideWhenUsed/>
    <w:qFormat/>
    <w:uiPriority w:val="0"/>
    <w:tblPr>
      <w:tblCellMar>
        <w:top w:w="0" w:type="dxa"/>
        <w:left w:w="0" w:type="dxa"/>
        <w:bottom w:w="0" w:type="dxa"/>
        <w:right w:w="0" w:type="dxa"/>
      </w:tblCellMar>
    </w:tblPr>
  </w:style>
  <w:style w:type="paragraph" w:customStyle="1" w:styleId="77">
    <w:name w:val="Table Text"/>
    <w:basedOn w:val="1"/>
    <w:semiHidden/>
    <w:qFormat/>
    <w:uiPriority w:val="0"/>
    <w:rPr>
      <w:rFonts w:ascii="宋体" w:hAnsi="宋体" w:eastAsia="宋体" w:cs="宋体"/>
      <w:sz w:val="24"/>
      <w:szCs w:val="24"/>
      <w:lang w:val="en-US" w:eastAsia="en-US" w:bidi="ar-SA"/>
    </w:rPr>
  </w:style>
  <w:style w:type="paragraph" w:customStyle="1" w:styleId="78">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9">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77</Words>
  <Characters>88</Characters>
  <Lines>0</Lines>
  <Paragraphs>0</Paragraphs>
  <TotalTime>32</TotalTime>
  <ScaleCrop>false</ScaleCrop>
  <LinksUpToDate>false</LinksUpToDate>
  <CharactersWithSpaces>93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2020-09-29T01:13:00Z</dcterms:created>
  <dc:creator>Administrator</dc:creator>
  <cp:lastModifiedBy>Lenovo</cp:lastModifiedBy>
  <cp:lastPrinted>2026-09-22T09:16:00Z</cp:lastPrinted>
  <dcterms:modified xsi:type="dcterms:W3CDTF">2026-09-23T08:48:56Z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8992CE1EC5AC454CBA28F7F7C789EC85_13</vt:lpwstr>
  </property>
  <property fmtid="{D5CDD505-2E9C-101B-9397-08002B2CF9AE}" pid="4" name="KSOTemplateDocerSaveRecord">
    <vt:lpwstr>eyJoZGlkIjoiYWEyNjlhYTBhOTFjNzJjZjI4YWRlM2JkYTc5NDExMTAiLCJ1c2VySWQiOiI5NTMzNzU0MzkifQ==</vt:lpwstr>
  </property>
</Properties>
</file>