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D4A9D">
      <w:pPr>
        <w:pStyle w:val="11"/>
        <w:jc w:val="center"/>
        <w:outlineLvl w:val="1"/>
      </w:pPr>
      <w:bookmarkStart w:id="2" w:name="_GoBack"/>
      <w:bookmarkEnd w:id="2"/>
      <w:r>
        <w:rPr>
          <w:rFonts w:ascii="仿宋_GB2312" w:hAnsi="仿宋_GB2312" w:eastAsia="仿宋_GB2312" w:cs="仿宋_GB2312"/>
          <w:b/>
          <w:sz w:val="36"/>
        </w:rPr>
        <w:t>第八章 拟签订采购合同文本</w:t>
      </w:r>
    </w:p>
    <w:p w14:paraId="570B98AD">
      <w:pPr>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lang w:val="en-US" w:eastAsia="zh-CN"/>
        </w:rPr>
        <w:t>曲江新区五典坡安置小区（城中村改造）外配套基础设施工程监理</w:t>
      </w:r>
      <w:r>
        <w:rPr>
          <w:rFonts w:hint="eastAsia" w:ascii="仿宋" w:hAnsi="仿宋" w:eastAsia="仿宋" w:cs="仿宋"/>
          <w:b/>
          <w:sz w:val="44"/>
          <w:szCs w:val="44"/>
          <w:highlight w:val="none"/>
        </w:rPr>
        <w:t>合同</w:t>
      </w:r>
    </w:p>
    <w:p w14:paraId="5784699F">
      <w:pPr>
        <w:rPr>
          <w:rFonts w:hint="eastAsia" w:ascii="仿宋" w:hAnsi="仿宋" w:eastAsia="仿宋" w:cs="仿宋"/>
          <w:highlight w:val="none"/>
        </w:rPr>
      </w:pPr>
    </w:p>
    <w:p w14:paraId="772D5087">
      <w:pPr>
        <w:ind w:firstLine="705"/>
        <w:rPr>
          <w:rFonts w:hint="eastAsia" w:ascii="仿宋" w:hAnsi="仿宋" w:eastAsia="仿宋" w:cs="仿宋"/>
          <w:sz w:val="28"/>
          <w:highlight w:val="none"/>
        </w:rPr>
      </w:pPr>
    </w:p>
    <w:p w14:paraId="7CD036F3">
      <w:pPr>
        <w:ind w:firstLine="705"/>
        <w:rPr>
          <w:rFonts w:hint="eastAsia" w:ascii="仿宋" w:hAnsi="仿宋" w:eastAsia="仿宋" w:cs="仿宋"/>
          <w:sz w:val="28"/>
          <w:highlight w:val="none"/>
        </w:rPr>
      </w:pPr>
    </w:p>
    <w:p w14:paraId="29311E3A">
      <w:pPr>
        <w:ind w:firstLine="705"/>
        <w:rPr>
          <w:rFonts w:hint="eastAsia" w:ascii="仿宋" w:hAnsi="仿宋" w:eastAsia="仿宋" w:cs="仿宋"/>
          <w:sz w:val="28"/>
          <w:highlight w:val="none"/>
        </w:rPr>
      </w:pPr>
    </w:p>
    <w:p w14:paraId="1F15057C">
      <w:pPr>
        <w:ind w:firstLine="705"/>
        <w:rPr>
          <w:rFonts w:hint="eastAsia" w:ascii="仿宋" w:hAnsi="仿宋" w:eastAsia="仿宋" w:cs="仿宋"/>
          <w:sz w:val="28"/>
          <w:highlight w:val="none"/>
        </w:rPr>
      </w:pPr>
    </w:p>
    <w:p w14:paraId="3E9C2DD9">
      <w:pPr>
        <w:ind w:firstLine="705"/>
        <w:rPr>
          <w:rFonts w:hint="eastAsia" w:ascii="仿宋" w:hAnsi="仿宋" w:eastAsia="仿宋" w:cs="仿宋"/>
          <w:sz w:val="28"/>
          <w:highlight w:val="none"/>
        </w:rPr>
      </w:pPr>
    </w:p>
    <w:p w14:paraId="6089C99F">
      <w:pPr>
        <w:ind w:firstLine="705"/>
        <w:rPr>
          <w:rFonts w:hint="eastAsia" w:ascii="仿宋" w:hAnsi="仿宋" w:eastAsia="仿宋" w:cs="仿宋"/>
          <w:sz w:val="28"/>
          <w:highlight w:val="none"/>
        </w:rPr>
      </w:pPr>
    </w:p>
    <w:p w14:paraId="28BD28E2">
      <w:pPr>
        <w:ind w:firstLine="705"/>
        <w:rPr>
          <w:rFonts w:hint="eastAsia" w:ascii="仿宋" w:hAnsi="仿宋" w:eastAsia="仿宋" w:cs="仿宋"/>
          <w:sz w:val="28"/>
          <w:highlight w:val="none"/>
        </w:rPr>
      </w:pPr>
    </w:p>
    <w:p w14:paraId="30BEE87F">
      <w:pPr>
        <w:ind w:firstLine="705"/>
        <w:rPr>
          <w:rFonts w:hint="eastAsia" w:ascii="仿宋" w:hAnsi="仿宋" w:eastAsia="仿宋" w:cs="仿宋"/>
          <w:sz w:val="28"/>
          <w:highlight w:val="none"/>
        </w:rPr>
      </w:pPr>
    </w:p>
    <w:p w14:paraId="2D4B99F3">
      <w:pPr>
        <w:pStyle w:val="4"/>
        <w:rPr>
          <w:rFonts w:hint="eastAsia" w:ascii="仿宋" w:hAnsi="仿宋" w:eastAsia="仿宋" w:cs="仿宋"/>
          <w:sz w:val="28"/>
          <w:highlight w:val="none"/>
        </w:rPr>
      </w:pPr>
    </w:p>
    <w:p w14:paraId="48A0641A">
      <w:pPr>
        <w:rPr>
          <w:rFonts w:hint="eastAsia"/>
          <w:highlight w:val="none"/>
        </w:rPr>
      </w:pPr>
    </w:p>
    <w:p w14:paraId="51930C66">
      <w:pPr>
        <w:ind w:firstLine="705"/>
        <w:rPr>
          <w:rFonts w:hint="eastAsia" w:ascii="仿宋" w:hAnsi="仿宋" w:eastAsia="仿宋" w:cs="仿宋"/>
          <w:sz w:val="28"/>
          <w:highlight w:val="none"/>
        </w:rPr>
      </w:pPr>
    </w:p>
    <w:p w14:paraId="6ECB4338">
      <w:pPr>
        <w:ind w:firstLine="705"/>
        <w:jc w:val="center"/>
        <w:rPr>
          <w:rFonts w:hint="eastAsia" w:ascii="仿宋" w:hAnsi="仿宋" w:eastAsia="仿宋" w:cs="仿宋"/>
          <w:b/>
          <w:sz w:val="32"/>
          <w:highlight w:val="none"/>
        </w:rPr>
      </w:pPr>
      <w:r>
        <w:rPr>
          <w:rFonts w:hint="eastAsia" w:ascii="仿宋" w:hAnsi="仿宋" w:eastAsia="仿宋" w:cs="仿宋"/>
          <w:b/>
          <w:sz w:val="32"/>
          <w:highlight w:val="none"/>
        </w:rPr>
        <w:t>中华人民共和国建设部</w:t>
      </w:r>
      <w:r>
        <w:rPr>
          <w:rFonts w:hint="eastAsia" w:ascii="仿宋" w:hAnsi="仿宋" w:eastAsia="仿宋" w:cs="仿宋"/>
          <w:b/>
          <w:position w:val="-40"/>
          <w:sz w:val="32"/>
          <w:highlight w:val="none"/>
        </w:rPr>
        <w:t>制定</w:t>
      </w:r>
    </w:p>
    <w:p w14:paraId="52B576EC">
      <w:pPr>
        <w:ind w:firstLine="2715" w:firstLineChars="845"/>
        <w:rPr>
          <w:rFonts w:hint="eastAsia" w:ascii="仿宋" w:hAnsi="仿宋" w:eastAsia="仿宋" w:cs="仿宋"/>
          <w:b/>
          <w:sz w:val="32"/>
          <w:highlight w:val="none"/>
        </w:rPr>
      </w:pPr>
      <w:r>
        <w:rPr>
          <w:rFonts w:hint="eastAsia" w:ascii="仿宋" w:hAnsi="仿宋" w:eastAsia="仿宋" w:cs="仿宋"/>
          <w:b/>
          <w:sz w:val="32"/>
          <w:highlight w:val="none"/>
        </w:rPr>
        <w:t>国家工商行政管理局</w:t>
      </w:r>
    </w:p>
    <w:p w14:paraId="7431D74C">
      <w:pPr>
        <w:jc w:val="center"/>
        <w:rPr>
          <w:rFonts w:hint="eastAsia" w:ascii="仿宋" w:hAnsi="仿宋" w:eastAsia="仿宋" w:cs="仿宋"/>
          <w:b/>
          <w:sz w:val="24"/>
          <w:highlight w:val="none"/>
        </w:rPr>
      </w:pPr>
    </w:p>
    <w:p w14:paraId="7D19012B">
      <w:pPr>
        <w:pStyle w:val="2"/>
        <w:spacing w:line="240" w:lineRule="auto"/>
        <w:ind w:left="180"/>
        <w:jc w:val="center"/>
        <w:rPr>
          <w:rFonts w:hint="eastAsia" w:ascii="仿宋" w:hAnsi="仿宋" w:eastAsia="仿宋" w:cs="仿宋"/>
          <w:snapToGrid w:val="0"/>
          <w:kern w:val="0"/>
          <w:highlight w:val="none"/>
        </w:rPr>
        <w:sectPr>
          <w:pgSz w:w="11906" w:h="16838"/>
          <w:pgMar w:top="1440" w:right="1800" w:bottom="1440" w:left="1800" w:header="851" w:footer="992" w:gutter="0"/>
          <w:pgNumType w:fmt="decimal"/>
          <w:cols w:space="720" w:num="1"/>
          <w:docGrid w:type="lines" w:linePitch="312" w:charSpace="0"/>
        </w:sectPr>
      </w:pPr>
    </w:p>
    <w:p w14:paraId="6D8E539E">
      <w:pPr>
        <w:pStyle w:val="2"/>
        <w:ind w:left="18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第一部分  协议书</w:t>
      </w:r>
    </w:p>
    <w:p w14:paraId="666C6554">
      <w:pPr>
        <w:widowControl/>
        <w:spacing w:line="360" w:lineRule="auto"/>
        <w:ind w:firstLine="560" w:firstLineChars="200"/>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委托人：</w:t>
      </w:r>
      <w:r>
        <w:rPr>
          <w:rFonts w:hint="eastAsia" w:ascii="仿宋" w:hAnsi="仿宋" w:eastAsia="仿宋" w:cs="仿宋"/>
          <w:b w:val="0"/>
          <w:bCs/>
          <w:sz w:val="28"/>
          <w:szCs w:val="28"/>
          <w:highlight w:val="none"/>
          <w:u w:val="single"/>
          <w:lang w:eastAsia="zh-CN"/>
        </w:rPr>
        <w:t>西安曲江新区公共项目建设管理中心</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rPr>
        <w:t>（</w:t>
      </w:r>
      <w:r>
        <w:rPr>
          <w:rFonts w:hint="eastAsia" w:ascii="仿宋" w:hAnsi="仿宋" w:eastAsia="仿宋" w:cs="仿宋"/>
          <w:b w:val="0"/>
          <w:bCs/>
          <w:sz w:val="28"/>
          <w:szCs w:val="28"/>
          <w:highlight w:val="none"/>
          <w:lang w:eastAsia="zh-CN"/>
        </w:rPr>
        <w:t>以下简称</w:t>
      </w:r>
      <w:r>
        <w:rPr>
          <w:rFonts w:hint="eastAsia" w:ascii="仿宋" w:hAnsi="仿宋" w:eastAsia="仿宋" w:cs="仿宋"/>
          <w:b w:val="0"/>
          <w:bCs/>
          <w:sz w:val="28"/>
          <w:szCs w:val="28"/>
          <w:highlight w:val="none"/>
        </w:rPr>
        <w:t xml:space="preserve">甲方） </w:t>
      </w:r>
    </w:p>
    <w:p w14:paraId="63FEA524">
      <w:pPr>
        <w:widowControl/>
        <w:spacing w:line="360" w:lineRule="auto"/>
        <w:ind w:firstLine="560" w:firstLineChars="200"/>
        <w:rPr>
          <w:rFonts w:hint="eastAsia" w:ascii="仿宋" w:hAnsi="仿宋" w:eastAsia="仿宋" w:cs="仿宋"/>
          <w:b w:val="0"/>
          <w:bCs/>
          <w:sz w:val="28"/>
          <w:szCs w:val="28"/>
          <w:highlight w:val="none"/>
          <w:u w:val="single"/>
        </w:rPr>
      </w:pPr>
      <w:r>
        <w:rPr>
          <w:rFonts w:hint="eastAsia" w:ascii="仿宋" w:hAnsi="仿宋" w:eastAsia="仿宋" w:cs="仿宋"/>
          <w:b w:val="0"/>
          <w:bCs/>
          <w:sz w:val="28"/>
          <w:szCs w:val="28"/>
          <w:highlight w:val="none"/>
        </w:rPr>
        <w:t>监理人：</w:t>
      </w:r>
      <w:r>
        <w:rPr>
          <w:rFonts w:hint="eastAsia" w:ascii="仿宋" w:hAnsi="仿宋" w:eastAsia="仿宋" w:cs="仿宋"/>
          <w:b w:val="0"/>
          <w:bCs/>
          <w:spacing w:val="8"/>
          <w:sz w:val="28"/>
          <w:szCs w:val="28"/>
          <w:highlight w:val="none"/>
          <w:u w:val="single"/>
          <w:lang w:val="en-US" w:eastAsia="zh-CN"/>
        </w:rPr>
        <w:t xml:space="preserve">                             </w:t>
      </w:r>
      <w:r>
        <w:rPr>
          <w:rFonts w:hint="eastAsia" w:ascii="仿宋" w:hAnsi="仿宋" w:eastAsia="仿宋" w:cs="仿宋"/>
          <w:b w:val="0"/>
          <w:bCs/>
          <w:sz w:val="28"/>
          <w:szCs w:val="28"/>
          <w:highlight w:val="none"/>
        </w:rPr>
        <w:t>（</w:t>
      </w:r>
      <w:r>
        <w:rPr>
          <w:rFonts w:hint="eastAsia" w:ascii="仿宋" w:hAnsi="仿宋" w:eastAsia="仿宋" w:cs="仿宋"/>
          <w:b w:val="0"/>
          <w:bCs/>
          <w:sz w:val="28"/>
          <w:szCs w:val="28"/>
          <w:highlight w:val="none"/>
          <w:lang w:eastAsia="zh-CN"/>
        </w:rPr>
        <w:t>以下简称</w:t>
      </w:r>
      <w:r>
        <w:rPr>
          <w:rFonts w:hint="eastAsia" w:ascii="仿宋" w:hAnsi="仿宋" w:eastAsia="仿宋" w:cs="仿宋"/>
          <w:b w:val="0"/>
          <w:bCs/>
          <w:sz w:val="28"/>
          <w:szCs w:val="28"/>
          <w:highlight w:val="none"/>
        </w:rPr>
        <w:t>乙方）</w:t>
      </w:r>
    </w:p>
    <w:p w14:paraId="01D8E350">
      <w:pPr>
        <w:widowControl/>
        <w:spacing w:line="360" w:lineRule="auto"/>
        <w:ind w:left="1679" w:leftChars="266" w:hanging="1120" w:hangingChars="400"/>
        <w:rPr>
          <w:rFonts w:hint="eastAsia" w:ascii="仿宋" w:hAnsi="仿宋" w:eastAsia="仿宋" w:cs="仿宋"/>
          <w:b w:val="0"/>
          <w:bCs/>
          <w:sz w:val="28"/>
          <w:szCs w:val="28"/>
          <w:highlight w:val="none"/>
          <w:u w:val="single"/>
        </w:rPr>
      </w:pPr>
      <w:r>
        <w:rPr>
          <w:rFonts w:hint="eastAsia" w:ascii="仿宋" w:hAnsi="仿宋" w:eastAsia="仿宋" w:cs="仿宋"/>
          <w:b w:val="0"/>
          <w:bCs/>
          <w:sz w:val="28"/>
          <w:szCs w:val="28"/>
          <w:highlight w:val="none"/>
          <w:lang w:eastAsia="zh-CN"/>
        </w:rPr>
        <w:t>代建</w:t>
      </w:r>
      <w:r>
        <w:rPr>
          <w:rFonts w:hint="eastAsia" w:ascii="仿宋" w:hAnsi="仿宋" w:eastAsia="仿宋" w:cs="仿宋"/>
          <w:b w:val="0"/>
          <w:bCs/>
          <w:sz w:val="28"/>
          <w:szCs w:val="28"/>
          <w:highlight w:val="none"/>
        </w:rPr>
        <w:t>人：</w:t>
      </w:r>
      <w:r>
        <w:rPr>
          <w:rFonts w:hint="eastAsia" w:ascii="仿宋" w:hAnsi="仿宋" w:eastAsia="仿宋" w:cs="仿宋"/>
          <w:b w:val="0"/>
          <w:bCs/>
          <w:spacing w:val="8"/>
          <w:sz w:val="28"/>
          <w:szCs w:val="28"/>
          <w:highlight w:val="none"/>
          <w:u w:val="single"/>
          <w:lang w:val="en-US" w:eastAsia="zh-CN"/>
        </w:rPr>
        <w:t>西安曲江杜邑文旅科技投资(集团)有限公司</w:t>
      </w:r>
      <w:r>
        <w:rPr>
          <w:rFonts w:hint="eastAsia" w:ascii="仿宋" w:hAnsi="仿宋" w:eastAsia="仿宋" w:cs="仿宋"/>
          <w:b w:val="0"/>
          <w:bCs/>
          <w:sz w:val="28"/>
          <w:szCs w:val="28"/>
          <w:highlight w:val="none"/>
        </w:rPr>
        <w:t>（</w:t>
      </w:r>
      <w:r>
        <w:rPr>
          <w:rFonts w:hint="eastAsia" w:ascii="仿宋" w:hAnsi="仿宋" w:eastAsia="仿宋" w:cs="仿宋"/>
          <w:b w:val="0"/>
          <w:bCs/>
          <w:sz w:val="28"/>
          <w:szCs w:val="28"/>
          <w:highlight w:val="none"/>
          <w:lang w:eastAsia="zh-CN"/>
        </w:rPr>
        <w:t>以下简称丙</w:t>
      </w:r>
      <w:r>
        <w:rPr>
          <w:rFonts w:hint="eastAsia" w:ascii="仿宋" w:hAnsi="仿宋" w:eastAsia="仿宋" w:cs="仿宋"/>
          <w:b w:val="0"/>
          <w:bCs/>
          <w:sz w:val="28"/>
          <w:szCs w:val="28"/>
          <w:highlight w:val="none"/>
        </w:rPr>
        <w:t>方）</w:t>
      </w:r>
    </w:p>
    <w:p w14:paraId="37485684">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鉴于：</w:t>
      </w:r>
    </w:p>
    <w:p w14:paraId="289A2F65">
      <w:pPr>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甲方与丙方签订</w:t>
      </w:r>
      <w:r>
        <w:rPr>
          <w:rFonts w:hint="eastAsia" w:ascii="仿宋" w:hAnsi="仿宋" w:eastAsia="仿宋" w:cs="仿宋"/>
          <w:color w:val="auto"/>
          <w:sz w:val="28"/>
          <w:szCs w:val="28"/>
          <w:lang w:eastAsia="zh-CN"/>
        </w:rPr>
        <w:t>了</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委托代建合同</w:t>
      </w:r>
      <w:r>
        <w:rPr>
          <w:rFonts w:hint="eastAsia" w:ascii="仿宋" w:hAnsi="仿宋" w:eastAsia="仿宋" w:cs="仿宋"/>
          <w:color w:val="auto"/>
          <w:sz w:val="28"/>
          <w:szCs w:val="28"/>
        </w:rPr>
        <w:t>》，约定丙方承担本项目建设组织及管理工程。以下合同中约定的甲方的权利与义务（除付款外）均可由丙方代为行使，丙方行使权利的要求视为甲方的要求，乙方对此状况充分知悉并不持异议。</w:t>
      </w:r>
    </w:p>
    <w:p w14:paraId="698867AD">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根据《中华人民共和国</w:t>
      </w:r>
      <w:r>
        <w:rPr>
          <w:rFonts w:hint="eastAsia" w:ascii="仿宋" w:hAnsi="仿宋" w:eastAsia="仿宋" w:cs="仿宋"/>
          <w:sz w:val="28"/>
          <w:szCs w:val="28"/>
          <w:highlight w:val="none"/>
          <w:lang w:val="en-US" w:eastAsia="zh-CN"/>
        </w:rPr>
        <w:t>民法典</w:t>
      </w:r>
      <w:r>
        <w:rPr>
          <w:rFonts w:hint="eastAsia" w:ascii="仿宋" w:hAnsi="仿宋" w:eastAsia="仿宋" w:cs="仿宋"/>
          <w:sz w:val="28"/>
          <w:szCs w:val="28"/>
          <w:highlight w:val="none"/>
        </w:rPr>
        <w:t>》、《中华人民共和国建筑法》及其他有关法律、法规的规定，遵循平等、自愿、公平和诚实信用的原则，</w:t>
      </w:r>
      <w:r>
        <w:rPr>
          <w:rFonts w:hint="eastAsia" w:ascii="仿宋" w:hAnsi="仿宋" w:eastAsia="仿宋" w:cs="仿宋"/>
          <w:sz w:val="28"/>
          <w:szCs w:val="28"/>
          <w:highlight w:val="none"/>
          <w:lang w:eastAsia="zh-CN"/>
        </w:rPr>
        <w:t>现</w:t>
      </w:r>
      <w:r>
        <w:rPr>
          <w:rFonts w:hint="eastAsia" w:ascii="仿宋" w:hAnsi="仿宋" w:eastAsia="仿宋" w:cs="仿宋"/>
          <w:sz w:val="28"/>
          <w:szCs w:val="28"/>
          <w:highlight w:val="none"/>
        </w:rPr>
        <w:t>就</w:t>
      </w:r>
      <w:r>
        <w:rPr>
          <w:rFonts w:hint="eastAsia" w:ascii="仿宋" w:hAnsi="仿宋" w:eastAsia="仿宋" w:cs="仿宋"/>
          <w:sz w:val="28"/>
          <w:szCs w:val="28"/>
          <w:highlight w:val="none"/>
          <w:u w:val="single"/>
          <w:lang w:val="en-US" w:eastAsia="zh-CN"/>
        </w:rPr>
        <w:t>曲江新区五典坡安置小区（城中村改造）外配套基础设施工程</w:t>
      </w:r>
      <w:r>
        <w:rPr>
          <w:rFonts w:hint="eastAsia" w:ascii="仿宋" w:hAnsi="仿宋" w:eastAsia="仿宋" w:cs="仿宋"/>
          <w:sz w:val="28"/>
          <w:szCs w:val="28"/>
          <w:highlight w:val="none"/>
        </w:rPr>
        <w:t>进行工程监理与相关服务事项协商一致，订立本合同。</w:t>
      </w:r>
    </w:p>
    <w:p w14:paraId="4601EE36">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一、工程概况</w:t>
      </w:r>
    </w:p>
    <w:p w14:paraId="604ACF37">
      <w:pPr>
        <w:spacing w:line="360" w:lineRule="auto"/>
        <w:ind w:firstLine="554" w:firstLineChars="198"/>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1. 工程名称：</w:t>
      </w:r>
      <w:r>
        <w:rPr>
          <w:rFonts w:hint="eastAsia" w:ascii="仿宋" w:hAnsi="仿宋" w:eastAsia="仿宋" w:cs="仿宋"/>
          <w:sz w:val="28"/>
          <w:szCs w:val="28"/>
          <w:highlight w:val="none"/>
          <w:u w:val="single"/>
          <w:lang w:val="en-US" w:eastAsia="zh-CN"/>
        </w:rPr>
        <w:t>曲江新区五典坡安置小区（城中村改造）外配套基础设施工程</w:t>
      </w:r>
      <w:r>
        <w:rPr>
          <w:rFonts w:hint="eastAsia" w:ascii="仿宋" w:hAnsi="仿宋" w:eastAsia="仿宋" w:cs="仿宋"/>
          <w:sz w:val="28"/>
          <w:szCs w:val="28"/>
          <w:highlight w:val="none"/>
        </w:rPr>
        <w:t>；</w:t>
      </w:r>
    </w:p>
    <w:p w14:paraId="1EA497A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 工程地点：</w:t>
      </w:r>
      <w:r>
        <w:rPr>
          <w:rFonts w:hint="eastAsia" w:ascii="仿宋" w:hAnsi="仿宋" w:eastAsia="仿宋" w:cs="仿宋"/>
          <w:b w:val="0"/>
          <w:bCs w:val="0"/>
          <w:color w:val="auto"/>
          <w:sz w:val="28"/>
          <w:szCs w:val="28"/>
          <w:u w:val="single"/>
          <w:lang w:eastAsia="zh-CN"/>
        </w:rPr>
        <w:t>位于</w:t>
      </w:r>
      <w:r>
        <w:rPr>
          <w:rFonts w:hint="eastAsia" w:ascii="仿宋" w:hAnsi="仿宋" w:eastAsia="仿宋" w:cs="仿宋"/>
          <w:b w:val="0"/>
          <w:bCs w:val="0"/>
          <w:color w:val="auto"/>
          <w:sz w:val="28"/>
          <w:szCs w:val="28"/>
          <w:u w:val="single"/>
          <w:lang w:val="en-US" w:eastAsia="zh-CN"/>
        </w:rPr>
        <w:t>曲江新区五典坡安置小区以南</w:t>
      </w:r>
      <w:r>
        <w:rPr>
          <w:rFonts w:hint="eastAsia" w:ascii="仿宋" w:hAnsi="仿宋" w:eastAsia="仿宋" w:cs="仿宋"/>
          <w:sz w:val="28"/>
          <w:szCs w:val="28"/>
          <w:highlight w:val="none"/>
        </w:rPr>
        <w:t>；</w:t>
      </w:r>
    </w:p>
    <w:p w14:paraId="17F0E966">
      <w:pPr>
        <w:spacing w:line="560" w:lineRule="exact"/>
        <w:ind w:firstLine="560" w:firstLineChars="200"/>
        <w:rPr>
          <w:ins w:id="1" w:author="admin" w:date="2022-03-25T16:16:00Z"/>
          <w:rFonts w:hint="default" w:ascii="仿宋_GB2312" w:hAnsi="仿宋_GB2312" w:eastAsia="仿宋_GB2312" w:cs="仿宋_GB2312"/>
          <w:color w:val="000000"/>
          <w:sz w:val="28"/>
          <w:szCs w:val="28"/>
          <w:u w:val="single"/>
          <w:lang w:val="en-US" w:eastAsia="zh-CN"/>
        </w:rPr>
        <w:pPrChange w:id="0" w:author="哈哈" w:date="2023-01-06T16:18:00Z">
          <w:pPr>
            <w:pStyle w:val="12"/>
          </w:pPr>
        </w:pPrChange>
      </w:pPr>
      <w:r>
        <w:rPr>
          <w:rFonts w:hint="eastAsia" w:ascii="仿宋" w:hAnsi="仿宋" w:eastAsia="仿宋" w:cs="仿宋"/>
          <w:sz w:val="28"/>
          <w:szCs w:val="28"/>
          <w:highlight w:val="none"/>
        </w:rPr>
        <w:t>3. 工程</w:t>
      </w:r>
      <w:r>
        <w:rPr>
          <w:rFonts w:hint="eastAsia" w:ascii="仿宋" w:hAnsi="仿宋" w:eastAsia="仿宋" w:cs="仿宋"/>
          <w:sz w:val="28"/>
          <w:szCs w:val="28"/>
          <w:highlight w:val="none"/>
          <w:lang w:eastAsia="zh-CN"/>
        </w:rPr>
        <w:t>内容及</w:t>
      </w:r>
      <w:r>
        <w:rPr>
          <w:rFonts w:hint="eastAsia" w:ascii="仿宋" w:hAnsi="仿宋" w:eastAsia="仿宋" w:cs="仿宋"/>
          <w:sz w:val="28"/>
          <w:szCs w:val="28"/>
          <w:highlight w:val="none"/>
        </w:rPr>
        <w:t>规模：</w:t>
      </w:r>
      <w:r>
        <w:rPr>
          <w:rFonts w:hint="eastAsia" w:ascii="仿宋" w:hAnsi="仿宋" w:eastAsia="仿宋" w:cs="仿宋"/>
          <w:i w:val="0"/>
          <w:iCs w:val="0"/>
          <w:caps w:val="0"/>
          <w:spacing w:val="0"/>
          <w:sz w:val="28"/>
          <w:szCs w:val="28"/>
          <w:highlight w:val="none"/>
          <w:u w:val="single"/>
          <w:shd w:val="clear" w:color="auto" w:fill="auto"/>
          <w:lang w:val="en-US" w:eastAsia="zh-CN"/>
        </w:rPr>
        <w:t>道路全长约372米，规划红线宽度为20米。建设内容包括新建道路、雨污水、给水、电力、通信、照明、绿化、交通设施及附属工程等内容</w:t>
      </w:r>
      <w:r>
        <w:rPr>
          <w:rFonts w:hint="eastAsia" w:ascii="仿宋" w:hAnsi="仿宋" w:eastAsia="仿宋" w:cs="仿宋"/>
          <w:sz w:val="28"/>
          <w:szCs w:val="28"/>
          <w:highlight w:val="none"/>
        </w:rPr>
        <w:t>；</w:t>
      </w:r>
    </w:p>
    <w:p w14:paraId="247378BF">
      <w:pPr>
        <w:pStyle w:val="12"/>
        <w:ind w:firstLine="560" w:firstLineChars="200"/>
        <w:rPr>
          <w:rFonts w:hint="eastAsia"/>
          <w:lang w:val="en-US" w:eastAsia="zh-CN"/>
        </w:rPr>
      </w:pPr>
      <w:r>
        <w:rPr>
          <w:rFonts w:hint="eastAsia" w:ascii="仿宋" w:hAnsi="仿宋" w:eastAsia="仿宋" w:cs="仿宋"/>
          <w:b w:val="0"/>
          <w:bCs w:val="0"/>
          <w:sz w:val="28"/>
          <w:szCs w:val="28"/>
          <w:highlight w:val="none"/>
          <w:lang w:val="en-US" w:eastAsia="zh-CN"/>
        </w:rPr>
        <w:t>4.立项文号：</w:t>
      </w:r>
      <w:r>
        <w:rPr>
          <w:rFonts w:hint="eastAsia" w:ascii="仿宋" w:hAnsi="仿宋" w:eastAsia="仿宋" w:cs="仿宋"/>
          <w:color w:val="000000"/>
          <w:sz w:val="28"/>
          <w:szCs w:val="28"/>
          <w:highlight w:val="none"/>
          <w:u w:val="single"/>
          <w:lang w:eastAsia="zh-CN"/>
        </w:rPr>
        <w:t>西曲江审发〔</w:t>
      </w:r>
      <w:r>
        <w:rPr>
          <w:rFonts w:hint="eastAsia" w:ascii="仿宋" w:hAnsi="仿宋" w:eastAsia="仿宋" w:cs="仿宋"/>
          <w:color w:val="000000"/>
          <w:sz w:val="28"/>
          <w:szCs w:val="28"/>
          <w:highlight w:val="none"/>
          <w:u w:val="single"/>
          <w:lang w:val="en-US" w:eastAsia="zh-CN"/>
        </w:rPr>
        <w:t>2026</w:t>
      </w:r>
      <w:r>
        <w:rPr>
          <w:rFonts w:hint="eastAsia" w:ascii="仿宋" w:hAnsi="仿宋" w:eastAsia="仿宋" w:cs="仿宋"/>
          <w:color w:val="000000"/>
          <w:sz w:val="28"/>
          <w:szCs w:val="28"/>
          <w:highlight w:val="none"/>
          <w:u w:val="single"/>
          <w:lang w:eastAsia="zh-CN"/>
        </w:rPr>
        <w:t>〕</w:t>
      </w:r>
      <w:r>
        <w:rPr>
          <w:rFonts w:hint="eastAsia" w:ascii="仿宋" w:hAnsi="仿宋" w:eastAsia="仿宋" w:cs="仿宋"/>
          <w:color w:val="000000"/>
          <w:sz w:val="28"/>
          <w:szCs w:val="28"/>
          <w:highlight w:val="none"/>
          <w:u w:val="single"/>
          <w:lang w:val="en-US" w:eastAsia="zh-CN"/>
        </w:rPr>
        <w:t>6</w:t>
      </w:r>
      <w:r>
        <w:rPr>
          <w:rFonts w:hint="eastAsia" w:ascii="仿宋" w:hAnsi="仿宋" w:eastAsia="仿宋" w:cs="仿宋"/>
          <w:color w:val="000000"/>
          <w:sz w:val="28"/>
          <w:szCs w:val="28"/>
          <w:highlight w:val="none"/>
          <w:u w:val="single"/>
          <w:lang w:eastAsia="zh-CN"/>
        </w:rPr>
        <w:t>号</w:t>
      </w:r>
    </w:p>
    <w:p w14:paraId="1CB4BB97">
      <w:pPr>
        <w:spacing w:line="360" w:lineRule="auto"/>
        <w:ind w:firstLine="554" w:firstLineChars="198"/>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 工程概算投资额或建筑安装工程费：建筑安装工程费</w:t>
      </w:r>
      <w:r>
        <w:rPr>
          <w:rFonts w:hint="eastAsia" w:ascii="仿宋" w:hAnsi="仿宋" w:eastAsia="仿宋" w:cs="仿宋"/>
          <w:sz w:val="28"/>
          <w:szCs w:val="28"/>
          <w:highlight w:val="none"/>
          <w:u w:val="single"/>
          <w:lang w:val="en-US" w:eastAsia="zh-CN"/>
        </w:rPr>
        <w:t>4051万元</w:t>
      </w:r>
      <w:r>
        <w:rPr>
          <w:rFonts w:hint="eastAsia" w:ascii="仿宋" w:hAnsi="仿宋" w:eastAsia="仿宋" w:cs="仿宋"/>
          <w:sz w:val="28"/>
          <w:szCs w:val="28"/>
          <w:highlight w:val="none"/>
        </w:rPr>
        <w:t>。</w:t>
      </w:r>
    </w:p>
    <w:p w14:paraId="415EC1E9">
      <w:pPr>
        <w:spacing w:line="360" w:lineRule="auto"/>
        <w:ind w:firstLine="554" w:firstLineChars="198"/>
        <w:jc w:val="left"/>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6.本合同实施内容：</w:t>
      </w:r>
      <w:r>
        <w:rPr>
          <w:rFonts w:hint="eastAsia" w:ascii="仿宋" w:hAnsi="仿宋" w:eastAsia="仿宋" w:cs="仿宋"/>
          <w:sz w:val="28"/>
          <w:szCs w:val="28"/>
          <w:highlight w:val="none"/>
          <w:u w:val="single"/>
          <w:lang w:val="en-US" w:eastAsia="zh-CN"/>
        </w:rPr>
        <w:t>曲江新区五典坡安置小区（城中村改造）外配套基础设施工程</w:t>
      </w:r>
      <w:r>
        <w:rPr>
          <w:rFonts w:hint="eastAsia" w:ascii="仿宋" w:hAnsi="仿宋" w:eastAsia="仿宋" w:cs="仿宋"/>
          <w:sz w:val="28"/>
          <w:szCs w:val="28"/>
          <w:highlight w:val="none"/>
          <w:u w:val="single"/>
        </w:rPr>
        <w:t>范围内的全过程监理内容，包括施工阶段监理及保修阶段监理</w:t>
      </w:r>
      <w:r>
        <w:rPr>
          <w:rFonts w:hint="eastAsia" w:ascii="仿宋" w:hAnsi="仿宋" w:eastAsia="仿宋" w:cs="仿宋"/>
          <w:sz w:val="28"/>
          <w:szCs w:val="28"/>
          <w:highlight w:val="none"/>
        </w:rPr>
        <w:t>；</w:t>
      </w:r>
    </w:p>
    <w:p w14:paraId="67BEF3B4">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二、词语限定</w:t>
      </w:r>
    </w:p>
    <w:p w14:paraId="0956B391">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协议书中相关词语的含义与通用条件中的定义与解释相同。</w:t>
      </w:r>
    </w:p>
    <w:p w14:paraId="35C2F1FC">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三、组成本合同的文件</w:t>
      </w:r>
    </w:p>
    <w:p w14:paraId="3981E126">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1. 协议书；</w:t>
      </w:r>
    </w:p>
    <w:p w14:paraId="78E454AF">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2. 专用条件；</w:t>
      </w:r>
    </w:p>
    <w:p w14:paraId="39DCD135">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 通用条件；</w:t>
      </w:r>
    </w:p>
    <w:p w14:paraId="45D30B8E">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 附件，即：</w:t>
      </w:r>
    </w:p>
    <w:p w14:paraId="0488B4A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附件1 总监理工程师及人员配备表</w:t>
      </w:r>
    </w:p>
    <w:p w14:paraId="118B616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附件2 工程项目廉政承诺书</w:t>
      </w:r>
    </w:p>
    <w:p w14:paraId="4DE5FD0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附件3 监理违约处罚单</w:t>
      </w:r>
    </w:p>
    <w:p w14:paraId="2872FC49">
      <w:pPr>
        <w:pStyle w:val="12"/>
        <w:ind w:firstLine="560" w:firstLineChars="200"/>
        <w:rPr>
          <w:rFonts w:hint="eastAsia"/>
          <w:highlight w:val="none"/>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 xml:space="preserve">4 </w:t>
      </w:r>
      <w:r>
        <w:rPr>
          <w:rFonts w:hint="eastAsia" w:ascii="仿宋" w:hAnsi="仿宋" w:eastAsia="仿宋" w:cs="仿宋"/>
          <w:bCs/>
          <w:color w:val="000000"/>
          <w:sz w:val="28"/>
          <w:szCs w:val="28"/>
          <w:highlight w:val="none"/>
        </w:rPr>
        <w:t>委托监理合同安全生产协议书</w:t>
      </w:r>
    </w:p>
    <w:p w14:paraId="65014B00">
      <w:pPr>
        <w:pStyle w:val="12"/>
        <w:rPr>
          <w:rFonts w:hint="default" w:eastAsia="仿宋"/>
          <w:highlight w:val="none"/>
          <w:lang w:val="en-US" w:eastAsia="zh-CN"/>
        </w:rPr>
      </w:pPr>
      <w:r>
        <w:rPr>
          <w:rFonts w:hint="eastAsia" w:ascii="仿宋" w:hAnsi="仿宋" w:eastAsia="仿宋" w:cs="仿宋"/>
          <w:sz w:val="28"/>
          <w:szCs w:val="28"/>
          <w:highlight w:val="none"/>
          <w:lang w:val="en-US" w:eastAsia="zh-CN"/>
        </w:rPr>
        <w:t xml:space="preserve">    附件5 </w:t>
      </w:r>
      <w:r>
        <w:rPr>
          <w:rFonts w:hint="eastAsia" w:ascii="仿宋" w:hAnsi="仿宋" w:eastAsia="仿宋" w:cs="仿宋"/>
          <w:kern w:val="2"/>
          <w:sz w:val="28"/>
          <w:szCs w:val="28"/>
          <w:highlight w:val="none"/>
          <w:lang w:val="en-US" w:eastAsia="zh-CN" w:bidi="ar-SA"/>
        </w:rPr>
        <w:t>服务工作要求和质量保证</w:t>
      </w:r>
    </w:p>
    <w:p w14:paraId="5935B7E3">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本合同签订后，</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依法签订的补充协议也是本合同文件的组成部分。</w:t>
      </w:r>
    </w:p>
    <w:p w14:paraId="3EB77B59">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四、总监理工程师</w:t>
      </w:r>
    </w:p>
    <w:p w14:paraId="6052E085">
      <w:pPr>
        <w:spacing w:line="360" w:lineRule="auto"/>
        <w:ind w:firstLine="554" w:firstLineChars="198"/>
        <w:rPr>
          <w:rFonts w:hint="default" w:ascii="仿宋" w:hAnsi="仿宋" w:eastAsia="仿宋" w:cs="仿宋"/>
          <w:sz w:val="28"/>
          <w:szCs w:val="28"/>
          <w:highlight w:val="none"/>
          <w:u w:val="single"/>
          <w:lang w:val="en-US" w:eastAsia="zh-CN"/>
        </w:rPr>
      </w:pPr>
      <w:r>
        <w:rPr>
          <w:rFonts w:hint="eastAsia" w:ascii="仿宋" w:hAnsi="仿宋" w:eastAsia="仿宋" w:cs="仿宋"/>
          <w:sz w:val="28"/>
          <w:szCs w:val="28"/>
          <w:highlight w:val="none"/>
        </w:rPr>
        <w:t>总监理工程师姓名：</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r>
        <w:rPr>
          <w:rFonts w:hint="eastAsia" w:ascii="仿宋" w:hAnsi="仿宋" w:eastAsia="仿宋" w:cs="仿宋"/>
          <w:sz w:val="28"/>
          <w:szCs w:val="28"/>
          <w:highlight w:val="none"/>
          <w:lang w:eastAsia="zh-CN"/>
        </w:rPr>
        <w:t>注册证号：</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none"/>
          <w:lang w:val="en-US" w:eastAsia="zh-CN"/>
        </w:rPr>
        <w:t>。</w:t>
      </w:r>
    </w:p>
    <w:p w14:paraId="5155DEE3">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五、签约酬金</w:t>
      </w:r>
    </w:p>
    <w:p w14:paraId="44996539">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合同总价含税暂定为</w:t>
      </w:r>
      <w:r>
        <w:rPr>
          <w:rFonts w:hint="eastAsia" w:ascii="仿宋" w:hAnsi="仿宋" w:eastAsia="仿宋" w:cs="仿宋"/>
          <w:sz w:val="28"/>
          <w:szCs w:val="28"/>
          <w:highlight w:val="none"/>
        </w:rPr>
        <w:t>（大写）：</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pacing w:val="8"/>
          <w:sz w:val="28"/>
          <w:szCs w:val="28"/>
          <w:highlight w:val="none"/>
          <w:u w:val="single"/>
          <w:lang w:val="en-US" w:eastAsia="zh-CN"/>
        </w:rPr>
        <w:t>，</w:t>
      </w:r>
      <w:r>
        <w:rPr>
          <w:rFonts w:hint="eastAsia" w:ascii="仿宋" w:hAnsi="仿宋" w:eastAsia="仿宋" w:cs="仿宋"/>
          <w:spacing w:val="8"/>
          <w:sz w:val="28"/>
          <w:szCs w:val="28"/>
          <w:highlight w:val="none"/>
          <w:u w:val="none"/>
          <w:lang w:val="en-US" w:eastAsia="zh-CN"/>
        </w:rPr>
        <w:t>（小写）：</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pacing w:val="8"/>
          <w:sz w:val="28"/>
          <w:szCs w:val="28"/>
          <w:highlight w:val="none"/>
          <w:u w:val="single"/>
          <w:lang w:val="en-US" w:eastAsia="zh-CN"/>
        </w:rPr>
        <w:t>元</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监理费率为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u w:val="single"/>
          <w:lang w:eastAsia="zh-CN"/>
        </w:rPr>
        <w:t>（</w:t>
      </w:r>
      <w:r>
        <w:rPr>
          <w:rFonts w:hint="eastAsia" w:ascii="仿宋" w:hAnsi="仿宋" w:eastAsia="仿宋" w:cs="仿宋"/>
          <w:sz w:val="28"/>
          <w:szCs w:val="28"/>
          <w:highlight w:val="none"/>
          <w:u w:val="single"/>
          <w:lang w:val="en-US" w:eastAsia="zh-CN"/>
        </w:rPr>
        <w:t>含税包干</w:t>
      </w:r>
      <w:r>
        <w:rPr>
          <w:rFonts w:hint="eastAsia" w:ascii="仿宋" w:hAnsi="仿宋" w:eastAsia="仿宋" w:cs="仿宋"/>
          <w:sz w:val="28"/>
          <w:szCs w:val="28"/>
          <w:highlight w:val="none"/>
          <w:u w:val="single"/>
          <w:lang w:eastAsia="zh-CN"/>
        </w:rPr>
        <w:t>）</w:t>
      </w:r>
      <w:r>
        <w:rPr>
          <w:rFonts w:hint="eastAsia" w:ascii="仿宋" w:hAnsi="仿宋" w:eastAsia="仿宋" w:cs="仿宋"/>
          <w:sz w:val="28"/>
          <w:szCs w:val="28"/>
          <w:highlight w:val="none"/>
        </w:rPr>
        <w:t>。</w:t>
      </w:r>
    </w:p>
    <w:p w14:paraId="41BF4DD1">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六、承诺</w:t>
      </w:r>
    </w:p>
    <w:p w14:paraId="0BD64CC7">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1. 监理人向委托人承诺，按照本合同约定提供监理与相关服务。</w:t>
      </w:r>
    </w:p>
    <w:p w14:paraId="2F8856E4">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2. 委托人向监理人承诺，按照本合同约定派遣相应的人员，提供房屋、资料、设备，并按本合同约定支付酬金。</w:t>
      </w:r>
    </w:p>
    <w:p w14:paraId="4C791ED1">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七、合同订立</w:t>
      </w:r>
    </w:p>
    <w:p w14:paraId="49C599D2">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1. 订立时间：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日。</w:t>
      </w:r>
    </w:p>
    <w:p w14:paraId="6C72B616">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2. 订立地点：</w:t>
      </w:r>
      <w:r>
        <w:rPr>
          <w:rFonts w:hint="eastAsia" w:ascii="仿宋" w:hAnsi="仿宋" w:eastAsia="仿宋" w:cs="仿宋"/>
          <w:sz w:val="28"/>
          <w:szCs w:val="28"/>
          <w:highlight w:val="none"/>
          <w:u w:val="single"/>
        </w:rPr>
        <w:t>西安曲江新区</w:t>
      </w:r>
      <w:r>
        <w:rPr>
          <w:rFonts w:hint="eastAsia" w:ascii="仿宋" w:hAnsi="仿宋" w:eastAsia="仿宋" w:cs="仿宋"/>
          <w:sz w:val="28"/>
          <w:szCs w:val="28"/>
          <w:highlight w:val="none"/>
        </w:rPr>
        <w:t>。</w:t>
      </w:r>
    </w:p>
    <w:p w14:paraId="277DE7D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 本合同一式</w:t>
      </w:r>
      <w:r>
        <w:rPr>
          <w:rFonts w:hint="eastAsia" w:ascii="仿宋" w:hAnsi="仿宋" w:eastAsia="仿宋" w:cs="仿宋"/>
          <w:sz w:val="28"/>
          <w:szCs w:val="28"/>
          <w:highlight w:val="none"/>
          <w:u w:val="single"/>
        </w:rPr>
        <w:t>壹拾</w:t>
      </w:r>
      <w:r>
        <w:rPr>
          <w:rFonts w:hint="eastAsia" w:ascii="仿宋" w:hAnsi="仿宋" w:eastAsia="仿宋" w:cs="仿宋"/>
          <w:sz w:val="28"/>
          <w:szCs w:val="28"/>
          <w:highlight w:val="none"/>
          <w:u w:val="single"/>
          <w:lang w:eastAsia="zh-CN"/>
        </w:rPr>
        <w:t>贰</w:t>
      </w:r>
      <w:r>
        <w:rPr>
          <w:rFonts w:hint="eastAsia" w:ascii="仿宋" w:hAnsi="仿宋" w:eastAsia="仿宋" w:cs="仿宋"/>
          <w:sz w:val="28"/>
          <w:szCs w:val="28"/>
          <w:highlight w:val="none"/>
        </w:rPr>
        <w:t>份，具有同等法律效力，甲方执</w:t>
      </w:r>
      <w:r>
        <w:rPr>
          <w:rFonts w:hint="eastAsia" w:ascii="仿宋" w:hAnsi="仿宋" w:eastAsia="仿宋" w:cs="仿宋"/>
          <w:sz w:val="28"/>
          <w:szCs w:val="28"/>
          <w:highlight w:val="none"/>
          <w:u w:val="single"/>
          <w:lang w:eastAsia="zh-CN"/>
        </w:rPr>
        <w:t>肆</w:t>
      </w:r>
      <w:r>
        <w:rPr>
          <w:rFonts w:hint="eastAsia" w:ascii="仿宋" w:hAnsi="仿宋" w:eastAsia="仿宋" w:cs="仿宋"/>
          <w:sz w:val="28"/>
          <w:szCs w:val="28"/>
          <w:highlight w:val="none"/>
        </w:rPr>
        <w:t>份，乙方执</w:t>
      </w:r>
      <w:r>
        <w:rPr>
          <w:rFonts w:hint="eastAsia" w:ascii="仿宋" w:hAnsi="仿宋" w:eastAsia="仿宋" w:cs="仿宋"/>
          <w:sz w:val="28"/>
          <w:szCs w:val="28"/>
          <w:highlight w:val="none"/>
          <w:u w:val="single"/>
        </w:rPr>
        <w:t>肆</w:t>
      </w:r>
      <w:r>
        <w:rPr>
          <w:rFonts w:hint="eastAsia" w:ascii="仿宋" w:hAnsi="仿宋" w:eastAsia="仿宋" w:cs="仿宋"/>
          <w:sz w:val="28"/>
          <w:szCs w:val="28"/>
          <w:highlight w:val="none"/>
        </w:rPr>
        <w:t>份</w:t>
      </w:r>
      <w:r>
        <w:rPr>
          <w:rFonts w:hint="eastAsia" w:ascii="仿宋" w:hAnsi="仿宋" w:eastAsia="仿宋" w:cs="仿宋"/>
          <w:sz w:val="28"/>
          <w:szCs w:val="28"/>
          <w:highlight w:val="none"/>
          <w:lang w:eastAsia="zh-CN"/>
        </w:rPr>
        <w:t>，丙</w:t>
      </w:r>
      <w:r>
        <w:rPr>
          <w:rFonts w:hint="eastAsia" w:ascii="仿宋" w:hAnsi="仿宋" w:eastAsia="仿宋" w:cs="仿宋"/>
          <w:sz w:val="28"/>
          <w:szCs w:val="28"/>
          <w:highlight w:val="none"/>
        </w:rPr>
        <w:t>方执</w:t>
      </w:r>
      <w:r>
        <w:rPr>
          <w:rFonts w:hint="eastAsia" w:ascii="仿宋" w:hAnsi="仿宋" w:eastAsia="仿宋" w:cs="仿宋"/>
          <w:sz w:val="28"/>
          <w:szCs w:val="28"/>
          <w:highlight w:val="none"/>
          <w:u w:val="single"/>
        </w:rPr>
        <w:t>肆</w:t>
      </w:r>
      <w:r>
        <w:rPr>
          <w:rFonts w:hint="eastAsia" w:ascii="仿宋" w:hAnsi="仿宋" w:eastAsia="仿宋" w:cs="仿宋"/>
          <w:sz w:val="28"/>
          <w:szCs w:val="28"/>
          <w:highlight w:val="none"/>
        </w:rPr>
        <w:t>份。</w:t>
      </w:r>
    </w:p>
    <w:p w14:paraId="3B973521">
      <w:pPr>
        <w:spacing w:line="360" w:lineRule="auto"/>
        <w:ind w:firstLine="560" w:firstLineChars="200"/>
        <w:rPr>
          <w:rFonts w:hint="eastAsia" w:eastAsia="仿宋"/>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以下无正文</w:t>
      </w:r>
      <w:r>
        <w:rPr>
          <w:rFonts w:hint="eastAsia" w:ascii="仿宋" w:hAnsi="仿宋" w:eastAsia="仿宋" w:cs="仿宋"/>
          <w:sz w:val="28"/>
          <w:szCs w:val="28"/>
          <w:highlight w:val="none"/>
          <w:lang w:eastAsia="zh-CN"/>
        </w:rPr>
        <w:t>）</w:t>
      </w:r>
    </w:p>
    <w:p w14:paraId="042EE643">
      <w:pPr>
        <w:widowControl/>
        <w:snapToGrid w:val="0"/>
        <w:spacing w:line="360" w:lineRule="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 xml:space="preserve">   </w:t>
      </w:r>
    </w:p>
    <w:p w14:paraId="4E334262">
      <w:pPr>
        <w:pStyle w:val="3"/>
        <w:rPr>
          <w:rFonts w:hint="eastAsia" w:ascii="仿宋" w:hAnsi="仿宋" w:eastAsia="仿宋" w:cs="仿宋"/>
          <w:kern w:val="0"/>
          <w:sz w:val="28"/>
          <w:szCs w:val="28"/>
          <w:highlight w:val="none"/>
          <w:lang w:val="en-US" w:eastAsia="zh-CN"/>
        </w:rPr>
      </w:pPr>
    </w:p>
    <w:p w14:paraId="31ED87B5">
      <w:pPr>
        <w:rPr>
          <w:rFonts w:hint="eastAsia" w:ascii="仿宋" w:hAnsi="仿宋" w:eastAsia="仿宋" w:cs="仿宋"/>
          <w:kern w:val="0"/>
          <w:sz w:val="28"/>
          <w:szCs w:val="28"/>
          <w:highlight w:val="none"/>
          <w:lang w:val="en-US" w:eastAsia="zh-CN"/>
        </w:rPr>
      </w:pPr>
    </w:p>
    <w:p w14:paraId="47201590">
      <w:pPr>
        <w:pStyle w:val="3"/>
        <w:rPr>
          <w:rFonts w:hint="eastAsia" w:ascii="仿宋" w:hAnsi="仿宋" w:eastAsia="仿宋" w:cs="仿宋"/>
          <w:kern w:val="0"/>
          <w:sz w:val="28"/>
          <w:szCs w:val="28"/>
          <w:highlight w:val="none"/>
          <w:lang w:val="en-US" w:eastAsia="zh-CN"/>
        </w:rPr>
      </w:pPr>
    </w:p>
    <w:p w14:paraId="0E3A7CD1">
      <w:pPr>
        <w:rPr>
          <w:rFonts w:hint="eastAsia" w:ascii="仿宋" w:hAnsi="仿宋" w:eastAsia="仿宋" w:cs="仿宋"/>
          <w:kern w:val="0"/>
          <w:sz w:val="28"/>
          <w:szCs w:val="28"/>
          <w:highlight w:val="none"/>
          <w:lang w:val="en-US" w:eastAsia="zh-CN"/>
        </w:rPr>
      </w:pPr>
    </w:p>
    <w:p w14:paraId="2A7AD1C1">
      <w:pPr>
        <w:rPr>
          <w:rFonts w:hint="eastAsia" w:ascii="仿宋" w:hAnsi="仿宋" w:eastAsia="仿宋" w:cs="仿宋"/>
          <w:kern w:val="0"/>
          <w:sz w:val="28"/>
          <w:szCs w:val="28"/>
          <w:highlight w:val="none"/>
          <w:lang w:val="en-US" w:eastAsia="zh-CN"/>
        </w:rPr>
      </w:pPr>
    </w:p>
    <w:p w14:paraId="3CA222A0">
      <w:pPr>
        <w:rPr>
          <w:rFonts w:hint="eastAsia" w:ascii="仿宋" w:hAnsi="仿宋" w:eastAsia="仿宋" w:cs="仿宋"/>
          <w:kern w:val="0"/>
          <w:sz w:val="28"/>
          <w:szCs w:val="28"/>
          <w:highlight w:val="none"/>
          <w:lang w:val="en-US" w:eastAsia="zh-CN"/>
        </w:rPr>
      </w:pPr>
    </w:p>
    <w:p w14:paraId="6C25BFCB">
      <w:pPr>
        <w:rPr>
          <w:rFonts w:hint="eastAsia" w:ascii="仿宋" w:hAnsi="仿宋" w:eastAsia="仿宋" w:cs="仿宋"/>
          <w:kern w:val="0"/>
          <w:sz w:val="28"/>
          <w:szCs w:val="28"/>
          <w:highlight w:val="none"/>
          <w:lang w:val="en-US" w:eastAsia="zh-CN"/>
        </w:rPr>
      </w:pPr>
    </w:p>
    <w:p w14:paraId="14AA9394">
      <w:pPr>
        <w:rPr>
          <w:rFonts w:hint="default"/>
          <w:lang w:val="en-US" w:eastAsia="zh-CN"/>
        </w:rPr>
      </w:pPr>
    </w:p>
    <w:p w14:paraId="05C773A0">
      <w:pPr>
        <w:widowControl/>
        <w:snapToGrid w:val="0"/>
        <w:spacing w:line="360" w:lineRule="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（以下</w:t>
      </w:r>
      <w:r>
        <w:rPr>
          <w:rFonts w:hint="eastAsia" w:ascii="仿宋" w:hAnsi="仿宋" w:eastAsia="仿宋" w:cs="仿宋"/>
          <w:kern w:val="24"/>
          <w:sz w:val="28"/>
          <w:szCs w:val="28"/>
          <w:highlight w:val="none"/>
          <w:lang w:eastAsia="zh-CN"/>
        </w:rPr>
        <w:t>为合同签署页，</w:t>
      </w:r>
      <w:r>
        <w:rPr>
          <w:rFonts w:hint="eastAsia" w:ascii="仿宋" w:hAnsi="仿宋" w:eastAsia="仿宋" w:cs="仿宋"/>
          <w:kern w:val="0"/>
          <w:sz w:val="28"/>
          <w:szCs w:val="28"/>
          <w:highlight w:val="none"/>
        </w:rPr>
        <w:t>无正文</w:t>
      </w:r>
      <w:r>
        <w:rPr>
          <w:rFonts w:hint="eastAsia" w:ascii="仿宋" w:hAnsi="仿宋" w:eastAsia="仿宋" w:cs="仿宋"/>
          <w:kern w:val="0"/>
          <w:sz w:val="28"/>
          <w:szCs w:val="28"/>
          <w:highlight w:val="none"/>
          <w:lang w:eastAsia="zh-CN"/>
        </w:rPr>
        <w:t>）</w:t>
      </w:r>
    </w:p>
    <w:p w14:paraId="0098EBDD">
      <w:pPr>
        <w:pStyle w:val="12"/>
        <w:rPr>
          <w:rFonts w:hint="eastAsia"/>
        </w:rPr>
      </w:pPr>
    </w:p>
    <w:p w14:paraId="14A11CAA">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委托人： </w:t>
      </w:r>
      <w:r>
        <w:rPr>
          <w:rFonts w:hint="eastAsia" w:ascii="仿宋" w:hAnsi="仿宋" w:eastAsia="仿宋" w:cs="仿宋"/>
          <w:b w:val="0"/>
          <w:bCs/>
          <w:sz w:val="28"/>
          <w:szCs w:val="28"/>
          <w:highlight w:val="none"/>
          <w:u w:val="single"/>
          <w:lang w:eastAsia="zh-CN"/>
        </w:rPr>
        <w:t>西安曲江新区公共项目建设管理中心</w:t>
      </w:r>
      <w:r>
        <w:rPr>
          <w:rFonts w:hint="eastAsia" w:ascii="仿宋" w:hAnsi="仿宋" w:eastAsia="仿宋" w:cs="仿宋"/>
          <w:sz w:val="28"/>
          <w:szCs w:val="28"/>
          <w:highlight w:val="none"/>
          <w:u w:val="single"/>
        </w:rPr>
        <w:t xml:space="preserve"> （盖章）</w:t>
      </w:r>
      <w:r>
        <w:rPr>
          <w:rFonts w:hint="eastAsia" w:ascii="仿宋" w:hAnsi="仿宋" w:eastAsia="仿宋" w:cs="仿宋"/>
          <w:sz w:val="28"/>
          <w:szCs w:val="28"/>
          <w:highlight w:val="none"/>
        </w:rPr>
        <w:t xml:space="preserve">        </w:t>
      </w:r>
    </w:p>
    <w:p w14:paraId="7C305407">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法定代表人或其授权的代理人：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7C6B76DC">
      <w:pPr>
        <w:spacing w:line="360" w:lineRule="auto"/>
        <w:rPr>
          <w:rFonts w:hint="eastAsia" w:ascii="仿宋" w:hAnsi="仿宋" w:eastAsia="仿宋" w:cs="仿宋"/>
          <w:sz w:val="28"/>
          <w:szCs w:val="28"/>
          <w:highlight w:val="none"/>
        </w:rPr>
      </w:pPr>
    </w:p>
    <w:p w14:paraId="4300D05A">
      <w:pPr>
        <w:pStyle w:val="12"/>
        <w:rPr>
          <w:rFonts w:hint="eastAsia" w:ascii="仿宋" w:hAnsi="仿宋" w:eastAsia="仿宋" w:cs="仿宋"/>
          <w:sz w:val="28"/>
          <w:szCs w:val="28"/>
          <w:highlight w:val="none"/>
        </w:rPr>
      </w:pPr>
    </w:p>
    <w:p w14:paraId="3B9664C9">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监理人：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（盖章）</w:t>
      </w:r>
      <w:r>
        <w:rPr>
          <w:rFonts w:hint="eastAsia" w:ascii="仿宋" w:hAnsi="仿宋" w:eastAsia="仿宋" w:cs="仿宋"/>
          <w:sz w:val="28"/>
          <w:szCs w:val="28"/>
          <w:highlight w:val="none"/>
        </w:rPr>
        <w:t xml:space="preserve">        </w:t>
      </w:r>
    </w:p>
    <w:p w14:paraId="41E5667D">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法定代表人或其授权的代理人：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5F4402F8">
      <w:pPr>
        <w:spacing w:line="360" w:lineRule="auto"/>
        <w:rPr>
          <w:rFonts w:hint="eastAsia" w:ascii="仿宋" w:hAnsi="仿宋" w:eastAsia="仿宋" w:cs="仿宋"/>
          <w:sz w:val="28"/>
          <w:szCs w:val="28"/>
          <w:highlight w:val="none"/>
          <w:lang w:eastAsia="zh-CN"/>
        </w:rPr>
      </w:pPr>
    </w:p>
    <w:p w14:paraId="0D76FFD2">
      <w:pPr>
        <w:pStyle w:val="12"/>
        <w:rPr>
          <w:rFonts w:hint="eastAsia"/>
          <w:lang w:eastAsia="zh-CN"/>
        </w:rPr>
      </w:pPr>
    </w:p>
    <w:p w14:paraId="513169BA">
      <w:pPr>
        <w:pStyle w:val="12"/>
        <w:rPr>
          <w:rFonts w:hint="eastAsia"/>
          <w:lang w:eastAsia="zh-CN"/>
        </w:rPr>
      </w:pPr>
    </w:p>
    <w:p w14:paraId="7E5236E6">
      <w:pPr>
        <w:spacing w:line="360" w:lineRule="auto"/>
        <w:rPr>
          <w:rFonts w:hint="eastAsia" w:ascii="仿宋" w:hAnsi="仿宋" w:eastAsia="仿宋" w:cs="仿宋"/>
          <w:sz w:val="28"/>
          <w:szCs w:val="28"/>
          <w:highlight w:val="none"/>
          <w:u w:val="single"/>
          <w:lang w:val="en-US" w:eastAsia="zh-CN"/>
        </w:rPr>
      </w:pPr>
      <w:r>
        <w:rPr>
          <w:rFonts w:hint="eastAsia" w:ascii="仿宋" w:hAnsi="仿宋" w:eastAsia="仿宋" w:cs="仿宋"/>
          <w:sz w:val="28"/>
          <w:szCs w:val="28"/>
          <w:highlight w:val="none"/>
          <w:lang w:eastAsia="zh-CN"/>
        </w:rPr>
        <w:t>代建</w:t>
      </w:r>
      <w:r>
        <w:rPr>
          <w:rFonts w:hint="eastAsia" w:ascii="仿宋" w:hAnsi="仿宋" w:eastAsia="仿宋" w:cs="仿宋"/>
          <w:sz w:val="28"/>
          <w:szCs w:val="28"/>
          <w:highlight w:val="none"/>
        </w:rPr>
        <w:t>人：</w:t>
      </w:r>
      <w:r>
        <w:rPr>
          <w:rFonts w:hint="eastAsia" w:ascii="仿宋" w:hAnsi="仿宋" w:eastAsia="仿宋" w:cs="仿宋"/>
          <w:b w:val="0"/>
          <w:bCs/>
          <w:spacing w:val="8"/>
          <w:sz w:val="28"/>
          <w:szCs w:val="28"/>
          <w:highlight w:val="none"/>
          <w:u w:val="single"/>
          <w:lang w:val="en-US" w:eastAsia="zh-CN"/>
        </w:rPr>
        <w:t>西安曲江杜邑文旅科技投资(集团)有限公司</w:t>
      </w:r>
      <w:r>
        <w:rPr>
          <w:rFonts w:hint="eastAsia" w:ascii="仿宋" w:hAnsi="仿宋" w:eastAsia="仿宋" w:cs="仿宋"/>
          <w:sz w:val="28"/>
          <w:szCs w:val="28"/>
          <w:highlight w:val="none"/>
          <w:u w:val="single"/>
        </w:rPr>
        <w:t>（盖章）</w:t>
      </w:r>
    </w:p>
    <w:p w14:paraId="767CA051">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法定代表人或其授权的代理人：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p>
    <w:p w14:paraId="40B3E57A">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1849A7AD">
      <w:pPr>
        <w:spacing w:line="360" w:lineRule="auto"/>
        <w:ind w:firstLine="554" w:firstLineChars="198"/>
        <w:rPr>
          <w:rFonts w:hint="eastAsia" w:ascii="仿宋" w:hAnsi="仿宋" w:eastAsia="仿宋" w:cs="仿宋"/>
          <w:sz w:val="28"/>
          <w:szCs w:val="28"/>
          <w:highlight w:val="none"/>
        </w:rPr>
      </w:pPr>
    </w:p>
    <w:p w14:paraId="6BF940EE">
      <w:pPr>
        <w:spacing w:line="360" w:lineRule="auto"/>
        <w:ind w:firstLine="554" w:firstLineChars="198"/>
        <w:rPr>
          <w:rFonts w:hint="eastAsia" w:ascii="仿宋" w:hAnsi="仿宋" w:eastAsia="仿宋" w:cs="仿宋"/>
          <w:sz w:val="28"/>
          <w:szCs w:val="28"/>
          <w:highlight w:val="none"/>
        </w:rPr>
      </w:pPr>
    </w:p>
    <w:p w14:paraId="57351A5A">
      <w:pPr>
        <w:spacing w:line="360" w:lineRule="auto"/>
        <w:ind w:firstLine="554" w:firstLineChars="198"/>
        <w:rPr>
          <w:rFonts w:hint="eastAsia" w:ascii="仿宋" w:hAnsi="仿宋" w:eastAsia="仿宋" w:cs="仿宋"/>
          <w:sz w:val="28"/>
          <w:szCs w:val="28"/>
          <w:highlight w:val="none"/>
        </w:rPr>
      </w:pPr>
    </w:p>
    <w:p w14:paraId="532F34CB">
      <w:pPr>
        <w:spacing w:line="360" w:lineRule="auto"/>
        <w:ind w:firstLine="554" w:firstLineChars="198"/>
        <w:rPr>
          <w:rFonts w:hint="eastAsia" w:ascii="仿宋" w:hAnsi="仿宋" w:eastAsia="仿宋" w:cs="仿宋"/>
          <w:sz w:val="28"/>
          <w:szCs w:val="28"/>
          <w:highlight w:val="none"/>
        </w:rPr>
      </w:pPr>
    </w:p>
    <w:p w14:paraId="74BA5943">
      <w:pPr>
        <w:spacing w:line="360" w:lineRule="auto"/>
        <w:ind w:firstLine="554" w:firstLineChars="198"/>
        <w:rPr>
          <w:rFonts w:hint="eastAsia" w:ascii="仿宋" w:hAnsi="仿宋" w:eastAsia="仿宋" w:cs="仿宋"/>
          <w:sz w:val="28"/>
          <w:szCs w:val="28"/>
          <w:highlight w:val="none"/>
        </w:rPr>
      </w:pPr>
    </w:p>
    <w:p w14:paraId="74CD8C45">
      <w:pPr>
        <w:spacing w:line="360" w:lineRule="auto"/>
        <w:ind w:firstLine="554" w:firstLineChars="198"/>
        <w:rPr>
          <w:rFonts w:hint="eastAsia" w:ascii="仿宋" w:hAnsi="仿宋" w:eastAsia="仿宋" w:cs="仿宋"/>
          <w:sz w:val="28"/>
          <w:szCs w:val="28"/>
          <w:highlight w:val="none"/>
        </w:rPr>
      </w:pPr>
    </w:p>
    <w:p w14:paraId="6AEF8CF1">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56B630E6">
      <w:pPr>
        <w:rPr>
          <w:rFonts w:hint="eastAsia"/>
          <w:highlight w:val="none"/>
        </w:rPr>
      </w:pPr>
    </w:p>
    <w:p w14:paraId="59DEF9F1">
      <w:pPr>
        <w:pStyle w:val="2"/>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第二部分  通用条件</w:t>
      </w:r>
    </w:p>
    <w:p w14:paraId="66D30C7F">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1. 定义与解释</w:t>
      </w:r>
    </w:p>
    <w:p w14:paraId="1D04DE8D">
      <w:pPr>
        <w:spacing w:line="360" w:lineRule="auto"/>
        <w:ind w:left="210" w:leftChars="100" w:firstLine="420" w:firstLineChars="15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1.1 </w:t>
      </w:r>
      <w:r>
        <w:rPr>
          <w:rFonts w:hint="eastAsia" w:ascii="仿宋" w:hAnsi="仿宋" w:eastAsia="仿宋" w:cs="仿宋"/>
          <w:bCs/>
          <w:sz w:val="28"/>
          <w:szCs w:val="28"/>
          <w:highlight w:val="none"/>
        </w:rPr>
        <w:t>定义</w:t>
      </w:r>
    </w:p>
    <w:p w14:paraId="3F25D27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除根据上下文另有其意义外，组成本合同的全部文件中的下列名词和用语应具有本款所赋予的含义：</w:t>
      </w:r>
    </w:p>
    <w:p w14:paraId="16D71BF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 “工程”是指按照本合同约定实施监理与相关服务的建设工程。</w:t>
      </w:r>
    </w:p>
    <w:p w14:paraId="62734B8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1.1.2 “委托人”是指本合同中委托监理与相关服务的一方，及其合法的继承人或受让人。</w:t>
      </w:r>
    </w:p>
    <w:p w14:paraId="4F6DE2D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1.1.3 “监理人”是指本合同中提供监理与相关服务的一方，及其合法的继承人。</w:t>
      </w:r>
    </w:p>
    <w:p w14:paraId="3572C22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1.1.4 “承包人”是指在工程范围内与委托人签订勘察、设计、施工等有关合同的当事人，及其合法的继承人。</w:t>
      </w:r>
    </w:p>
    <w:p w14:paraId="340E2513">
      <w:pPr>
        <w:pStyle w:val="5"/>
        <w:spacing w:line="360" w:lineRule="auto"/>
        <w:ind w:firstLine="570"/>
        <w:rPr>
          <w:rFonts w:hint="eastAsia" w:ascii="仿宋" w:hAnsi="仿宋" w:eastAsia="仿宋" w:cs="仿宋"/>
          <w:sz w:val="28"/>
          <w:szCs w:val="28"/>
          <w:highlight w:val="none"/>
        </w:rPr>
      </w:pPr>
      <w:r>
        <w:rPr>
          <w:rFonts w:hint="eastAsia" w:ascii="仿宋" w:hAnsi="仿宋" w:eastAsia="仿宋" w:cs="仿宋"/>
          <w:sz w:val="28"/>
          <w:szCs w:val="28"/>
          <w:highlight w:val="none"/>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D479E7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1.1.6 “相关服务”是指监理人受委托人的委托 ，按照本合同约定，在勘察、设计、保修等阶段提供的服务活动。</w:t>
      </w:r>
    </w:p>
    <w:p w14:paraId="20D1548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1.1.7 “正常工作”指本合同订立时通用条件和专用条件中约定的监理人的</w:t>
      </w:r>
      <w:r>
        <w:rPr>
          <w:rFonts w:hint="eastAsia" w:ascii="仿宋" w:hAnsi="仿宋" w:eastAsia="仿宋" w:cs="仿宋"/>
          <w:color w:val="000000"/>
          <w:sz w:val="28"/>
          <w:szCs w:val="28"/>
          <w:highlight w:val="none"/>
        </w:rPr>
        <w:t>工作</w:t>
      </w:r>
      <w:r>
        <w:rPr>
          <w:rFonts w:hint="eastAsia" w:ascii="仿宋" w:hAnsi="仿宋" w:eastAsia="仿宋" w:cs="仿宋"/>
          <w:sz w:val="28"/>
          <w:szCs w:val="28"/>
          <w:highlight w:val="none"/>
        </w:rPr>
        <w:t>。</w:t>
      </w:r>
    </w:p>
    <w:p w14:paraId="0E17B56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1.1.8 “附加工作”是指本合同约定的正常工作以外监理人的工作。</w:t>
      </w:r>
    </w:p>
    <w:p w14:paraId="3B8D28D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1.1.9 “项目监理机构”是指监理人派驻工程负责履行本合同的组织机构。</w:t>
      </w:r>
    </w:p>
    <w:p w14:paraId="7053BA5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1.1.10 “总监理工程师”是指由监理人的法定代表人书面授权，全面负责履行本合同、主持项目监理机构工作的注册监理工程师。</w:t>
      </w:r>
    </w:p>
    <w:p w14:paraId="7DE5368C">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1.1.11 “酬金”是指监理人履行本合同义务，委托人按照本合同约定给付监理人的金额。</w:t>
      </w:r>
    </w:p>
    <w:p w14:paraId="1107ADE8">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1.1.12 “正常工作酬金”是指监理人完成正常工作，委托人应给付监理人并在协议书中载明的签约酬金额。</w:t>
      </w:r>
    </w:p>
    <w:p w14:paraId="0473EA26">
      <w:pPr>
        <w:spacing w:line="360" w:lineRule="auto"/>
        <w:ind w:firstLine="554" w:firstLineChars="198"/>
        <w:rPr>
          <w:rFonts w:hint="eastAsia" w:ascii="仿宋" w:hAnsi="仿宋" w:eastAsia="仿宋" w:cs="仿宋"/>
          <w:sz w:val="28"/>
          <w:szCs w:val="28"/>
          <w:highlight w:val="none"/>
        </w:rPr>
      </w:pPr>
      <w:r>
        <w:rPr>
          <w:rFonts w:hint="eastAsia" w:ascii="仿宋" w:hAnsi="仿宋" w:eastAsia="仿宋" w:cs="仿宋"/>
          <w:sz w:val="28"/>
          <w:szCs w:val="28"/>
          <w:highlight w:val="none"/>
        </w:rPr>
        <w:t>1.1.13 “附加工作酬金”是指监理人完成附加工作，委托人应给付监理人的金额。</w:t>
      </w:r>
    </w:p>
    <w:p w14:paraId="4DE8FEF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1.1.14 “一方”是指委托人或监理人；“</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”是指委托人和监理人；“第三方”是指除委托人和监理人以外的有关方。</w:t>
      </w:r>
    </w:p>
    <w:p w14:paraId="66A8051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1.1.15 “书面形式”是指合同书、信件和数据电文（包括电报、电传、传真、电子数据交换和电子邮件）等可以有形地表现所载内容的形式。</w:t>
      </w:r>
    </w:p>
    <w:p w14:paraId="050C5DC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1.1.16 “天”是指第一天零时至第二天零时的时间。</w:t>
      </w:r>
    </w:p>
    <w:p w14:paraId="1F5F4C2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1.1.17“月”是指按公历从一个月中任何一天开始的一个公历月时间。</w:t>
      </w:r>
    </w:p>
    <w:p w14:paraId="243B3A9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427E227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bCs/>
          <w:sz w:val="28"/>
          <w:szCs w:val="28"/>
          <w:highlight w:val="none"/>
        </w:rPr>
        <w:t xml:space="preserve">1.2 </w:t>
      </w:r>
      <w:r>
        <w:rPr>
          <w:rFonts w:hint="eastAsia" w:ascii="仿宋" w:hAnsi="仿宋" w:eastAsia="仿宋" w:cs="仿宋"/>
          <w:sz w:val="28"/>
          <w:szCs w:val="28"/>
          <w:highlight w:val="none"/>
        </w:rPr>
        <w:t>解释</w:t>
      </w:r>
    </w:p>
    <w:p w14:paraId="4B56CFF0">
      <w:pPr>
        <w:tabs>
          <w:tab w:val="left" w:pos="61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1.2.1本合同使用中文书写、解释和说明。如专用条件约定使用两种及以上语言文字时，应以中文为准。</w:t>
      </w:r>
    </w:p>
    <w:p w14:paraId="6D590010">
      <w:pPr>
        <w:tabs>
          <w:tab w:val="left" w:pos="6140"/>
        </w:tabs>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1.2.2 组成本合同的下列文件彼此应能相互解释、互为说明。除专用条件另有约定外，本合同文件的解释顺序如下：</w:t>
      </w:r>
    </w:p>
    <w:p w14:paraId="392EFFC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（1）协议书；</w:t>
      </w:r>
    </w:p>
    <w:p w14:paraId="633C38C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（2）中标通知书（适用于招标工程）或委托书（适用于非招标工程）；</w:t>
      </w:r>
    </w:p>
    <w:p w14:paraId="358A84F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（3）专用条件及附件；</w:t>
      </w:r>
    </w:p>
    <w:p w14:paraId="6C98098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（4）通用条件；</w:t>
      </w:r>
    </w:p>
    <w:p w14:paraId="78A3145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（5）投标文件（适用于招标工程）或监理与相关服务建议书（适用于非招标工程）。</w:t>
      </w:r>
    </w:p>
    <w:p w14:paraId="77E6C71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方签订的补充协议与其他文件发生矛盾或歧义时，属于同一类内容的文件，应以最新签署的为准。</w:t>
      </w:r>
    </w:p>
    <w:p w14:paraId="0482E963">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2. 监理人的义务</w:t>
      </w:r>
    </w:p>
    <w:p w14:paraId="37A43024">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2.1 监理的范围和工作内容</w:t>
      </w:r>
    </w:p>
    <w:p w14:paraId="024DDA97">
      <w:pPr>
        <w:spacing w:line="360" w:lineRule="auto"/>
        <w:ind w:left="420" w:leftChars="200" w:firstLine="140" w:firstLineChars="50"/>
        <w:rPr>
          <w:rFonts w:hint="eastAsia" w:ascii="仿宋" w:hAnsi="仿宋" w:eastAsia="仿宋" w:cs="仿宋"/>
          <w:sz w:val="28"/>
          <w:szCs w:val="28"/>
          <w:highlight w:val="none"/>
        </w:rPr>
      </w:pPr>
      <w:r>
        <w:rPr>
          <w:rFonts w:hint="eastAsia" w:ascii="仿宋" w:hAnsi="仿宋" w:eastAsia="仿宋" w:cs="仿宋"/>
          <w:sz w:val="28"/>
          <w:szCs w:val="28"/>
          <w:highlight w:val="none"/>
        </w:rPr>
        <w:t>2.1.1 监理范围在专用条件中约定。</w:t>
      </w:r>
    </w:p>
    <w:p w14:paraId="2FBEE825">
      <w:pPr>
        <w:spacing w:line="360" w:lineRule="auto"/>
        <w:ind w:left="420" w:leftChars="200" w:firstLine="140" w:firstLineChars="50"/>
        <w:rPr>
          <w:rFonts w:hint="eastAsia" w:ascii="仿宋" w:hAnsi="仿宋" w:eastAsia="仿宋" w:cs="仿宋"/>
          <w:sz w:val="28"/>
          <w:szCs w:val="28"/>
          <w:highlight w:val="none"/>
        </w:rPr>
      </w:pPr>
      <w:r>
        <w:rPr>
          <w:rFonts w:hint="eastAsia" w:ascii="仿宋" w:hAnsi="仿宋" w:eastAsia="仿宋" w:cs="仿宋"/>
          <w:sz w:val="28"/>
          <w:szCs w:val="28"/>
          <w:highlight w:val="none"/>
        </w:rPr>
        <w:t>2.1.2 除专用条件另有约定外，监理工作内容包括：</w:t>
      </w:r>
    </w:p>
    <w:p w14:paraId="77E5464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（1）收到工程设计文件后编制监理规划，并在第一次工地会议7天前报委托人。根据有关规定和监理工作需要，编制监理实施细则；</w:t>
      </w:r>
    </w:p>
    <w:p w14:paraId="168405D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（2）熟悉工程设计文件，并参加由委托人主持的图纸会审和设计交底会议；</w:t>
      </w:r>
    </w:p>
    <w:p w14:paraId="56A18E1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（3）参加由委托人主持的第一次工地会议；主持监理例会并根据工程需要主持或参加专题会议；</w:t>
      </w:r>
    </w:p>
    <w:p w14:paraId="009D1D7E">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（4）审查施工承包人提交的施工组织设计，重点审查其中的质量安全技术措施、专项施工方案与工程建设强制性标准的符合性；</w:t>
      </w:r>
    </w:p>
    <w:p w14:paraId="2F2FF8F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（5）检查施工承包人工程质量、安全生产管理制度及组织机构和人员资格； </w:t>
      </w:r>
    </w:p>
    <w:p w14:paraId="53AA5A4F">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（6）检查施工承包人专职安全生产管理人员的配备情况；</w:t>
      </w:r>
    </w:p>
    <w:p w14:paraId="580975A0">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（7）审查施工承包人提交的施工进度计划，核查承包人对施工进度计划的调整；</w:t>
      </w:r>
    </w:p>
    <w:p w14:paraId="701CEF0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（8）检查施工承包人的试验室；</w:t>
      </w:r>
    </w:p>
    <w:p w14:paraId="6680016F">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（9）审核施工分包人资质条件；</w:t>
      </w:r>
    </w:p>
    <w:p w14:paraId="02740EC3">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（10）查验施工承包人的施工测量放线成果；</w:t>
      </w:r>
    </w:p>
    <w:p w14:paraId="758B2A8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（11）审查工程开工条件，对条件具备的签发开工令；</w:t>
      </w:r>
    </w:p>
    <w:p w14:paraId="29012C9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（12）审查施工承包人报送的工程材料、构配件、设备质量证明文件的有效性和符合性，并按规定对用于工程的材料采取平行检验或见证取样方式进行抽检；</w:t>
      </w:r>
    </w:p>
    <w:p w14:paraId="37FF949A">
      <w:pPr>
        <w:spacing w:line="360" w:lineRule="auto"/>
        <w:ind w:left="-97" w:leftChars="-46"/>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（13）审核施工承包人提交的工程款支付申请，签发或出具工程款支付证书，并报委托人审核、批准；</w:t>
      </w:r>
    </w:p>
    <w:p w14:paraId="084EBB2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（14）在巡视、旁站和检验过程中，发现工程质量、施工安全存在事故隐患的，要求施工承包人整改并报委托人；</w:t>
      </w:r>
    </w:p>
    <w:p w14:paraId="3936B09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（15）经委托人同意，签发工程暂停令和复工令；</w:t>
      </w:r>
    </w:p>
    <w:p w14:paraId="351846B7">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（16）审查施工承包人提交的采用新材料、新工艺、新技术、新设备的论证材料及相关验收标准；</w:t>
      </w:r>
    </w:p>
    <w:p w14:paraId="093AE26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（17）验收隐蔽工程、分部分项工程；</w:t>
      </w:r>
    </w:p>
    <w:p w14:paraId="2FA306B3">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（18）审查施工承包人提交的工程变更申请，协调处理施工进度调整、费用索赔、合同争议等事项；</w:t>
      </w:r>
    </w:p>
    <w:p w14:paraId="3099516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（19）审查施工承包人提交的竣工验收申请，编写工程质量评估报告；</w:t>
      </w:r>
    </w:p>
    <w:p w14:paraId="5BA51CC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（20）参加工程竣工验收，签署竣工验收意见；</w:t>
      </w:r>
    </w:p>
    <w:p w14:paraId="408F224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（21）审查施工承包人提交的竣工结算申请并报委托人；</w:t>
      </w:r>
    </w:p>
    <w:p w14:paraId="3ECB80C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（22）编制、整理工程监理归档文件并报委托人。</w:t>
      </w:r>
    </w:p>
    <w:p w14:paraId="295D23A8">
      <w:pPr>
        <w:spacing w:line="360" w:lineRule="auto"/>
        <w:ind w:left="420" w:leftChars="200" w:firstLine="140" w:firstLineChars="50"/>
        <w:rPr>
          <w:rFonts w:hint="eastAsia" w:ascii="仿宋" w:hAnsi="仿宋" w:eastAsia="仿宋" w:cs="仿宋"/>
          <w:sz w:val="28"/>
          <w:szCs w:val="28"/>
          <w:highlight w:val="none"/>
        </w:rPr>
      </w:pPr>
      <w:r>
        <w:rPr>
          <w:rFonts w:hint="eastAsia" w:ascii="仿宋" w:hAnsi="仿宋" w:eastAsia="仿宋" w:cs="仿宋"/>
          <w:sz w:val="28"/>
          <w:szCs w:val="28"/>
          <w:highlight w:val="none"/>
        </w:rPr>
        <w:t>2.1.3 相关服务的范围和内容在专用条款第2.1条中约定。</w:t>
      </w:r>
    </w:p>
    <w:p w14:paraId="54A3F668">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2.2 </w:t>
      </w:r>
      <w:r>
        <w:rPr>
          <w:rFonts w:hint="eastAsia" w:ascii="仿宋" w:hAnsi="仿宋" w:eastAsia="仿宋" w:cs="仿宋"/>
          <w:bCs/>
          <w:sz w:val="28"/>
          <w:szCs w:val="28"/>
          <w:highlight w:val="none"/>
        </w:rPr>
        <w:t>监理与相关服务依据</w:t>
      </w:r>
    </w:p>
    <w:p w14:paraId="7C125C2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2.2.1 监理依据包括：</w:t>
      </w:r>
    </w:p>
    <w:p w14:paraId="2C2EFEBB">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（1）适用的法律、行政法规及部门规章；</w:t>
      </w:r>
    </w:p>
    <w:p w14:paraId="166EA1EE">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（2）与工程有关的标准；</w:t>
      </w:r>
    </w:p>
    <w:p w14:paraId="75D6BF1E">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（3）工程设计及有关文件；</w:t>
      </w:r>
    </w:p>
    <w:p w14:paraId="44BCE0AA">
      <w:pPr>
        <w:spacing w:line="360" w:lineRule="auto"/>
        <w:ind w:firstLine="700" w:firstLineChars="250"/>
        <w:rPr>
          <w:rFonts w:hint="eastAsia" w:ascii="仿宋" w:hAnsi="仿宋" w:eastAsia="仿宋" w:cs="仿宋"/>
          <w:sz w:val="28"/>
          <w:szCs w:val="28"/>
          <w:highlight w:val="none"/>
        </w:rPr>
      </w:pPr>
      <w:r>
        <w:rPr>
          <w:rFonts w:hint="eastAsia" w:ascii="仿宋" w:hAnsi="仿宋" w:eastAsia="仿宋" w:cs="仿宋"/>
          <w:sz w:val="28"/>
          <w:szCs w:val="28"/>
          <w:highlight w:val="none"/>
        </w:rPr>
        <w:t>（4）本合同及委托人与第三方签订的与实施工程有关的其他合同。</w:t>
      </w:r>
    </w:p>
    <w:p w14:paraId="7200BF08">
      <w:pPr>
        <w:spacing w:line="360" w:lineRule="auto"/>
        <w:ind w:left="210" w:leftChars="100"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lang w:eastAsia="zh-CN"/>
        </w:rPr>
        <w:t>各</w:t>
      </w:r>
      <w:r>
        <w:rPr>
          <w:rFonts w:hint="eastAsia" w:ascii="仿宋" w:hAnsi="仿宋" w:eastAsia="仿宋" w:cs="仿宋"/>
          <w:bCs/>
          <w:sz w:val="28"/>
          <w:szCs w:val="28"/>
          <w:highlight w:val="none"/>
        </w:rPr>
        <w:t>方根据工程的行业和地域特点，在专用条件中具体约定监理依据。</w:t>
      </w:r>
    </w:p>
    <w:p w14:paraId="5C1854B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2.2.2 相关服务依据在专用条件中约定。</w:t>
      </w:r>
    </w:p>
    <w:p w14:paraId="78928C1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 项目监理机构和人员</w:t>
      </w:r>
    </w:p>
    <w:p w14:paraId="3314283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2.3.1 监理人应组建满足工作需要的项目监理机构，配备必要的检测设备。项目监理机构的主要人员应具有相应的资格条件。</w:t>
      </w:r>
    </w:p>
    <w:p w14:paraId="4D26D31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2.3.2本合同履行过程中，总监理工程师及重要岗位监理人员应保持相对稳定，以保证监理工作正常进行。</w:t>
      </w:r>
    </w:p>
    <w:p w14:paraId="7ED0C49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26AC0B2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2.3.4 监理人应及时更换有下列情形之一的监理人员：</w:t>
      </w:r>
    </w:p>
    <w:p w14:paraId="35277ED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（1）严重过失行为的；</w:t>
      </w:r>
    </w:p>
    <w:p w14:paraId="37870F2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（2）有违法行为不能履行职责的；</w:t>
      </w:r>
    </w:p>
    <w:p w14:paraId="154189C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（3）涉嫌犯罪的；</w:t>
      </w:r>
    </w:p>
    <w:p w14:paraId="08960E5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（4）不能胜任岗位职责的；</w:t>
      </w:r>
    </w:p>
    <w:p w14:paraId="753A31F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（5）严重违反职业道德的；</w:t>
      </w:r>
    </w:p>
    <w:p w14:paraId="20FB966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（6）专用条件约定的其他情形。</w:t>
      </w:r>
    </w:p>
    <w:p w14:paraId="67437BF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2.3.5 委托人可要求监理人更换不能胜任本职工作的项目监理机构人员。</w:t>
      </w:r>
    </w:p>
    <w:p w14:paraId="06CB904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 履行职责</w:t>
      </w:r>
    </w:p>
    <w:p w14:paraId="67A2174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监理人应遵循职业道德准则和行为规范，严格按照法律法规、工程建设有关标准及本合同履行职责。</w:t>
      </w:r>
    </w:p>
    <w:p w14:paraId="6671B0E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2.4.1 在监理与相关服务范围内，委托人和承包人提出的意见和要求，监理人应及时提出处置意见。当委托人与承包人之间发生合同争议时，监理人应协助委托人、承包人协商解决。</w:t>
      </w:r>
    </w:p>
    <w:p w14:paraId="7DF368A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2.4.2 当委托人与承包人之间的合同争议提交仲裁机构仲裁或人民法院审理时，监理人应提供必要的证明资料。</w:t>
      </w:r>
    </w:p>
    <w:p w14:paraId="52910CB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2.4.3 监理人应在专用条件约定的授权范围内，处理委托人与承包人所签订合同的变更事宜。如果变更超过授权范围，应以书面形式报委托人批准。</w:t>
      </w:r>
    </w:p>
    <w:p w14:paraId="4C37324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在紧急情况下，为了保护财产和人身安全，监理人所发出的指令未能事先报委托人批准时，应在发出指令后的24小时内以书面形式报委托人。</w:t>
      </w:r>
    </w:p>
    <w:p w14:paraId="035694A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2.4.4 除专用条件另有约定外，监理人发现承包人的人员不能胜任本职工作的，有权要求承包人予以调换。</w:t>
      </w:r>
    </w:p>
    <w:p w14:paraId="27E3D82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2.5 提交报告</w:t>
      </w:r>
    </w:p>
    <w:p w14:paraId="2AE4EF0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监理人应按专用条件约定的种类、时间和份数向委托人提交监理与相关服务的报告。</w:t>
      </w:r>
    </w:p>
    <w:p w14:paraId="55C3DBF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2.6 文件资料</w:t>
      </w:r>
    </w:p>
    <w:p w14:paraId="62557F7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在本合同履行期内，监理人应在现场保留工作所用的图纸、报告及记录监理工作的相关文件。工程竣工后，应当按照档案管理规定将监理有关文件归档。</w:t>
      </w:r>
    </w:p>
    <w:p w14:paraId="4CDE5A9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2.7 使用委托人的财产</w:t>
      </w:r>
    </w:p>
    <w:p w14:paraId="282C9CF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无偿使用专用条款第2.7条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2E48EEFB">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3．委托人的义务</w:t>
      </w:r>
    </w:p>
    <w:p w14:paraId="780EA98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3.1 告知</w:t>
      </w:r>
    </w:p>
    <w:p w14:paraId="1657FCD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委托人应在委托人与承包人签订的合同中明确监理人、总监理工程师和授予项目监理机构的权限。如有变更，应及时通知承包人。</w:t>
      </w:r>
    </w:p>
    <w:p w14:paraId="3802CED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3.2 提供资料</w:t>
      </w:r>
    </w:p>
    <w:p w14:paraId="006B410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委托人应按照专用条款第</w:t>
      </w:r>
      <w:bookmarkStart w:id="0" w:name="_Hlk491247576"/>
      <w:r>
        <w:rPr>
          <w:rFonts w:hint="eastAsia" w:ascii="仿宋" w:hAnsi="仿宋" w:eastAsia="仿宋" w:cs="仿宋"/>
          <w:sz w:val="28"/>
          <w:szCs w:val="28"/>
          <w:highlight w:val="none"/>
        </w:rPr>
        <w:t>2.2.1条中相关</w:t>
      </w:r>
      <w:bookmarkEnd w:id="0"/>
      <w:r>
        <w:rPr>
          <w:rFonts w:hint="eastAsia" w:ascii="仿宋" w:hAnsi="仿宋" w:eastAsia="仿宋" w:cs="仿宋"/>
          <w:sz w:val="28"/>
          <w:szCs w:val="28"/>
          <w:highlight w:val="none"/>
        </w:rPr>
        <w:t>约定，</w:t>
      </w:r>
      <w:r>
        <w:rPr>
          <w:rFonts w:hint="eastAsia" w:ascii="仿宋" w:hAnsi="仿宋" w:eastAsia="仿宋" w:cs="仿宋"/>
          <w:color w:val="000000"/>
          <w:sz w:val="28"/>
          <w:szCs w:val="28"/>
          <w:highlight w:val="none"/>
        </w:rPr>
        <w:t>无偿</w:t>
      </w:r>
      <w:r>
        <w:rPr>
          <w:rFonts w:hint="eastAsia" w:ascii="仿宋" w:hAnsi="仿宋" w:eastAsia="仿宋" w:cs="仿宋"/>
          <w:sz w:val="28"/>
          <w:szCs w:val="28"/>
          <w:highlight w:val="none"/>
        </w:rPr>
        <w:t>向监理人提供工程有关的资料。在本合同履行过程中，委托人应及时向监理人提供最新的与工程有关的资料。</w:t>
      </w:r>
    </w:p>
    <w:p w14:paraId="6D640A1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3.3 提供工作条件</w:t>
      </w:r>
    </w:p>
    <w:p w14:paraId="0BC2014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委托人应为监理人完成监理与相关服务提供必要的条件。</w:t>
      </w:r>
    </w:p>
    <w:p w14:paraId="32D9290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3.3.1 委托人应按照附件1及专用条款第2.7条约定，派遣相应的人员，提供房屋、设备，供监理人无偿使用。</w:t>
      </w:r>
    </w:p>
    <w:p w14:paraId="03C3777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3.3.2 委托人应负责协调工程建设中所有外部关系，为监理人履行本合同提供必要的外部条件。</w:t>
      </w:r>
    </w:p>
    <w:p w14:paraId="67BB22F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3.4 委托人代表</w:t>
      </w:r>
    </w:p>
    <w:p w14:paraId="6EBD36D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委托人应授权一名熟悉工程情况的代表，负责与监理人联系。委托人应在</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签订本合同后7天内，将委托人代表的姓名和职责书面告知监理人。当委托人更换委托人代表时，应提前7天通知监理人。</w:t>
      </w:r>
    </w:p>
    <w:p w14:paraId="456A83B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3.5 委托人意见或要求</w:t>
      </w:r>
    </w:p>
    <w:p w14:paraId="48CC7AF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在本合同约定的监理与相关服务工作范围内，委托人对承包人的任何意见或要求应通知监理人，由监理人向承包人发出相应指令。</w:t>
      </w:r>
    </w:p>
    <w:p w14:paraId="6CB281F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3.6 答复</w:t>
      </w:r>
    </w:p>
    <w:p w14:paraId="3BCF005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委托人应在专用条件约定的时间内，对监理人以书面形式提交并要求作出决定的事宜，给予书面答复。逾期未答复的，视为委托人认可。</w:t>
      </w:r>
    </w:p>
    <w:p w14:paraId="0EA1345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3.7 支付</w:t>
      </w:r>
    </w:p>
    <w:p w14:paraId="5F1F6B1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委托人应按本合同约定，向监理人支付酬金。</w:t>
      </w:r>
    </w:p>
    <w:p w14:paraId="7283BC21">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4. 违约责任</w:t>
      </w:r>
    </w:p>
    <w:p w14:paraId="47939E1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4.1 监理人的违约责任</w:t>
      </w:r>
    </w:p>
    <w:p w14:paraId="1959E64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监理人未履行本合同义务的，应承担相应的责任。</w:t>
      </w:r>
    </w:p>
    <w:p w14:paraId="63A9793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4.1.1 因监理人违反本合同约定给委托人造成损失的，监理人应当赔偿委托人损失。赔偿金额的确定方法在专用条件中约定。监理人承担部分赔偿责任的，其承担赔偿金额由</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协商确定。</w:t>
      </w:r>
    </w:p>
    <w:p w14:paraId="0240096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4.1.2 监理人向委托人的索赔不成立时，监理人应赔偿委托人由此发生的费用。</w:t>
      </w:r>
    </w:p>
    <w:p w14:paraId="6669A4B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 委托人的违约责任</w:t>
      </w:r>
    </w:p>
    <w:p w14:paraId="6E5463E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委托人未履行本合同义务的，应承担相应的责任。</w:t>
      </w:r>
    </w:p>
    <w:p w14:paraId="01A0594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4.2.1 委托人违反本合同约定造成监理人损失的，委托人应予以赔偿。</w:t>
      </w:r>
    </w:p>
    <w:p w14:paraId="661BB14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4.2.2 委托人向监理人的索赔不成立时，应赔偿监理人由此引起的费用。</w:t>
      </w:r>
    </w:p>
    <w:p w14:paraId="0FF895B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4.2.3 委托人未能按期支付酬金超过28天，应按专用条件约定支付逾期付款利息。</w:t>
      </w:r>
    </w:p>
    <w:p w14:paraId="564FF42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4.3 除外责任</w:t>
      </w:r>
    </w:p>
    <w:p w14:paraId="4D16002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因非监理人的原因，且监理人无过错，发生工程质量事故、安全事故、工期延误等造成的损失，监理人不承担赔偿责任。</w:t>
      </w:r>
    </w:p>
    <w:p w14:paraId="2EE810C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因不可抗力导致本合同全部或部分不能履行时，</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各自承担其因此而造成的损失、损害。</w:t>
      </w:r>
    </w:p>
    <w:p w14:paraId="57BC7B1E">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5. 支付</w:t>
      </w:r>
    </w:p>
    <w:p w14:paraId="569EC1F9">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5.1 </w:t>
      </w:r>
      <w:r>
        <w:rPr>
          <w:rFonts w:hint="eastAsia" w:ascii="仿宋" w:hAnsi="仿宋" w:eastAsia="仿宋" w:cs="仿宋"/>
          <w:bCs/>
          <w:sz w:val="28"/>
          <w:szCs w:val="28"/>
          <w:highlight w:val="none"/>
        </w:rPr>
        <w:t>支付货币</w:t>
      </w:r>
    </w:p>
    <w:p w14:paraId="011FD5B3">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除专用条件另有约定外，酬金均以人民币支付。涉及外币支付的，所采用的货币种类、比例和汇率在专用条件中约定。</w:t>
      </w:r>
    </w:p>
    <w:p w14:paraId="11333202">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5.2 支付申请</w:t>
      </w:r>
    </w:p>
    <w:p w14:paraId="517B9F5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监理人应在本合同约定的每次应付款时间的7天前，向委托人提交支付申请书。支付申请书应当说明当期应付款总额，并列出当期应支付的款项及其金额。</w:t>
      </w:r>
    </w:p>
    <w:p w14:paraId="525A562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5.3 支付酬金</w:t>
      </w:r>
    </w:p>
    <w:p w14:paraId="67002DF9">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支付的酬金包括正常工作酬金、附加工作酬金、合理化建议奖励金额及费用。</w:t>
      </w:r>
    </w:p>
    <w:p w14:paraId="5C2CFA97">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5.4 </w:t>
      </w:r>
      <w:r>
        <w:rPr>
          <w:rFonts w:hint="eastAsia" w:ascii="仿宋" w:hAnsi="仿宋" w:eastAsia="仿宋" w:cs="仿宋"/>
          <w:bCs/>
          <w:sz w:val="28"/>
          <w:szCs w:val="28"/>
          <w:highlight w:val="none"/>
        </w:rPr>
        <w:t>有争议部分的付款</w:t>
      </w:r>
    </w:p>
    <w:p w14:paraId="5407266F">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委托人对监理人提交的支付申请书有异议时，应当在收到监理人提交的支付申请书后7天内，以书面形式向监理人发出异议通知。无异议部分的款项应按期支付，有异议部分的款项按第7条约定办理。</w:t>
      </w:r>
    </w:p>
    <w:p w14:paraId="3AD3B629">
      <w:pPr>
        <w:spacing w:line="360" w:lineRule="auto"/>
        <w:ind w:firstLine="551" w:firstLineChars="196"/>
        <w:rPr>
          <w:rFonts w:hint="eastAsia" w:ascii="仿宋" w:hAnsi="仿宋" w:eastAsia="仿宋" w:cs="仿宋"/>
          <w:b/>
          <w:bCs/>
          <w:color w:val="FF0000"/>
          <w:sz w:val="28"/>
          <w:szCs w:val="28"/>
          <w:highlight w:val="none"/>
        </w:rPr>
      </w:pPr>
      <w:r>
        <w:rPr>
          <w:rFonts w:hint="eastAsia" w:ascii="仿宋" w:hAnsi="仿宋" w:eastAsia="仿宋" w:cs="仿宋"/>
          <w:b/>
          <w:bCs/>
          <w:sz w:val="28"/>
          <w:szCs w:val="28"/>
          <w:highlight w:val="none"/>
        </w:rPr>
        <w:t>6. 合同生效、变更、暂停、解除与终止</w:t>
      </w:r>
    </w:p>
    <w:p w14:paraId="71AEE2CD">
      <w:pPr>
        <w:spacing w:line="360" w:lineRule="auto"/>
        <w:ind w:firstLine="548" w:firstLineChars="196"/>
        <w:rPr>
          <w:rFonts w:hint="eastAsia" w:ascii="仿宋" w:hAnsi="仿宋" w:eastAsia="仿宋" w:cs="仿宋"/>
          <w:b/>
          <w:bCs/>
          <w:color w:val="FF0000"/>
          <w:sz w:val="28"/>
          <w:szCs w:val="28"/>
          <w:highlight w:val="none"/>
        </w:rPr>
      </w:pPr>
      <w:r>
        <w:rPr>
          <w:rFonts w:hint="eastAsia" w:ascii="仿宋" w:hAnsi="仿宋" w:eastAsia="仿宋" w:cs="仿宋"/>
          <w:sz w:val="28"/>
          <w:szCs w:val="28"/>
          <w:highlight w:val="none"/>
        </w:rPr>
        <w:t>6.1生效</w:t>
      </w:r>
    </w:p>
    <w:p w14:paraId="283E521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除法律另有规定或者专用条件另有约定外，委托人和监理人的法定代表人或其授权代理人在协议书上签字并盖单位章后本合同生效。</w:t>
      </w:r>
    </w:p>
    <w:p w14:paraId="1EE8639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w:t>
      </w:r>
      <w:r>
        <w:rPr>
          <w:rFonts w:hint="eastAsia" w:ascii="仿宋" w:hAnsi="仿宋" w:eastAsia="仿宋" w:cs="仿宋"/>
          <w:bCs/>
          <w:sz w:val="28"/>
          <w:szCs w:val="28"/>
          <w:highlight w:val="none"/>
        </w:rPr>
        <w:t>变更</w:t>
      </w:r>
    </w:p>
    <w:p w14:paraId="2B6628F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6.2.1 任何一方提出变更请求时，</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经协商一致后可进行变更。</w:t>
      </w:r>
    </w:p>
    <w:p w14:paraId="3CB8BDB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4247874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72EB2EA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6.2.4合同签订后，遇有与工程相关的法律法规、标准颁布或修订的，</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方应遵照执行。由此引起监理与相关服务的范围、时间、酬金变化的，</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方应通过协商进行相应调整。</w:t>
      </w:r>
    </w:p>
    <w:p w14:paraId="451246B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6.2.5 因非监理人原因造成工程概算投资额或建筑安装工程费增加时，正常工作酬金应作相应调整。调整方法在专用条件中约定。</w:t>
      </w:r>
    </w:p>
    <w:p w14:paraId="005D632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6.2.6 因工程规模、监理范围的变化导致监理人的正常工作量减少时，正常工作酬金应作相应调整。调整方法在专用条件中约定。</w:t>
      </w:r>
    </w:p>
    <w:p w14:paraId="52E795D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 暂停与</w:t>
      </w:r>
      <w:r>
        <w:rPr>
          <w:rFonts w:hint="eastAsia" w:ascii="仿宋" w:hAnsi="仿宋" w:eastAsia="仿宋" w:cs="仿宋"/>
          <w:bCs/>
          <w:sz w:val="28"/>
          <w:szCs w:val="28"/>
          <w:highlight w:val="none"/>
        </w:rPr>
        <w:t>解除</w:t>
      </w:r>
    </w:p>
    <w:p w14:paraId="7DE1508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方协商一致可以解除本合同外，当一方无正当理由未履行本合同约定的义务时，另一方可以根据本合同约定暂停履行本合同直至解除本合同。</w:t>
      </w:r>
    </w:p>
    <w:p w14:paraId="417AD1F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6.3.1 在本合同有效期内，由于</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方无法预见和控制的原因导致本合同全部或部分无法继续履行或继续履行已无意义，经</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方协商一致，可以解除本合同或监理人的部分义务。在解除之前，监理人应作出合理安排，使开支减至最小。</w:t>
      </w:r>
    </w:p>
    <w:p w14:paraId="7B45A09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因解除本合同或解除监理人的部分义务导致监理人遭受的损失，除依法可以免除责任的情况外，应由委托人予以补偿，补偿金额由</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协商确定。</w:t>
      </w:r>
    </w:p>
    <w:p w14:paraId="4F8AB6D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解除本合同的协议必须采取书面形式，协议未达成之前，本合同仍然有效。</w:t>
      </w:r>
    </w:p>
    <w:p w14:paraId="7D10226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186C1BF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的酬金支付至本合同解除日，且应承担第4.2款约定的责任。</w:t>
      </w:r>
    </w:p>
    <w:p w14:paraId="6AB4BF6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的酬金支付至限期改正通知到达监理人之日，但监理人应承担第4.1款约定的责任。</w:t>
      </w:r>
    </w:p>
    <w:p w14:paraId="29F71FD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4116BAE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6.3.5 因不可抗力致使本合同部分或全部不能履行时，一方应立即通知另一方，可暂停或解除本合同。</w:t>
      </w:r>
    </w:p>
    <w:p w14:paraId="29811C8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6.3.6 本合同解除后，本合同约定的有关结算、清理、争议解决方式的条件仍然有效。</w:t>
      </w:r>
    </w:p>
    <w:p w14:paraId="1EB505F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6.4 </w:t>
      </w:r>
      <w:r>
        <w:rPr>
          <w:rFonts w:hint="eastAsia" w:ascii="仿宋" w:hAnsi="仿宋" w:eastAsia="仿宋" w:cs="仿宋"/>
          <w:bCs/>
          <w:sz w:val="28"/>
          <w:szCs w:val="28"/>
          <w:highlight w:val="none"/>
        </w:rPr>
        <w:t>终止</w:t>
      </w:r>
    </w:p>
    <w:p w14:paraId="537CD39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以下条件全部满足时，本合同即告终止：</w:t>
      </w:r>
    </w:p>
    <w:p w14:paraId="3F0A146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（1）监理人完成本合同约定的全部工作；</w:t>
      </w:r>
    </w:p>
    <w:p w14:paraId="0E34E11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（2）委托人与监理人结清并支付全部酬金。</w:t>
      </w:r>
    </w:p>
    <w:p w14:paraId="178F8065">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7. 争议解决</w:t>
      </w:r>
    </w:p>
    <w:p w14:paraId="433A5B79">
      <w:pPr>
        <w:spacing w:line="360" w:lineRule="auto"/>
        <w:ind w:firstLine="548" w:firstLineChars="196"/>
        <w:rPr>
          <w:rFonts w:hint="eastAsia" w:ascii="仿宋" w:hAnsi="仿宋" w:eastAsia="仿宋" w:cs="仿宋"/>
          <w:b/>
          <w:bCs/>
          <w:sz w:val="28"/>
          <w:szCs w:val="28"/>
          <w:highlight w:val="none"/>
        </w:rPr>
      </w:pPr>
      <w:r>
        <w:rPr>
          <w:rFonts w:hint="eastAsia" w:ascii="仿宋" w:hAnsi="仿宋" w:eastAsia="仿宋" w:cs="仿宋"/>
          <w:sz w:val="28"/>
          <w:szCs w:val="28"/>
          <w:highlight w:val="none"/>
        </w:rPr>
        <w:t>7.1</w:t>
      </w:r>
      <w:r>
        <w:rPr>
          <w:rFonts w:hint="eastAsia" w:ascii="仿宋" w:hAnsi="仿宋" w:eastAsia="仿宋" w:cs="仿宋"/>
          <w:bCs/>
          <w:sz w:val="28"/>
          <w:szCs w:val="28"/>
          <w:highlight w:val="none"/>
        </w:rPr>
        <w:t>协商</w:t>
      </w:r>
    </w:p>
    <w:p w14:paraId="671C7AEF">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方应本着诚信原则协商解决彼此间的争议。</w:t>
      </w:r>
    </w:p>
    <w:p w14:paraId="2A5C93CE">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7.2</w:t>
      </w:r>
      <w:r>
        <w:rPr>
          <w:rFonts w:hint="eastAsia" w:ascii="仿宋" w:hAnsi="仿宋" w:eastAsia="仿宋" w:cs="仿宋"/>
          <w:bCs/>
          <w:sz w:val="28"/>
          <w:szCs w:val="28"/>
          <w:highlight w:val="none"/>
        </w:rPr>
        <w:t>调解</w:t>
      </w:r>
    </w:p>
    <w:p w14:paraId="455E0A28">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如果</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方不能在14天内或</w:t>
      </w: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方商定的其他时间内解决本合同争议，可以将其提交给专用条件约定的或事后达成协议的调解人进行调解。</w:t>
      </w:r>
    </w:p>
    <w:p w14:paraId="33A02FA3">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7.3</w:t>
      </w:r>
      <w:r>
        <w:rPr>
          <w:rFonts w:hint="eastAsia" w:ascii="仿宋" w:hAnsi="仿宋" w:eastAsia="仿宋" w:cs="仿宋"/>
          <w:bCs/>
          <w:sz w:val="28"/>
          <w:szCs w:val="28"/>
          <w:highlight w:val="none"/>
        </w:rPr>
        <w:t>仲裁或诉讼</w:t>
      </w:r>
    </w:p>
    <w:p w14:paraId="34C91B7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各</w:t>
      </w:r>
      <w:r>
        <w:rPr>
          <w:rFonts w:hint="eastAsia" w:ascii="仿宋" w:hAnsi="仿宋" w:eastAsia="仿宋" w:cs="仿宋"/>
          <w:sz w:val="28"/>
          <w:szCs w:val="28"/>
          <w:highlight w:val="none"/>
        </w:rPr>
        <w:t>方均有权不经调解直接向专用条件约定的仲裁机构申请仲裁或向有管辖权的人民法院提起诉讼。</w:t>
      </w:r>
    </w:p>
    <w:p w14:paraId="5E9E8A4F">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8. 其他</w:t>
      </w:r>
    </w:p>
    <w:p w14:paraId="78A51F86">
      <w:pPr>
        <w:spacing w:line="360" w:lineRule="auto"/>
        <w:ind w:firstLine="548" w:firstLineChars="196"/>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8.1 </w:t>
      </w:r>
      <w:r>
        <w:rPr>
          <w:rFonts w:hint="eastAsia" w:ascii="仿宋" w:hAnsi="仿宋" w:eastAsia="仿宋" w:cs="仿宋"/>
          <w:bCs/>
          <w:sz w:val="28"/>
          <w:szCs w:val="28"/>
          <w:highlight w:val="none"/>
        </w:rPr>
        <w:t>外出考察费用</w:t>
      </w:r>
    </w:p>
    <w:p w14:paraId="7BB536D0">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经委托人同意，监理人员外出考察发生的费用由委托人审核后支付。</w:t>
      </w:r>
    </w:p>
    <w:p w14:paraId="3E94D191">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8.2 </w:t>
      </w:r>
      <w:r>
        <w:rPr>
          <w:rFonts w:hint="eastAsia" w:ascii="仿宋" w:hAnsi="仿宋" w:eastAsia="仿宋" w:cs="仿宋"/>
          <w:bCs/>
          <w:sz w:val="28"/>
          <w:szCs w:val="28"/>
          <w:highlight w:val="none"/>
        </w:rPr>
        <w:t>检测费用</w:t>
      </w:r>
    </w:p>
    <w:p w14:paraId="4D1A1984">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委托人要求监理人进行的材料和设备检测所发生的费用，由委托人支付，支付时间在专用条件中约定。</w:t>
      </w:r>
    </w:p>
    <w:p w14:paraId="5D6D2118">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8.3 </w:t>
      </w:r>
      <w:r>
        <w:rPr>
          <w:rFonts w:hint="eastAsia" w:ascii="仿宋" w:hAnsi="仿宋" w:eastAsia="仿宋" w:cs="仿宋"/>
          <w:bCs/>
          <w:sz w:val="28"/>
          <w:szCs w:val="28"/>
          <w:highlight w:val="none"/>
        </w:rPr>
        <w:t>咨询费用</w:t>
      </w:r>
    </w:p>
    <w:p w14:paraId="26D3D24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经委托人同意，根据工程需要由监理人组织的相关咨询论证会以及聘请相关专家等发生的费用由委托人支付，支付时间在专用条件中约定。</w:t>
      </w:r>
    </w:p>
    <w:p w14:paraId="19D3835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8.4 </w:t>
      </w:r>
      <w:r>
        <w:rPr>
          <w:rFonts w:hint="eastAsia" w:ascii="仿宋" w:hAnsi="仿宋" w:eastAsia="仿宋" w:cs="仿宋"/>
          <w:bCs/>
          <w:sz w:val="28"/>
          <w:szCs w:val="28"/>
          <w:highlight w:val="none"/>
        </w:rPr>
        <w:t>奖励</w:t>
      </w:r>
    </w:p>
    <w:p w14:paraId="4DDF7E9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监理人在服务过程中提出的合理化建议，使委托人获得经济效益的，</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在专用条件中约定奖励金额的确定方法。奖励金额在合理化建议被采纳后，与最近一期的正常工作酬金同期支付。</w:t>
      </w:r>
    </w:p>
    <w:p w14:paraId="17F0F88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8.5 </w:t>
      </w:r>
      <w:r>
        <w:rPr>
          <w:rFonts w:hint="eastAsia" w:ascii="仿宋" w:hAnsi="仿宋" w:eastAsia="仿宋" w:cs="仿宋"/>
          <w:bCs/>
          <w:sz w:val="28"/>
          <w:szCs w:val="28"/>
          <w:highlight w:val="none"/>
        </w:rPr>
        <w:t>守法诚信</w:t>
      </w:r>
    </w:p>
    <w:p w14:paraId="2C015BE6">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监理人及其工作人员不得从与实施工程有关的第三方处获得任何经济利益。</w:t>
      </w:r>
    </w:p>
    <w:p w14:paraId="53AA480D">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8.6 </w:t>
      </w:r>
      <w:r>
        <w:rPr>
          <w:rFonts w:hint="eastAsia" w:ascii="仿宋" w:hAnsi="仿宋" w:eastAsia="仿宋" w:cs="仿宋"/>
          <w:bCs/>
          <w:sz w:val="28"/>
          <w:szCs w:val="28"/>
          <w:highlight w:val="none"/>
        </w:rPr>
        <w:t>保密</w:t>
      </w:r>
    </w:p>
    <w:p w14:paraId="6CDDFBD9">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不得泄露对方申明的保密资料，亦不得泄露与实施工程有关的第三方所提供的保密资料，保密事项在专用条件中约定。</w:t>
      </w:r>
    </w:p>
    <w:p w14:paraId="36E9CDB9">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8.7 </w:t>
      </w:r>
      <w:r>
        <w:rPr>
          <w:rFonts w:hint="eastAsia" w:ascii="仿宋" w:hAnsi="仿宋" w:eastAsia="仿宋" w:cs="仿宋"/>
          <w:bCs/>
          <w:sz w:val="28"/>
          <w:szCs w:val="28"/>
          <w:highlight w:val="none"/>
        </w:rPr>
        <w:t>通知</w:t>
      </w:r>
    </w:p>
    <w:p w14:paraId="5DE9350A">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本合同涉及的通知均应当采用书面形式，并在送达对方时生效，收件人应书面签收。</w:t>
      </w:r>
    </w:p>
    <w:p w14:paraId="1B92AE8E">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 xml:space="preserve">8.8 </w:t>
      </w:r>
      <w:r>
        <w:rPr>
          <w:rFonts w:hint="eastAsia" w:ascii="仿宋" w:hAnsi="仿宋" w:eastAsia="仿宋" w:cs="仿宋"/>
          <w:bCs/>
          <w:sz w:val="28"/>
          <w:szCs w:val="28"/>
          <w:highlight w:val="none"/>
        </w:rPr>
        <w:t>著作权</w:t>
      </w:r>
    </w:p>
    <w:p w14:paraId="1943E11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监理人对其编制的文件拥有著作权。</w:t>
      </w:r>
    </w:p>
    <w:p w14:paraId="3CA35F0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bookmarkStart w:id="1" w:name="_Toc490490891"/>
    </w:p>
    <w:p w14:paraId="0262E769">
      <w:pPr>
        <w:spacing w:line="360"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28"/>
          <w:highlight w:val="none"/>
        </w:rPr>
        <w:t>第三部分  专用条件</w:t>
      </w:r>
      <w:bookmarkEnd w:id="1"/>
    </w:p>
    <w:p w14:paraId="099FECDD">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1. 定义与解释</w:t>
      </w:r>
    </w:p>
    <w:p w14:paraId="35469FB8">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1.2  解释</w:t>
      </w:r>
    </w:p>
    <w:p w14:paraId="4D6031A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1.2.1 本合同文件除使用中文外，还可用</w:t>
      </w:r>
      <w:r>
        <w:rPr>
          <w:rFonts w:hint="eastAsia" w:ascii="仿宋" w:hAnsi="仿宋" w:eastAsia="仿宋" w:cs="仿宋"/>
          <w:sz w:val="28"/>
          <w:szCs w:val="28"/>
          <w:highlight w:val="none"/>
          <w:u w:val="single"/>
        </w:rPr>
        <w:t xml:space="preserve">     /    </w:t>
      </w:r>
    </w:p>
    <w:p w14:paraId="75CC9B5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1.2.2 约定本合同文件的解释顺序为：</w:t>
      </w:r>
      <w:r>
        <w:rPr>
          <w:rFonts w:hint="eastAsia" w:ascii="仿宋" w:hAnsi="仿宋" w:eastAsia="仿宋" w:cs="仿宋"/>
          <w:sz w:val="28"/>
          <w:szCs w:val="28"/>
          <w:highlight w:val="none"/>
          <w:u w:val="single"/>
        </w:rPr>
        <w:t xml:space="preserve">    执行通用条款。     </w:t>
      </w:r>
    </w:p>
    <w:p w14:paraId="2AB11C04">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sz w:val="28"/>
          <w:szCs w:val="28"/>
          <w:highlight w:val="none"/>
        </w:rPr>
        <w:t>2. 监理人义务</w:t>
      </w:r>
    </w:p>
    <w:p w14:paraId="69D868D2">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2.1 监理的范围和</w:t>
      </w:r>
      <w:r>
        <w:rPr>
          <w:rFonts w:hint="eastAsia" w:ascii="仿宋" w:hAnsi="仿宋" w:eastAsia="仿宋" w:cs="仿宋"/>
          <w:bCs/>
          <w:sz w:val="28"/>
          <w:szCs w:val="28"/>
          <w:highlight w:val="none"/>
        </w:rPr>
        <w:t>内容</w:t>
      </w:r>
    </w:p>
    <w:p w14:paraId="1182EE68">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2.1.1 监理范围包括：</w:t>
      </w:r>
      <w:r>
        <w:rPr>
          <w:rFonts w:hint="eastAsia" w:ascii="仿宋" w:hAnsi="仿宋" w:eastAsia="仿宋" w:cs="仿宋"/>
          <w:sz w:val="28"/>
          <w:szCs w:val="28"/>
          <w:highlight w:val="none"/>
          <w:u w:val="single"/>
          <w:lang w:val="en-US" w:eastAsia="zh-CN"/>
        </w:rPr>
        <w:t>曲江新区五典坡安置小区（城中村改造）外配套基础设施工程监理</w:t>
      </w:r>
      <w:r>
        <w:rPr>
          <w:rFonts w:hint="eastAsia" w:ascii="仿宋" w:hAnsi="仿宋" w:eastAsia="仿宋" w:cs="仿宋"/>
          <w:sz w:val="28"/>
          <w:szCs w:val="28"/>
          <w:highlight w:val="none"/>
          <w:u w:val="single"/>
        </w:rPr>
        <w:t>招标范围包括施工图纸范围内全方位、全过程施工阶段及保修阶段的监理工作与相关服务。</w:t>
      </w:r>
    </w:p>
    <w:p w14:paraId="5CE6A0AF">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2.1.2 监理工作内容还包括：</w:t>
      </w:r>
      <w:r>
        <w:rPr>
          <w:rFonts w:hint="eastAsia" w:ascii="仿宋" w:hAnsi="仿宋" w:eastAsia="仿宋" w:cs="仿宋"/>
          <w:sz w:val="28"/>
          <w:szCs w:val="28"/>
          <w:highlight w:val="none"/>
          <w:u w:val="single"/>
        </w:rPr>
        <w:t>负责监理范围内工程的施工方案、施工组织设计的审核、质量控制、投资控制、进度控制、安全文明生产控制、合同管理、信息管理以及与有关设计人、承包人及设备材料供应商等其它第三方的协调工作。具体工作如下：</w:t>
      </w:r>
    </w:p>
    <w:p w14:paraId="7318879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2.1.2.1 施工阶段</w:t>
      </w:r>
    </w:p>
    <w:p w14:paraId="31AED24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1、督促承包人按陕西省安全文明工地标准及〈建筑施工现场环境与卫生标准〉组织施工。如承包人未按上述有关规定采取防治措施，或采取的措施不符合要求，监理人应督促其整改。</w:t>
      </w:r>
    </w:p>
    <w:p w14:paraId="40B5F34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2、定期对施工合同的执行情况进行跟踪管理和检查（如遇特殊情况、紧急情况应在第一时间内上报委托人），并以书面形式报送委托人。</w:t>
      </w:r>
    </w:p>
    <w:p w14:paraId="7AD4C13E">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3、当发生各项索赔事件时，应提供发生索赔事件的真实记录，并协助委托人处理合同纠纷。</w:t>
      </w:r>
    </w:p>
    <w:p w14:paraId="07E99D17">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承包商提交工程结算资料时，应根据合同要求和工程情况进行仔细审核，确保结算资料详实完整，并向委托人进行书面确认。工程竣工结算时，监理人应督促施工单位在规定时间内编制竣工结算，并在接到竣工结算资料（含完整的竣工资料）后的三十个工作日内完成结算的初审工作。终审结束后督促各施工单位按审核单位的审定结论向委托人开具结算发票，办理工程的财务决算手续。在工程竣工验收后的三个月内将该工程的竣工档案完整的移交委托人。</w:t>
      </w:r>
    </w:p>
    <w:p w14:paraId="081810B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5、负责审查核定施工过程中承包商申报的月工程量（或节点工作完成情况）并在规定时间内申报委托人。</w:t>
      </w:r>
    </w:p>
    <w:p w14:paraId="65F7841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6、审查工程范围内的洽商签证、设计变更及施工过程中的施工图外发生的设计变更、洽商及各种签证，并对其真实性与时效性负责。</w:t>
      </w:r>
    </w:p>
    <w:p w14:paraId="746B8B1A">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7、根据合同要求，结合监理情况，审查承包商申报的结算文件，确认承包商提交结算文件是否完整详实符合合同约定，并在委托人规定时间内向委托人提交审查报告。</w:t>
      </w:r>
    </w:p>
    <w:p w14:paraId="2822D34A">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8、根据施工总进度计划，在委托人规定时间内审核承包商提交的年、季、月、周进度计划并监督、控制其执行，必要时对上述计划提出调整建议和必要的指示，未经委托人同意不得更改进度计划、质量标准、管理要求等，以确保委托人要求得到落实。</w:t>
      </w:r>
    </w:p>
    <w:p w14:paraId="40D7E7C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9、对承包商报送的工、料、机动态月报进行分析，找出影响进度原因，提出纠正措施和指令。</w:t>
      </w:r>
    </w:p>
    <w:p w14:paraId="2A58625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10、在委托人规定时间内审核委托人、承包商的材料、设备采购计划，提出有关建议和补救措施，并发布有关指令。</w:t>
      </w:r>
    </w:p>
    <w:p w14:paraId="7569C5F4">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11、在委托人规定时间内及时分析进度障碍，调整总控制进度计划，上报委托人，并提出补救措施，发布相应指令。</w:t>
      </w:r>
    </w:p>
    <w:p w14:paraId="7F22DAF1">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12、在委托人规定时间内审核施工图并提供修改意见，组织图纸会审和设计交底工作。</w:t>
      </w:r>
    </w:p>
    <w:p w14:paraId="262F954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13、审查承包商提供的施工组织设计、施工技术方案并监督实施。</w:t>
      </w:r>
    </w:p>
    <w:p w14:paraId="39463A5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14、对委托人、承包商选定的材料、构配件及设备的质量进行确认和验收，对影响工程使用功能、观感的材料、设备进行重点质量控制，重点核查承包商进场材料、构配件及设备有无违反投标承诺。</w:t>
      </w:r>
    </w:p>
    <w:p w14:paraId="0F8AC2F3">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15、负责对进场材料、设备及时验收，材料、设备使用前按有关规定的要求进行有见证取样。及时向委托人呈报影响工程质量的材料、设备。按照有关规定进行全过程的旁站监督。</w:t>
      </w:r>
    </w:p>
    <w:p w14:paraId="0101D410">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16、督促承包商建立健全质量保证体系，完善施工技术管理制度和落实质量保证措施。</w:t>
      </w:r>
    </w:p>
    <w:p w14:paraId="60F66763">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17、检查工程质量，对违反设计文件、规范、规程的承包商，责令立即改正，必要时签发工程暂停指令。向违规的承包商签发监理通知后，尚应监督相应整改措施的执行，直至整改完毕。</w:t>
      </w:r>
    </w:p>
    <w:p w14:paraId="5D9811C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18、在施工现场配备足够监理工程师，对于工程的关键部位、关键工序、隐蔽工程、中间验收等，不能脱岗，进行全过程现场跟班，旁站监理，并随叫随到，做到与施工同期工作。</w:t>
      </w:r>
    </w:p>
    <w:p w14:paraId="79063A03">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19、做好施工过程的监理工作，对各阶段、各重点部位施工中存在的影响质量的关键问题，应主动组织各施工单位认真分析，找出解决并监督施工方落实实施，并做好实施效果的复查工作，确保工程质量；认真检查、签认各项隐蔽工程，做好建筑安装工程的分部、分项工程及部位、工序的质量验收工作，未经签认不得进行下道工序。</w:t>
      </w:r>
    </w:p>
    <w:p w14:paraId="44D7919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20、负责工程质量事故处理，进行事故原因、责任分析，提出事故处理方法，向委托人提供专项报告并督促检查事故处理方案实施。</w:t>
      </w:r>
    </w:p>
    <w:p w14:paraId="07785E8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21、督促承包商向监督部门申报审核工程的地基与基础、主体结构及装修样板质量。组织验槽、桩基验收、基础验收、主体验收等验收工作。</w:t>
      </w:r>
    </w:p>
    <w:p w14:paraId="1EFB3AE9">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22、承包商要求变更设计应事先征得监理人同意，并报委托人确认，由委托人向设计单位提出，在设计单位修改设计，经监理和委托人审核批准后，由监理人向承包商下达设计变更通知。设计单位修改设计方案，由委托人审核，经委托人批准后，通过监理人向承包商下达设计变更。</w:t>
      </w:r>
    </w:p>
    <w:p w14:paraId="5D4DACD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23、由委托人提出使用的新材料、新工艺、新产品、新技术的项目，监理人负责提供技术服务。凡由承包商使用的新材料、新工艺、新产品、新技术的项目，应经监理人认可，报委托人批准，并要求承包商提供产品鉴定说明、产品质量标准、使用说明和工艺要求，监理人按质量标准进行验收。</w:t>
      </w:r>
    </w:p>
    <w:p w14:paraId="312E482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24、检查承包商的工程技术资料，监督承包商对工程技术资料进行收集、整理、归档，达到西安市房建档案管理的规定，并按委托人要求的期限，完成资料上报审核工作。</w:t>
      </w:r>
    </w:p>
    <w:p w14:paraId="5AB5C727">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25、负责组织有关单位进行工程分户预验收及验收、竣工验收，按照委托人要求提交相关预验收报告。</w:t>
      </w:r>
    </w:p>
    <w:p w14:paraId="1AE0AFC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26、负责与质量监督部门联系对工程质量进行核定，并按委托人要求组织工程移交。</w:t>
      </w:r>
    </w:p>
    <w:p w14:paraId="6D1D9382">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27、监理资料应在工程竣工验收后一个月内，将完整的成册档案（含电子版本）一式 四 份移交委托人。</w:t>
      </w:r>
    </w:p>
    <w:p w14:paraId="49F70BDE">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28、监督工程全过程的施工安全，加强防火安全教育，督促施工单位建立施工管理制度和质量安全文明施工体系的建立、健全与实施，发现任何安全隐患及时通告承包商，并督促整改方案的实施。</w:t>
      </w:r>
    </w:p>
    <w:p w14:paraId="1DF896A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29、监督施工现场的文明施工状况，发现任何不文明施工的行为或情况及时通告承包商，并督促其整改。</w:t>
      </w:r>
    </w:p>
    <w:p w14:paraId="26B7371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30、监理人员施工现场的人身安全问题由监理人自行负责；出现任何事故问题与委托人无关。监理人自行承担安全责任。</w:t>
      </w:r>
    </w:p>
    <w:p w14:paraId="6B2530EE">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31、监理人在工程监理实施过程中所留存的所有监理资料及有关文件、函件均应在一周内报送委托人原件叁份。</w:t>
      </w:r>
    </w:p>
    <w:p w14:paraId="4557CE98">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32、监理人在工程监理实施过程中应有切实、可操作的监理细则、旁站监理人案和安全监理责任制。严格执行巡视和安全监理制度，建立严格的现场验收和签证制度，把好签证审核确认关，保证工程合同的有效执行。</w:t>
      </w:r>
    </w:p>
    <w:p w14:paraId="743D1D41">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33、监理人应认真审查承包商是否与投标承诺相一致，督促项目经理和技术负责人认真履行职责，并建立施工项目管理机构主要人员到位履行职责的记录制度，及时将其主要人员违规变更情况、不到位情况和不认真履行职责情况书面报告委托人及相关主管部门。</w:t>
      </w:r>
    </w:p>
    <w:p w14:paraId="53F2104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34、监理人应配备与本工程相关的常用检测仪器（如全站仪、混凝土强度回弹仪、红外线钢筋砼保护层厚度检测仪、漏电电流测试仪、接地电阻测试仪、绝缘电阻测试仪等）和应有先进的信息数字处理系统（如数码相机、计算机、打印机、扫描仪等），以确保监理工作的的质量。</w:t>
      </w:r>
    </w:p>
    <w:p w14:paraId="7FC12EC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35、监理人应对重要部位、重要工序加强跟踪，对较易出现的质量通病（如屋面漏水、外墙渗水、楼板裂缝、地基下沉等）要做到事前预测、事中控制、事后检查，并有相关的预防措施以确保工程质量。如出现严重工程质量问题，监理人按照国家建筑工程质量管理条例的有关规定承担相应责任。</w:t>
      </w:r>
    </w:p>
    <w:p w14:paraId="3F427EEA">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36、监理人应当保证每日制作监理日志，监理日志至少应当包括以下内容：</w:t>
      </w:r>
    </w:p>
    <w:p w14:paraId="6F33BF4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（1）当日日期、气象情况记录；</w:t>
      </w:r>
    </w:p>
    <w:p w14:paraId="1C7A4BF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（2）现场施工的环境情况记录，至少包括场地、空间、交通运输、照明、水、电等情况，停水、停电等事件的原因、责任方以及造成当日损失工作时间、费用等内容。</w:t>
      </w:r>
    </w:p>
    <w:p w14:paraId="7804835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（3）工地材料、设备进场及检验情况，至少应当记录材料品种、规格型号、数量、生产厂家、检验审核结果等内容。</w:t>
      </w:r>
    </w:p>
    <w:p w14:paraId="0FA4E13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（4）当日工程质量情况记录，包括施工质量及工程质量存在的问题、产生原因及限期整改的时间、方案、复验时间等内容。</w:t>
      </w:r>
    </w:p>
    <w:p w14:paraId="3114685A">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（5）当日试验情况记录；</w:t>
      </w:r>
    </w:p>
    <w:p w14:paraId="02BB7540">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（6）当日施工进度概述；</w:t>
      </w:r>
    </w:p>
    <w:p w14:paraId="600334B4">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（7）信息反馈情况，至少应包括当日收到的设计变更、合理化建议、重要文件等，并核实变化的工程数量。</w:t>
      </w:r>
    </w:p>
    <w:p w14:paraId="022D9D2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（8）当日有关协调问题记录；</w:t>
      </w:r>
    </w:p>
    <w:p w14:paraId="54477FA0">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（9）对施工单位资质及特殊工种上岗人员证书的审核结果记录。</w:t>
      </w:r>
    </w:p>
    <w:p w14:paraId="0233A12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（10）其他需要记录的情况。</w:t>
      </w:r>
    </w:p>
    <w:p w14:paraId="6577E05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对于各种事件（包括但不限于：质量、安全等），必须记明其前因及处理结果等内容。</w:t>
      </w:r>
    </w:p>
    <w:p w14:paraId="36323BB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37、监理质量目标：本工程监理质量目标至少要达到《中华人民共和国国家标准GB50300-2013》规定的合格标准。</w:t>
      </w:r>
    </w:p>
    <w:p w14:paraId="7F662AFE">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38、监理人应保证每周召开一次以上的监理例会，并负责整理会议纪要24小时报送委托人。</w:t>
      </w:r>
    </w:p>
    <w:p w14:paraId="1B3159A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39、监理人应在每月10日前将上月监理月报报送委托人。</w:t>
      </w:r>
    </w:p>
    <w:p w14:paraId="087E2EDF">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40、监理人应编制各专业工程监理实施细则，并在相应工程开始施工前15日报送委托人。</w:t>
      </w:r>
    </w:p>
    <w:p w14:paraId="4ACDCF27">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41、监理人监督和检查承包商工程实体实测实量、样板引路、界面移交等委托人要求的一系列质量管理动作。</w:t>
      </w:r>
    </w:p>
    <w:p w14:paraId="65E0010D">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2.1.2.2 工程保修阶段：</w:t>
      </w:r>
    </w:p>
    <w:p w14:paraId="0F3AB475">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1、保修期同施工合同。</w:t>
      </w:r>
    </w:p>
    <w:p w14:paraId="6879D82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2、协助委托人签订本项目的保修合同及保修终止合同。</w:t>
      </w:r>
    </w:p>
    <w:p w14:paraId="38535D87">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3、委托人在保修期内房屋使用过程中发现问题后，将通知监理人的有关人员，监理工程师必须在收到通知后6小时内到现场负责解决问题。</w:t>
      </w:r>
    </w:p>
    <w:p w14:paraId="7008C53A">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4、监理工程师有责任在保修期内通知承包商及时到现场维修，鉴定是否存在质量问题，如存在问题提出维修措施，经委托人同意后，被委托人有权请第三方进行维修，并审核维修费用，报委托人批准。</w:t>
      </w:r>
    </w:p>
    <w:p w14:paraId="541841C6">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5、监理人应对每一维修项目建立详细的维修档案。</w:t>
      </w:r>
    </w:p>
    <w:p w14:paraId="35E7B108">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6、监理人负责保修期内工程保修结算及保修期内发生的雇请第三方维修费用的认可及责任方的确认。</w:t>
      </w:r>
    </w:p>
    <w:p w14:paraId="05705763">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7、对于使用单位提出的质量问题缺陷，经委托人同意后，监理人有责任组织权威机构进行鉴定，并将鉴定结果报委托人。</w:t>
      </w:r>
    </w:p>
    <w:p w14:paraId="5C69DFA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8、监理人在保修期限结束后，须提供保修工作总结及质量问题分析。</w:t>
      </w:r>
    </w:p>
    <w:p w14:paraId="57DC9BEB">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9、驻场期后的保修期内需定期回访。</w:t>
      </w:r>
    </w:p>
    <w:p w14:paraId="0C0DB625">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2.1.2.3 监理人应根据委托人工作需要，有义务协调本工程建设有关的外部关系。</w:t>
      </w:r>
    </w:p>
    <w:p w14:paraId="6FB494D1">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2.2 监理与相关服务依据</w:t>
      </w:r>
    </w:p>
    <w:p w14:paraId="6C177205">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2.2.1 监理依据包括：</w:t>
      </w:r>
    </w:p>
    <w:p w14:paraId="7776FDAA">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1、国家和地方有关工程建设监理的法律、法规及规范；</w:t>
      </w:r>
    </w:p>
    <w:p w14:paraId="4A564911">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2、工程技术标准，施工验收规范；</w:t>
      </w:r>
    </w:p>
    <w:p w14:paraId="16403E46">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3、经批准的该项目建设的有关文件、可行性研究报告、初步设计文件及其它有关文件；</w:t>
      </w:r>
    </w:p>
    <w:p w14:paraId="3B160D51">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4、所监理工程的设计图纸、有关文件、设计变更及会议纪要；</w:t>
      </w:r>
    </w:p>
    <w:p w14:paraId="08BA24F6">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5、经委托人审批同意的本工程监理规划；</w:t>
      </w:r>
    </w:p>
    <w:p w14:paraId="03303B49">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6、工程监理合同；</w:t>
      </w:r>
    </w:p>
    <w:p w14:paraId="5623F8AA">
      <w:pPr>
        <w:spacing w:line="360" w:lineRule="auto"/>
        <w:ind w:firstLine="840" w:firstLineChars="300"/>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7、委托人依法与承包人、材料供应商等单位签订的合同或协议等；</w:t>
      </w:r>
    </w:p>
    <w:p w14:paraId="7B9761FB">
      <w:pPr>
        <w:spacing w:line="360" w:lineRule="auto"/>
        <w:ind w:firstLine="840" w:firstLineChars="300"/>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8、其它相关法律、法规及规定。</w:t>
      </w:r>
    </w:p>
    <w:p w14:paraId="2EA99504">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2.2.2 相关服务依据包括：</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w:t>
      </w:r>
    </w:p>
    <w:p w14:paraId="030ED7C6">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2.3项目监理机构和人员</w:t>
      </w:r>
    </w:p>
    <w:p w14:paraId="7798A359">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2.3.4 更换监理人员的其他情形： </w:t>
      </w:r>
      <w:r>
        <w:rPr>
          <w:rFonts w:hint="eastAsia" w:ascii="仿宋" w:hAnsi="仿宋" w:eastAsia="仿宋" w:cs="仿宋"/>
          <w:sz w:val="28"/>
          <w:szCs w:val="28"/>
          <w:highlight w:val="none"/>
          <w:u w:val="single"/>
        </w:rPr>
        <w:t>监理人应按投标文件中监理人员配置组建监理机构，不得随意更换总监理工程师，否则，委托人有权终止监理合同</w:t>
      </w:r>
      <w:r>
        <w:rPr>
          <w:rFonts w:hint="eastAsia" w:ascii="仿宋" w:hAnsi="仿宋" w:eastAsia="仿宋" w:cs="仿宋"/>
          <w:sz w:val="28"/>
          <w:szCs w:val="28"/>
          <w:highlight w:val="none"/>
        </w:rPr>
        <w:t>。</w:t>
      </w:r>
    </w:p>
    <w:p w14:paraId="6FE8E67E">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2.3.5监理合同签订后，本项目总监及造价工程师必须驻场服务，提供设计、招标、造价、设备选型等相关资讯服务并不得随意更换。在合同签订后3日内，需向甲方提供总监理工程师签字样表。</w:t>
      </w:r>
    </w:p>
    <w:p w14:paraId="26009A6C">
      <w:pPr>
        <w:spacing w:line="360" w:lineRule="auto"/>
        <w:ind w:firstLine="551" w:firstLineChars="197"/>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 xml:space="preserve">2.3.6 监理人的总监理工程师为：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w:t>
      </w:r>
    </w:p>
    <w:p w14:paraId="1CAD5302">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2.3.7 监理人的造价工程师为：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7A212882">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2.4 履行职责</w:t>
      </w:r>
    </w:p>
    <w:p w14:paraId="32D836D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2.4.3 对监理人的授权范围：</w:t>
      </w:r>
      <w:r>
        <w:rPr>
          <w:rFonts w:hint="eastAsia" w:ascii="仿宋" w:hAnsi="仿宋" w:eastAsia="仿宋" w:cs="仿宋"/>
          <w:sz w:val="28"/>
          <w:szCs w:val="28"/>
          <w:highlight w:val="none"/>
          <w:u w:val="single"/>
        </w:rPr>
        <w:t>建筑工程对监理人的授权范围包括“三控、三管、一协调”。三控指投资控制、质量控制、进度控制；两管指合同管理、信息管理、安全管理，一协调指项目内部关系协调。</w:t>
      </w:r>
      <w:r>
        <w:rPr>
          <w:rFonts w:hint="eastAsia" w:ascii="仿宋" w:hAnsi="仿宋" w:eastAsia="仿宋" w:cs="仿宋"/>
          <w:sz w:val="28"/>
          <w:szCs w:val="28"/>
          <w:highlight w:val="none"/>
          <w:u w:val="single"/>
        </w:rPr>
        <w:br w:type="textWrapping"/>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026531C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在涉及工程延期</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天内和（或）金额</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万元内的变更，监理人不需请示委托人即可向承包人发布变更通知。</w:t>
      </w:r>
    </w:p>
    <w:p w14:paraId="1F1F04D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2.4.4 监理人有权要求承包人调换其人员的限制条件：</w:t>
      </w:r>
      <w:r>
        <w:rPr>
          <w:rFonts w:hint="eastAsia" w:ascii="仿宋" w:hAnsi="仿宋" w:eastAsia="仿宋" w:cs="仿宋"/>
          <w:sz w:val="28"/>
          <w:szCs w:val="28"/>
          <w:highlight w:val="none"/>
          <w:u w:val="single"/>
        </w:rPr>
        <w:t xml:space="preserve"> 须经委托人书面同意 </w:t>
      </w:r>
      <w:r>
        <w:rPr>
          <w:rFonts w:hint="eastAsia" w:ascii="仿宋" w:hAnsi="仿宋" w:eastAsia="仿宋" w:cs="仿宋"/>
          <w:sz w:val="28"/>
          <w:szCs w:val="28"/>
          <w:highlight w:val="none"/>
        </w:rPr>
        <w:t xml:space="preserve"> 。</w:t>
      </w:r>
    </w:p>
    <w:p w14:paraId="30053DC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2.5 提交报告</w:t>
      </w:r>
    </w:p>
    <w:p w14:paraId="5CCBEC12">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监理人应提交报告的种类(包括监理规划、监理月报及约定的专项报告)、时间和份数：</w:t>
      </w:r>
    </w:p>
    <w:p w14:paraId="2F532249">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监理规划：合同签订后  7  日内，提交 4 份；</w:t>
      </w:r>
    </w:p>
    <w:p w14:paraId="086FD6EE">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监理实施细则：实施施工组织审批后 7 日内，提交  4  份；</w:t>
      </w:r>
    </w:p>
    <w:p w14:paraId="45022565">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监理周报：施工周最后一个工作日，提交  6  份；</w:t>
      </w:r>
    </w:p>
    <w:p w14:paraId="48551977">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监理月报：施工月最后一个工作日，提交  6   份；</w:t>
      </w:r>
    </w:p>
    <w:p w14:paraId="056AD2D2">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监理会议纪要：会议结束后第二个工作日，提交  4   份；</w:t>
      </w:r>
    </w:p>
    <w:p w14:paraId="124C2C93">
      <w:pPr>
        <w:spacing w:line="360" w:lineRule="auto"/>
        <w:ind w:firstLine="525"/>
        <w:rPr>
          <w:rFonts w:hint="eastAsia" w:ascii="仿宋" w:hAnsi="仿宋" w:eastAsia="仿宋" w:cs="仿宋"/>
          <w:sz w:val="28"/>
          <w:szCs w:val="28"/>
          <w:highlight w:val="none"/>
          <w:u w:val="single"/>
        </w:rPr>
      </w:pPr>
      <w:r>
        <w:rPr>
          <w:rFonts w:hint="eastAsia" w:ascii="仿宋" w:hAnsi="仿宋" w:eastAsia="仿宋" w:cs="仿宋"/>
          <w:sz w:val="28"/>
          <w:szCs w:val="28"/>
          <w:highlight w:val="none"/>
          <w:u w:val="single"/>
        </w:rPr>
        <w:t>动态成本台帐：施工月5日前，提交  4   份；</w:t>
      </w:r>
    </w:p>
    <w:p w14:paraId="1B337824">
      <w:pPr>
        <w:spacing w:line="360" w:lineRule="auto"/>
        <w:ind w:firstLine="525"/>
        <w:rPr>
          <w:rFonts w:hint="eastAsia" w:ascii="仿宋" w:hAnsi="仿宋" w:eastAsia="仿宋" w:cs="仿宋"/>
          <w:sz w:val="28"/>
          <w:szCs w:val="28"/>
          <w:highlight w:val="none"/>
        </w:rPr>
      </w:pPr>
      <w:r>
        <w:rPr>
          <w:rFonts w:hint="eastAsia" w:ascii="仿宋" w:hAnsi="仿宋" w:eastAsia="仿宋" w:cs="仿宋"/>
          <w:sz w:val="28"/>
          <w:szCs w:val="28"/>
          <w:highlight w:val="none"/>
          <w:u w:val="single"/>
        </w:rPr>
        <w:t>其余各项报告种类、时间和份数由</w:t>
      </w:r>
      <w:r>
        <w:rPr>
          <w:rFonts w:hint="eastAsia" w:ascii="仿宋" w:hAnsi="仿宋" w:eastAsia="仿宋" w:cs="仿宋"/>
          <w:sz w:val="28"/>
          <w:szCs w:val="28"/>
          <w:highlight w:val="none"/>
          <w:u w:val="single"/>
          <w:lang w:eastAsia="zh-CN"/>
        </w:rPr>
        <w:t>各方</w:t>
      </w:r>
      <w:r>
        <w:rPr>
          <w:rFonts w:hint="eastAsia" w:ascii="仿宋" w:hAnsi="仿宋" w:eastAsia="仿宋" w:cs="仿宋"/>
          <w:sz w:val="28"/>
          <w:szCs w:val="28"/>
          <w:highlight w:val="none"/>
          <w:u w:val="single"/>
        </w:rPr>
        <w:t>于本合同签订后  15  日内议定。</w:t>
      </w:r>
    </w:p>
    <w:p w14:paraId="6233D116">
      <w:pPr>
        <w:spacing w:line="360" w:lineRule="auto"/>
        <w:ind w:firstLine="42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2.7 使用委托人的财产:</w:t>
      </w:r>
      <w:r>
        <w:rPr>
          <w:rFonts w:hint="eastAsia" w:ascii="仿宋" w:hAnsi="仿宋" w:eastAsia="仿宋" w:cs="仿宋"/>
          <w:sz w:val="28"/>
          <w:szCs w:val="28"/>
          <w:highlight w:val="none"/>
          <w:u w:val="single"/>
        </w:rPr>
        <w:t>委托人提供现场办公室给监理机构（现场办公室无法提供时，由监理人自行考虑办公场地），其它办公设备及物品由监理人自备。</w:t>
      </w:r>
    </w:p>
    <w:p w14:paraId="611E63DB">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3. 委托人义务  </w:t>
      </w:r>
    </w:p>
    <w:p w14:paraId="3F7C2673">
      <w:pPr>
        <w:spacing w:line="360" w:lineRule="auto"/>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3.4 委托人代表</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14:paraId="6C9E1174">
      <w:pPr>
        <w:spacing w:line="360" w:lineRule="auto"/>
        <w:ind w:firstLine="691" w:firstLineChars="247"/>
        <w:rPr>
          <w:rFonts w:hint="eastAsia" w:ascii="仿宋" w:hAnsi="仿宋" w:eastAsia="仿宋" w:cs="仿宋"/>
          <w:sz w:val="28"/>
          <w:szCs w:val="28"/>
          <w:highlight w:val="none"/>
        </w:rPr>
      </w:pPr>
      <w:r>
        <w:rPr>
          <w:rFonts w:hint="eastAsia" w:ascii="仿宋" w:hAnsi="仿宋" w:eastAsia="仿宋" w:cs="仿宋"/>
          <w:sz w:val="28"/>
          <w:szCs w:val="28"/>
          <w:highlight w:val="none"/>
        </w:rPr>
        <w:t>3.6 答复</w:t>
      </w:r>
    </w:p>
    <w:p w14:paraId="29C4E39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委托人同意在</w:t>
      </w:r>
      <w:r>
        <w:rPr>
          <w:rFonts w:hint="eastAsia" w:ascii="仿宋" w:hAnsi="仿宋" w:eastAsia="仿宋" w:cs="仿宋"/>
          <w:sz w:val="28"/>
          <w:szCs w:val="28"/>
          <w:highlight w:val="none"/>
          <w:u w:val="single"/>
        </w:rPr>
        <w:t xml:space="preserve">  2  </w:t>
      </w:r>
      <w:r>
        <w:rPr>
          <w:rFonts w:hint="eastAsia" w:ascii="仿宋" w:hAnsi="仿宋" w:eastAsia="仿宋" w:cs="仿宋"/>
          <w:sz w:val="28"/>
          <w:szCs w:val="28"/>
          <w:highlight w:val="none"/>
        </w:rPr>
        <w:t>天内，对监理人书面提交并要求做出决定的事宜给予书面答复。</w:t>
      </w:r>
    </w:p>
    <w:p w14:paraId="7D05C1BA">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4. 违约责任</w:t>
      </w:r>
    </w:p>
    <w:p w14:paraId="39F3464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4.1 监理人的违约责任</w:t>
      </w:r>
    </w:p>
    <w:p w14:paraId="40718A85">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4.1.1监理人赔偿金额按下列方法确定：</w:t>
      </w:r>
    </w:p>
    <w:p w14:paraId="11B9FC5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赔偿金＝直接经济损失×正常工作酬金÷工程概算投资额（或建筑安装工程费）</w:t>
      </w:r>
    </w:p>
    <w:p w14:paraId="113C98F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 委托人的违约责任</w:t>
      </w:r>
    </w:p>
    <w:p w14:paraId="1BC7ECC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4.2.1  委托人不支付逾期付款利息</w:t>
      </w:r>
    </w:p>
    <w:p w14:paraId="352A0D01">
      <w:pPr>
        <w:spacing w:line="360" w:lineRule="auto"/>
        <w:ind w:firstLine="551" w:firstLineChars="196"/>
        <w:rPr>
          <w:rFonts w:hint="eastAsia" w:ascii="仿宋" w:hAnsi="仿宋" w:eastAsia="仿宋" w:cs="仿宋"/>
          <w:b/>
          <w:sz w:val="28"/>
          <w:szCs w:val="28"/>
          <w:highlight w:val="none"/>
        </w:rPr>
      </w:pPr>
      <w:r>
        <w:rPr>
          <w:rFonts w:hint="eastAsia" w:ascii="仿宋" w:hAnsi="仿宋" w:eastAsia="仿宋" w:cs="仿宋"/>
          <w:b/>
          <w:bCs/>
          <w:sz w:val="28"/>
          <w:szCs w:val="28"/>
          <w:highlight w:val="none"/>
        </w:rPr>
        <w:t>5. 支付</w:t>
      </w:r>
    </w:p>
    <w:p w14:paraId="5DA42A20">
      <w:pPr>
        <w:spacing w:line="360" w:lineRule="auto"/>
        <w:ind w:firstLine="548" w:firstLineChars="196"/>
        <w:rPr>
          <w:rFonts w:hint="eastAsia" w:ascii="仿宋" w:hAnsi="仿宋" w:eastAsia="仿宋" w:cs="仿宋"/>
          <w:b/>
          <w:sz w:val="28"/>
          <w:szCs w:val="28"/>
          <w:highlight w:val="none"/>
        </w:rPr>
      </w:pPr>
      <w:r>
        <w:rPr>
          <w:rFonts w:hint="eastAsia" w:ascii="仿宋" w:hAnsi="仿宋" w:eastAsia="仿宋" w:cs="仿宋"/>
          <w:sz w:val="28"/>
          <w:szCs w:val="28"/>
          <w:highlight w:val="none"/>
        </w:rPr>
        <w:t xml:space="preserve">5.1 </w:t>
      </w:r>
      <w:r>
        <w:rPr>
          <w:rFonts w:hint="eastAsia" w:ascii="仿宋" w:hAnsi="仿宋" w:eastAsia="仿宋" w:cs="仿宋"/>
          <w:bCs/>
          <w:sz w:val="28"/>
          <w:szCs w:val="28"/>
          <w:highlight w:val="none"/>
        </w:rPr>
        <w:t>支付货币</w:t>
      </w:r>
    </w:p>
    <w:p w14:paraId="5FC5B10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币种为：</w:t>
      </w:r>
      <w:r>
        <w:rPr>
          <w:rFonts w:hint="eastAsia" w:ascii="仿宋" w:hAnsi="仿宋" w:eastAsia="仿宋" w:cs="仿宋"/>
          <w:sz w:val="28"/>
          <w:szCs w:val="28"/>
          <w:highlight w:val="none"/>
          <w:u w:val="single"/>
        </w:rPr>
        <w:t xml:space="preserve">    人民币   </w:t>
      </w:r>
      <w:r>
        <w:rPr>
          <w:rFonts w:hint="eastAsia" w:ascii="仿宋" w:hAnsi="仿宋" w:eastAsia="仿宋" w:cs="仿宋"/>
          <w:sz w:val="28"/>
          <w:szCs w:val="28"/>
          <w:highlight w:val="none"/>
        </w:rPr>
        <w:t>，比例为：</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，汇率为：</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 xml:space="preserve">。 </w:t>
      </w:r>
    </w:p>
    <w:p w14:paraId="0E591D2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5.3 支付酬金</w:t>
      </w:r>
    </w:p>
    <w:p w14:paraId="5C76526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5.3.1、监理服务费计取方式：</w:t>
      </w:r>
    </w:p>
    <w:p w14:paraId="08C8197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监理报酬＝监理范围内的工程结算额×合同监理费率，成品家具、设备和绿网覆盖不计取监理费。监理费率</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含税包干。</w:t>
      </w:r>
    </w:p>
    <w:p w14:paraId="2E8073D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5.3.2、监理服务费支付方式：</w:t>
      </w:r>
    </w:p>
    <w:p w14:paraId="752AE82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（1）预付款：本工程无预付款。</w:t>
      </w:r>
    </w:p>
    <w:p w14:paraId="6D5600CD">
      <w:pPr>
        <w:spacing w:line="36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2）支付标准：按照附件5中的绩效考评机制约定支付监理费。</w:t>
      </w:r>
    </w:p>
    <w:p w14:paraId="508C650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进度付款：监理人每月依照委托人的相关规定报送监理付款申请表，经委托人审核确认后30工作日，监理范围内每月经委托人审核确认的工程进度额×监理费率×80％。月进度付款额不足5万元时，当月不予支付，合并至次月支付，以此类推。</w:t>
      </w:r>
    </w:p>
    <w:p w14:paraId="79C229E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结算付款：工程竣工验收合格、竣工图纸审查及备案完毕、竣工资料完备并已移交委托人、工程结算审计完成后，监理人依据专用条款5.3.1条规定，以委托人审定的工程施工竣工结算为基数，报送监理费结算，经委托人审核确认后</w:t>
      </w:r>
      <w:r>
        <w:rPr>
          <w:rFonts w:hint="eastAsia" w:ascii="仿宋" w:hAnsi="仿宋" w:eastAsia="仿宋" w:cs="仿宋"/>
          <w:sz w:val="28"/>
          <w:szCs w:val="28"/>
          <w:highlight w:val="none"/>
          <w:lang w:val="en-US" w:eastAsia="zh-CN"/>
        </w:rPr>
        <w:t>30工作日</w:t>
      </w:r>
      <w:r>
        <w:rPr>
          <w:rFonts w:hint="eastAsia" w:ascii="仿宋" w:hAnsi="仿宋" w:eastAsia="仿宋" w:cs="仿宋"/>
          <w:sz w:val="28"/>
          <w:szCs w:val="28"/>
          <w:highlight w:val="none"/>
        </w:rPr>
        <w:t>，支付至监理结算额的</w:t>
      </w:r>
      <w:r>
        <w:rPr>
          <w:rFonts w:hint="eastAsia" w:ascii="仿宋" w:hAnsi="仿宋" w:eastAsia="仿宋" w:cs="仿宋"/>
          <w:sz w:val="28"/>
          <w:szCs w:val="28"/>
          <w:highlight w:val="none"/>
          <w:lang w:val="en-US" w:eastAsia="zh-CN"/>
        </w:rPr>
        <w:t>100%</w:t>
      </w:r>
      <w:r>
        <w:rPr>
          <w:rFonts w:hint="eastAsia" w:ascii="仿宋" w:hAnsi="仿宋" w:eastAsia="仿宋" w:cs="仿宋"/>
          <w:sz w:val="28"/>
          <w:szCs w:val="28"/>
          <w:highlight w:val="none"/>
        </w:rPr>
        <w:t>。</w:t>
      </w:r>
    </w:p>
    <w:p w14:paraId="0F04E71B">
      <w:pPr>
        <w:spacing w:line="360" w:lineRule="auto"/>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）发包人每次付款时，承包人应提供等额的正式</w:t>
      </w:r>
      <w:r>
        <w:rPr>
          <w:rFonts w:hint="eastAsia" w:ascii="仿宋" w:hAnsi="仿宋" w:eastAsia="仿宋" w:cs="仿宋"/>
          <w:sz w:val="28"/>
          <w:szCs w:val="28"/>
          <w:highlight w:val="none"/>
          <w:lang w:eastAsia="zh-CN"/>
        </w:rPr>
        <w:t>增值税普通发票</w:t>
      </w:r>
      <w:r>
        <w:rPr>
          <w:rFonts w:hint="eastAsia" w:ascii="仿宋" w:hAnsi="仿宋" w:eastAsia="仿宋" w:cs="仿宋"/>
          <w:sz w:val="28"/>
          <w:szCs w:val="28"/>
          <w:highlight w:val="none"/>
        </w:rPr>
        <w:t>、收款收据及完税证明</w:t>
      </w:r>
      <w:r>
        <w:rPr>
          <w:rFonts w:hint="eastAsia" w:ascii="仿宋" w:hAnsi="仿宋" w:eastAsia="仿宋" w:cs="仿宋"/>
          <w:sz w:val="28"/>
          <w:szCs w:val="28"/>
          <w:highlight w:val="none"/>
          <w:lang w:eastAsia="zh-CN"/>
        </w:rPr>
        <w:t>。</w:t>
      </w:r>
    </w:p>
    <w:p w14:paraId="5AFA720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5.3.3、其他</w:t>
      </w:r>
    </w:p>
    <w:p w14:paraId="336A42D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（1）工期延误、额外监理费用，监理服务费不予补偿。</w:t>
      </w:r>
    </w:p>
    <w:p w14:paraId="48EFCA0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（2）本合同监理费用包含工程保修期间的监理费用。</w:t>
      </w:r>
    </w:p>
    <w:p w14:paraId="3A1D4A9F">
      <w:pPr>
        <w:spacing w:line="360" w:lineRule="auto"/>
        <w:ind w:firstLine="560" w:firstLineChars="200"/>
        <w:rPr>
          <w:rFonts w:hint="eastAsia" w:ascii="仿宋" w:hAnsi="仿宋" w:eastAsia="仿宋" w:cs="仿宋"/>
          <w:b/>
          <w:bCs/>
          <w:color w:val="FF0000"/>
          <w:sz w:val="28"/>
          <w:szCs w:val="28"/>
          <w:highlight w:val="none"/>
        </w:rPr>
      </w:pPr>
      <w:r>
        <w:rPr>
          <w:rFonts w:hint="eastAsia" w:ascii="仿宋" w:hAnsi="仿宋" w:eastAsia="仿宋" w:cs="仿宋"/>
          <w:bCs/>
          <w:sz w:val="28"/>
          <w:szCs w:val="28"/>
          <w:highlight w:val="none"/>
        </w:rPr>
        <w:t>6</w:t>
      </w:r>
      <w:r>
        <w:rPr>
          <w:rFonts w:hint="eastAsia" w:ascii="仿宋" w:hAnsi="仿宋" w:eastAsia="仿宋" w:cs="仿宋"/>
          <w:b/>
          <w:bCs/>
          <w:sz w:val="28"/>
          <w:szCs w:val="28"/>
          <w:highlight w:val="none"/>
        </w:rPr>
        <w:t>. 合同生效、变更、暂停、解除与终止</w:t>
      </w:r>
    </w:p>
    <w:p w14:paraId="40F1412E">
      <w:pPr>
        <w:spacing w:line="360" w:lineRule="auto"/>
        <w:ind w:firstLine="560" w:firstLineChars="200"/>
        <w:rPr>
          <w:rFonts w:hint="eastAsia" w:ascii="仿宋" w:hAnsi="仿宋" w:eastAsia="仿宋" w:cs="仿宋"/>
          <w:b/>
          <w:bCs/>
          <w:color w:val="FF0000"/>
          <w:sz w:val="28"/>
          <w:szCs w:val="28"/>
          <w:highlight w:val="none"/>
        </w:rPr>
      </w:pPr>
      <w:r>
        <w:rPr>
          <w:rFonts w:hint="eastAsia" w:ascii="仿宋" w:hAnsi="仿宋" w:eastAsia="仿宋" w:cs="仿宋"/>
          <w:sz w:val="28"/>
          <w:szCs w:val="28"/>
          <w:highlight w:val="none"/>
        </w:rPr>
        <w:t>6.1 生效</w:t>
      </w:r>
    </w:p>
    <w:p w14:paraId="476C7973">
      <w:pPr>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本合同生效条件：</w:t>
      </w:r>
      <w:r>
        <w:rPr>
          <w:rFonts w:hint="eastAsia" w:ascii="仿宋" w:hAnsi="仿宋" w:eastAsia="仿宋" w:cs="仿宋"/>
          <w:sz w:val="28"/>
          <w:szCs w:val="28"/>
          <w:highlight w:val="none"/>
          <w:u w:val="single"/>
        </w:rPr>
        <w:t xml:space="preserve"> 合同各方签字盖章后生效 </w:t>
      </w:r>
      <w:r>
        <w:rPr>
          <w:rFonts w:hint="eastAsia" w:ascii="仿宋" w:hAnsi="仿宋" w:eastAsia="仿宋" w:cs="仿宋"/>
          <w:sz w:val="28"/>
          <w:szCs w:val="28"/>
          <w:highlight w:val="none"/>
        </w:rPr>
        <w:t>。</w:t>
      </w:r>
    </w:p>
    <w:p w14:paraId="2B6A0CBB">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6.2 变更</w:t>
      </w:r>
    </w:p>
    <w:p w14:paraId="3C66C37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6.2.2 除不可抗力外， 因非监理人原因导致本合同期限延长时，附加工作酬金按下列方法确定：</w:t>
      </w:r>
    </w:p>
    <w:p w14:paraId="6B03902E">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u w:val="single"/>
        </w:rPr>
        <w:t>监理人应充分考虑在监理期间的市场变动幅度、自然灾害、停电、停水、停窝工、地下文物变化、施工图变更或因工程建设进度推迟或延误而导致监理有效期延</w:t>
      </w:r>
      <w:r>
        <w:rPr>
          <w:rFonts w:hint="eastAsia" w:ascii="仿宋" w:hAnsi="仿宋" w:eastAsia="仿宋" w:cs="仿宋"/>
          <w:bCs/>
          <w:sz w:val="28"/>
          <w:szCs w:val="28"/>
          <w:highlight w:val="none"/>
          <w:u w:val="single"/>
        </w:rPr>
        <w:t>长等不可预见的各种风险因素，由此引起总的监理工期延长，委托人不再另行追加监理费用</w:t>
      </w:r>
      <w:r>
        <w:rPr>
          <w:rFonts w:hint="eastAsia" w:ascii="仿宋" w:hAnsi="仿宋" w:eastAsia="仿宋" w:cs="仿宋"/>
          <w:bCs/>
          <w:sz w:val="28"/>
          <w:szCs w:val="28"/>
          <w:highlight w:val="none"/>
        </w:rPr>
        <w:t>。</w:t>
      </w:r>
    </w:p>
    <w:p w14:paraId="53D4F1CA">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7. 争议解决</w:t>
      </w:r>
    </w:p>
    <w:p w14:paraId="020DB624">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7.2 调解</w:t>
      </w:r>
    </w:p>
    <w:p w14:paraId="5BBDAB22">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本合同争议进行调解时，可提交</w:t>
      </w:r>
      <w:r>
        <w:rPr>
          <w:rFonts w:hint="eastAsia" w:ascii="仿宋" w:hAnsi="仿宋" w:eastAsia="仿宋" w:cs="仿宋"/>
          <w:bCs/>
          <w:sz w:val="28"/>
          <w:szCs w:val="28"/>
          <w:highlight w:val="none"/>
          <w:u w:val="single"/>
        </w:rPr>
        <w:t xml:space="preserve">    /    </w:t>
      </w:r>
      <w:r>
        <w:rPr>
          <w:rFonts w:hint="eastAsia" w:ascii="仿宋" w:hAnsi="仿宋" w:eastAsia="仿宋" w:cs="仿宋"/>
          <w:bCs/>
          <w:sz w:val="28"/>
          <w:szCs w:val="28"/>
          <w:highlight w:val="none"/>
        </w:rPr>
        <w:t>进行调解。</w:t>
      </w:r>
    </w:p>
    <w:p w14:paraId="3F6CE4DF">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7.3 仲裁或诉讼</w:t>
      </w:r>
    </w:p>
    <w:p w14:paraId="5A08A15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合同争议的最终解决方式为下列第</w:t>
      </w:r>
      <w:r>
        <w:rPr>
          <w:rFonts w:hint="eastAsia" w:ascii="仿宋" w:hAnsi="仿宋" w:eastAsia="仿宋" w:cs="仿宋"/>
          <w:sz w:val="28"/>
          <w:szCs w:val="28"/>
          <w:highlight w:val="none"/>
          <w:u w:val="single"/>
        </w:rPr>
        <w:t xml:space="preserve">    （2）    </w:t>
      </w:r>
      <w:r>
        <w:rPr>
          <w:rFonts w:hint="eastAsia" w:ascii="仿宋" w:hAnsi="仿宋" w:eastAsia="仿宋" w:cs="仿宋"/>
          <w:sz w:val="28"/>
          <w:szCs w:val="28"/>
          <w:highlight w:val="none"/>
        </w:rPr>
        <w:t>种方式：</w:t>
      </w:r>
    </w:p>
    <w:p w14:paraId="26D8242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（1）提请</w:t>
      </w:r>
      <w:r>
        <w:rPr>
          <w:rFonts w:hint="eastAsia" w:ascii="仿宋" w:hAnsi="仿宋" w:eastAsia="仿宋" w:cs="仿宋"/>
          <w:sz w:val="28"/>
          <w:szCs w:val="28"/>
          <w:highlight w:val="none"/>
          <w:u w:val="single"/>
        </w:rPr>
        <w:t xml:space="preserve">    /   </w:t>
      </w:r>
      <w:r>
        <w:rPr>
          <w:rFonts w:hint="eastAsia" w:ascii="仿宋" w:hAnsi="仿宋" w:eastAsia="仿宋" w:cs="仿宋"/>
          <w:sz w:val="28"/>
          <w:szCs w:val="28"/>
          <w:highlight w:val="none"/>
        </w:rPr>
        <w:t>仲裁委员会进行仲裁。</w:t>
      </w:r>
    </w:p>
    <w:p w14:paraId="4AE19DA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（2）向</w:t>
      </w:r>
      <w:r>
        <w:rPr>
          <w:rFonts w:hint="eastAsia" w:ascii="仿宋" w:hAnsi="仿宋" w:eastAsia="仿宋" w:cs="仿宋"/>
          <w:sz w:val="28"/>
          <w:szCs w:val="28"/>
          <w:highlight w:val="none"/>
          <w:u w:val="single"/>
        </w:rPr>
        <w:t xml:space="preserve"> 工程所在地 </w:t>
      </w:r>
      <w:r>
        <w:rPr>
          <w:rFonts w:hint="eastAsia" w:ascii="仿宋" w:hAnsi="仿宋" w:eastAsia="仿宋" w:cs="仿宋"/>
          <w:sz w:val="28"/>
          <w:szCs w:val="28"/>
          <w:highlight w:val="none"/>
        </w:rPr>
        <w:t>人民法院提起诉讼。</w:t>
      </w:r>
    </w:p>
    <w:p w14:paraId="248FD344">
      <w:pPr>
        <w:spacing w:line="360" w:lineRule="auto"/>
        <w:ind w:firstLine="551" w:firstLineChars="196"/>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8. 其他</w:t>
      </w:r>
    </w:p>
    <w:p w14:paraId="12AF8C44">
      <w:pPr>
        <w:spacing w:line="360" w:lineRule="auto"/>
        <w:ind w:firstLine="275" w:firstLineChars="98"/>
        <w:rPr>
          <w:rFonts w:hint="eastAsia" w:ascii="仿宋" w:hAnsi="仿宋" w:eastAsia="仿宋" w:cs="仿宋"/>
          <w:bCs/>
          <w:sz w:val="28"/>
          <w:szCs w:val="28"/>
          <w:highlight w:val="none"/>
        </w:rPr>
      </w:pPr>
      <w:r>
        <w:rPr>
          <w:rFonts w:hint="eastAsia" w:ascii="仿宋" w:hAnsi="仿宋" w:eastAsia="仿宋" w:cs="仿宋"/>
          <w:b/>
          <w:bCs/>
          <w:sz w:val="28"/>
          <w:szCs w:val="28"/>
          <w:highlight w:val="none"/>
        </w:rPr>
        <w:t xml:space="preserve">  </w:t>
      </w:r>
      <w:r>
        <w:rPr>
          <w:rFonts w:hint="eastAsia" w:ascii="仿宋" w:hAnsi="仿宋" w:eastAsia="仿宋" w:cs="仿宋"/>
          <w:bCs/>
          <w:sz w:val="28"/>
          <w:szCs w:val="28"/>
          <w:highlight w:val="none"/>
        </w:rPr>
        <w:t>8.2 检测费用</w:t>
      </w:r>
    </w:p>
    <w:p w14:paraId="3126D52A">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    委托人应在检测工作完成后</w:t>
      </w:r>
      <w:r>
        <w:rPr>
          <w:rFonts w:hint="eastAsia" w:ascii="仿宋" w:hAnsi="仿宋" w:eastAsia="仿宋" w:cs="仿宋"/>
          <w:sz w:val="28"/>
          <w:szCs w:val="28"/>
          <w:highlight w:val="none"/>
          <w:u w:val="single"/>
        </w:rPr>
        <w:t xml:space="preserve">  /  </w:t>
      </w:r>
      <w:r>
        <w:rPr>
          <w:rFonts w:hint="eastAsia" w:ascii="仿宋" w:hAnsi="仿宋" w:eastAsia="仿宋" w:cs="仿宋"/>
          <w:bCs/>
          <w:sz w:val="28"/>
          <w:szCs w:val="28"/>
          <w:highlight w:val="none"/>
        </w:rPr>
        <w:t>天内支付检测费用。</w:t>
      </w:r>
    </w:p>
    <w:p w14:paraId="541F7C5B">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    8.3 咨询费用</w:t>
      </w:r>
    </w:p>
    <w:p w14:paraId="5E53A40A">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    委托人应在咨询工作完成后</w:t>
      </w:r>
      <w:r>
        <w:rPr>
          <w:rFonts w:hint="eastAsia" w:ascii="仿宋" w:hAnsi="仿宋" w:eastAsia="仿宋" w:cs="仿宋"/>
          <w:sz w:val="28"/>
          <w:szCs w:val="28"/>
          <w:highlight w:val="none"/>
          <w:u w:val="single"/>
        </w:rPr>
        <w:t xml:space="preserve">  /  </w:t>
      </w:r>
      <w:r>
        <w:rPr>
          <w:rFonts w:hint="eastAsia" w:ascii="仿宋" w:hAnsi="仿宋" w:eastAsia="仿宋" w:cs="仿宋"/>
          <w:bCs/>
          <w:sz w:val="28"/>
          <w:szCs w:val="28"/>
          <w:highlight w:val="none"/>
        </w:rPr>
        <w:t>天内支付咨询费用。</w:t>
      </w:r>
    </w:p>
    <w:p w14:paraId="16D41F88">
      <w:pPr>
        <w:spacing w:line="360" w:lineRule="auto"/>
        <w:ind w:firstLine="551" w:firstLineChars="197"/>
        <w:rPr>
          <w:rFonts w:hint="eastAsia" w:ascii="仿宋" w:hAnsi="仿宋" w:eastAsia="仿宋" w:cs="仿宋"/>
          <w:sz w:val="28"/>
          <w:szCs w:val="28"/>
          <w:highlight w:val="none"/>
        </w:rPr>
      </w:pPr>
      <w:r>
        <w:rPr>
          <w:rFonts w:hint="eastAsia" w:ascii="仿宋" w:hAnsi="仿宋" w:eastAsia="仿宋" w:cs="仿宋"/>
          <w:sz w:val="28"/>
          <w:szCs w:val="28"/>
          <w:highlight w:val="none"/>
        </w:rPr>
        <w:t>8.6 保密</w:t>
      </w:r>
    </w:p>
    <w:p w14:paraId="1DEFB7A0">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委托人申明的保密事项和期限：</w:t>
      </w:r>
      <w:r>
        <w:rPr>
          <w:rFonts w:hint="eastAsia" w:ascii="仿宋" w:hAnsi="仿宋" w:eastAsia="仿宋" w:cs="仿宋"/>
          <w:sz w:val="28"/>
          <w:szCs w:val="28"/>
          <w:highlight w:val="none"/>
          <w:u w:val="single"/>
        </w:rPr>
        <w:t>与委托人及工程相关有关信息应永久保密。</w:t>
      </w:r>
    </w:p>
    <w:p w14:paraId="361A255B">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监理人申明的保密事项和期限：</w:t>
      </w:r>
      <w:r>
        <w:rPr>
          <w:rFonts w:hint="eastAsia" w:ascii="仿宋" w:hAnsi="仿宋" w:eastAsia="仿宋" w:cs="仿宋"/>
          <w:sz w:val="28"/>
          <w:szCs w:val="28"/>
          <w:highlight w:val="none"/>
          <w:u w:val="single"/>
        </w:rPr>
        <w:t>与监理人有关信息应永久保密。</w:t>
      </w:r>
    </w:p>
    <w:p w14:paraId="1EACAD9E">
      <w:pPr>
        <w:spacing w:line="360" w:lineRule="auto"/>
        <w:ind w:firstLine="560" w:firstLineChars="20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第三方申明的保密事项和期限：</w:t>
      </w:r>
      <w:r>
        <w:rPr>
          <w:rFonts w:hint="eastAsia" w:ascii="仿宋" w:hAnsi="仿宋" w:eastAsia="仿宋" w:cs="仿宋"/>
          <w:sz w:val="28"/>
          <w:szCs w:val="28"/>
          <w:highlight w:val="none"/>
          <w:u w:val="single"/>
        </w:rPr>
        <w:t>保守各方的相关商业机密或企业信息。</w:t>
      </w:r>
    </w:p>
    <w:p w14:paraId="59E61DC6">
      <w:pPr>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sz w:val="28"/>
          <w:szCs w:val="28"/>
          <w:highlight w:val="none"/>
        </w:rPr>
        <w:t>8.8</w:t>
      </w:r>
      <w:r>
        <w:rPr>
          <w:rFonts w:hint="eastAsia" w:ascii="仿宋" w:hAnsi="仿宋" w:eastAsia="仿宋" w:cs="仿宋"/>
          <w:bCs/>
          <w:sz w:val="28"/>
          <w:szCs w:val="28"/>
          <w:highlight w:val="none"/>
        </w:rPr>
        <w:t>著作权</w:t>
      </w:r>
    </w:p>
    <w:p w14:paraId="44670C0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监理人在本合同履行期间及本合同终止后两年内出版涉及本工程的有关监理与相关服务的资料的限制条件：</w:t>
      </w:r>
      <w:r>
        <w:rPr>
          <w:rFonts w:hint="eastAsia" w:ascii="仿宋" w:hAnsi="仿宋" w:eastAsia="仿宋" w:cs="仿宋"/>
          <w:sz w:val="28"/>
          <w:szCs w:val="28"/>
          <w:highlight w:val="none"/>
          <w:u w:val="single"/>
        </w:rPr>
        <w:t>原文或原图引用涉及本工程的全部资料时须征得委托人同意后方可发表。</w:t>
      </w:r>
    </w:p>
    <w:p w14:paraId="30A6F4E1">
      <w:pPr>
        <w:spacing w:beforeLines="50" w:afterLines="50"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9. 补充条款：</w:t>
      </w:r>
    </w:p>
    <w:p w14:paraId="132202C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1、监理人必须自行监理，不得转包监理业务。土方清运工程及重点部位/工序施工期间，必须实行监理旁站制度。</w:t>
      </w:r>
    </w:p>
    <w:p w14:paraId="7DF3A57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监理人应协助委托人协调与四邻的关系。监理例会应由总监或总监代表在工地主持。</w:t>
      </w:r>
    </w:p>
    <w:p w14:paraId="2E523CF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2、监理人需要取得发包人批准才能行使的职权（监理工程师在根据合同决定以下事项之前需首先得到发包人常驻现场代表的批准）： </w:t>
      </w:r>
    </w:p>
    <w:p w14:paraId="0047476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2.1 顺延工期；</w:t>
      </w:r>
    </w:p>
    <w:p w14:paraId="1411D45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2.2 停工指令；</w:t>
      </w:r>
    </w:p>
    <w:p w14:paraId="395C28F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2.3 追加合同价款和费用补偿；</w:t>
      </w:r>
    </w:p>
    <w:p w14:paraId="253DB64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2.4 施工图的修改；</w:t>
      </w:r>
    </w:p>
    <w:p w14:paraId="04932D4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2.5 批准对设计或合同规定的材料设备的代用。</w:t>
      </w:r>
    </w:p>
    <w:p w14:paraId="33E42BB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监理人必须保证总监理工程师在工程施工期间，离开工地现场2天以上时，应征得委托人的同意。总监理工程师每次请假时间不得超过3天，本工程累计离场时间不得超过30天。总监理工程师随意离开工地，罚款3000元/天。总监理工程师不在工地现场期间，必须指定适合的总监代表履行其职责，并书面通知委托人。各专业监理工程师请假必须向总监理工程师汇报并报委托人代表备案，获批准后，方可离开，否则按违约处理。为保证随时联系和沟通，应保持通讯工具24小时畅通。</w:t>
      </w:r>
    </w:p>
    <w:p w14:paraId="5E13EC6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4、监理人应按监理人员配置组建监理机构，不得随意更换总监理工程师，否则，委托人有权终止监理合同；如监理人所派驻总监理工程师或专业监理工程师确需更换，须经委托人同意，但所更换的总监理工程师或专业监理工程师的资格证和能力须等同或高于本合同中总监理工程师或专业监理工程师的资格（证）和能力。未经委托人的同意，监理人私自更换总监理工程师时，承担违约金10万元。监理人更换监理技术人员数量超过“附件1 总监理工程师及人员配备表”所报人员数量的30%后，委托人有权终止监理合同。由此造成工程质量下降、进度滞后、现场管理混乱时，委托人视为不能认真履行投标承诺，有权随时终止合同，由此造成的经济损失由监理人自行承担，并承担委托人的损失。</w:t>
      </w:r>
    </w:p>
    <w:p w14:paraId="57B868F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5、监理人必须依据项目委托要求，配备齐全本工程所涉及的所有专业的监理人员，其中工程造价专业监理人员必须在整个施工过程中常驻现场，监理人必须保证派往本工程的监理人员（包括总监理工程师）不再担任其它工程的监理工作，否则，委托人将视情节终止监理合同，由此造成的一切损失均由监理人承担。</w:t>
      </w:r>
    </w:p>
    <w:p w14:paraId="4A96C11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6、监理人必须为进场监理人员办理个人安全保险，否则在施工现场发生的安全责任事故及意外伤害责任由监理人全权负责。</w:t>
      </w:r>
    </w:p>
    <w:p w14:paraId="4AE2DF9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7、若监理人不能按时完成所要求的监理工作，委托人有权委托其他监理单位协助完成，由此发生的费用应从监理服务费中扣除。</w:t>
      </w:r>
    </w:p>
    <w:p w14:paraId="7B20472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8</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若因监理人工程计量不认真造成月进度款超付现象，根据超付金额的多少，给予1~10万元的罚款。委托人在施工过程中对已完工程量进行盘点核算，若因监理人进度审核把关出现误差，累计审定进度超过委托人与承包单位盘点核定进度时，委托人有权按照其已完工程量累计监理费的30%进行处罚。</w:t>
      </w:r>
    </w:p>
    <w:p w14:paraId="4E8909E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9</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监理人必须认真审核竣工图纸等全部工程结算资料，审核相关结算资料的完整性与真实性,并严格按照相关规范进行成本管控。监理人因故意或重大过失，未审核出结算资料中的虚假、错误或明显不合理计价，导致项目最终结算产生审计成果费的，视为监理人未履行审核及成本管控义务，构成违约。根据《最高人民法院关于适用〈中华人民共和国民法典〉合同编通则若干问题的解释》第六十五条，监理人应向甲方支付违约金数额为因监理审核不合理导致甲方支付结算审计成果费金额的30%。</w:t>
      </w:r>
    </w:p>
    <w:p w14:paraId="30094FC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 xml:space="preserve">工程质量达不到“合格”，监理人不得组织竣工验收，由此引起的损失由监理人承担（非监理人的原因除外），并扣除全部监理费用，并按“本合同”补充条款第23条相关条款执行。 </w:t>
      </w:r>
    </w:p>
    <w:p w14:paraId="2B285D2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根据各工程的特殊性，委托人有权要求监理人积极配合，调整验收方式、分段验收、穿插施工，以便下道工序顺利进行。</w:t>
      </w:r>
    </w:p>
    <w:p w14:paraId="560F875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根据工程管理的总体情况，委托人有权对监理人的有关人员进行调整和重新组合。同时委托人有权要求调动不称职的监理工程师。</w:t>
      </w:r>
    </w:p>
    <w:p w14:paraId="2A4C155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现场监理人员严格履行《建设工程安全生产管理条例》与有关的安全生产的法律、法规，严把安全关，消灭安全隐患；出现安全事故追究监理人员责任。发生重大安全生产、消防、防汛安全事故的，依照《建设工程安全生产管理条例》进行处罚，并视情况由委托人上报有关部门取消其在曲江新区内一至三年入区资格的处罚。</w:t>
      </w:r>
    </w:p>
    <w:p w14:paraId="6FC6AB2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监理人应对分部工程、分项工程进行质量评定；上道工序未经认可，下道工序不准施工；主持对工程质量问题的调查和处理；对重大质量事故和安全事故，及时向上级主管部门报告；督促施工单位搞好文明施工；对合格工程进行准确计量，对不合格工程不能计量。对影响工程质量和施工安全的隐患，监理人有权要求施工单位限期整改，如需停工整改应上报委托人同意，进行停工整改。对施工单位内业资料进行督促检查，做到工程完、资料清。监理人负责协助委托人督促施工单位及时做好竣工交验文件，协助委托人签定《工程保修合同》。督促、检查施工单位全面履行保修职责。本合同未尽事宜，监理人应按国家有关监理规范中监理人的义务执行。</w:t>
      </w:r>
    </w:p>
    <w:p w14:paraId="6BFAAAE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工程保修：工程竣工验收合格后，监理人为委托人提供免费工程质量保修期监理服务。在保修期内负责检查质量状况，对工程质量缺陷进行检查和记录，并对承包单位进行修复的工程质量进行验收，合格后予以签认；同时监理人员应对工程质量缺陷原因进行调查分析并确定责任归属，对非承包人原因造成的工程质量缺陷，监理人员在核实修复工程的费用后签署工程款支付证书，并报建设单位。保修期满后，若委托人需监理人继续提供服务，合同各方另行签署补充协议。</w:t>
      </w:r>
    </w:p>
    <w:p w14:paraId="6C23655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如委托人资金暂不到位，监理人承诺不因资金情况影响工程进度。</w:t>
      </w:r>
    </w:p>
    <w:p w14:paraId="5914F3A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工程完工后向委托人提供完整监理资料陆套，并出具工程质量评估报告。</w:t>
      </w:r>
    </w:p>
    <w:p w14:paraId="56FB149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监理人单方暂停或终止监理业务，由此造成的损失由监理人承担，尚未支付的监理费不再支付，监理人应赔偿因此造成委托人的损失。</w:t>
      </w:r>
    </w:p>
    <w:p w14:paraId="0F7A407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、若因监理人审图不周，致使施工单位在施工中造成重大失误而引起工程成本增加，监理人将向委托人支付1~10万元的违约金，具体金额由委托人视情况而定。</w:t>
      </w:r>
    </w:p>
    <w:p w14:paraId="1541EA1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监理人必须对进场材料、构配件和设备的规格、品牌、数量和进场时间等严格审核。对出现实际进场材料与报验清单不一致或报验清单与施工图纸、设计变更及招投标文件等相关资料要求不一致的情况没有及时发现的，监理人应承担由此给委托人造成的损失，并向委托人支付1~10万元的违约金，具体金额由委托人视情况而定。</w:t>
      </w:r>
    </w:p>
    <w:p w14:paraId="5D24DD7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、若因监理人不认真审核竣工图纸，出现竣工图纸与实际施工内容不相符合的情况，监理人应承担由此给委托人造成的损失，并向委托人支付1~10万元的违约金，具体金额由委托人视情况而定。</w:t>
      </w:r>
    </w:p>
    <w:p w14:paraId="5118C07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、监理人若有紧急情况下作出的变更，一般应在紧急情况结束后的24小时内通知委托人，并取得委托人的书面认可。</w:t>
      </w:r>
    </w:p>
    <w:p w14:paraId="03AFDA8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、监理人在责任期内如果失职，同意按以下办法承担责任：</w:t>
      </w:r>
    </w:p>
    <w:p w14:paraId="3C49E41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.1.1 因监理人原因工程实施过程中发生重大质量事故，造成重大经济损失的，监理单位承担违约罚金为监理费总额的30%－50%，若不足以弥补委托人损失的，监理人应予以补足。</w:t>
      </w:r>
    </w:p>
    <w:p w14:paraId="268E1AF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.1.2 因监理人原因工程实施过程中发生重伤以上的重大安全事故或消防安全事故，监理单位承担违约罚金为监理费总额的30%－50%，若不足以弥补委托人损失的，监理人应予以补足。</w:t>
      </w:r>
    </w:p>
    <w:p w14:paraId="60EA311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.1.3 施工单位未按图纸、设计变更、工程洽商及施工规范、规程施工，监理没有及时发现、制止，而由建设单位人员提出的，或监理已经通过验收，又发现以上问题的，处罚金500元/次。造成经济损失的处罚金3000元/次。造成重大经济损失的，监理单位承担违约罚金为监理费总额的30%－50%，若不足以弥补委托人损失的，监理人应予以补足。</w:t>
      </w:r>
    </w:p>
    <w:p w14:paraId="702A30E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.1.4 材料通过监理检验后，监理人检验责任原因仍发现不符合图纸要求材料或不合格材料进场的处罚金500元/次。已经使用，造成经济损失的处罚金3000元/次。造成重大经济损失的，监理单位承担违约罚金为监理费总额的30%－50%，若不足以弥补委托人损失的，监理人应予以补足。</w:t>
      </w:r>
    </w:p>
    <w:p w14:paraId="19BFC97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.1.5 监理单位审核施工方案严重失误的处罚金2000元/次，造成重大经济损失的，监理单位承担违约罚金为监理费总额的30%－50%，若不足以弥补委托人损失的，监理人应予以补足。</w:t>
      </w:r>
    </w:p>
    <w:p w14:paraId="7F5FF569">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.1.6 监理单位审核施工单位的申报、申请、签证、材料设备认价等未按规定时间审核完成的，如无特殊原因每延迟一天处罚金100元。</w:t>
      </w:r>
    </w:p>
    <w:p w14:paraId="2BCE85B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.1.7 工程结算的审核如未扣减未实施工程内容及减项变更签证，每发现一项处罚金500元。</w:t>
      </w:r>
    </w:p>
    <w:p w14:paraId="3669848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.1.8 更换监理人员须书面申请并得到建设单位同意。随意更换监理部人员、建设单位要求撤换的监理人未及时更替，监理单位承担违约责任：更换总监处罚金10000元/次，其他人员处罚金2000元/次。</w:t>
      </w:r>
    </w:p>
    <w:p w14:paraId="5F94FE9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1.9 未经过建设单位同意，总监在其他工程任职的，处罚金10000元/次。</w:t>
      </w:r>
    </w:p>
    <w:p w14:paraId="78048D1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.1.10 监理人应该按工程建设廉政等方面的规定向委托人做出廉政承诺，并按其承诺认真执行。若监理人违反廉政承诺的，处罚金500-2000元/次。</w:t>
      </w:r>
    </w:p>
    <w:p w14:paraId="64CD45D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.1.11 违约罚金实施流程</w:t>
      </w:r>
    </w:p>
    <w:p w14:paraId="3A8F38B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如发生本办法规定的相关违约处罚情况，由建设单位项目主管填写“监理违约处罚单”经主管领导审核后发监理公司执行。处罚金在当期监理费及结算中扣除。</w:t>
      </w:r>
    </w:p>
    <w:p w14:paraId="1C3C3A37">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工程结算电子文件要求：</w:t>
      </w:r>
    </w:p>
    <w:p w14:paraId="489FB063">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.1施工单位提供工程结算资料同时，应提供所报送资料原件的电子文件及影印扫描件。</w:t>
      </w:r>
    </w:p>
    <w:p w14:paraId="39D448F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.2电子版本要求分项目、类别用光盘装载，除图形文件外，还要有汉字字形库、压缩解压工具和其他保证能够完整读出再现结算资料的工具和软件，并要确保光盘不带病毒。</w:t>
      </w:r>
    </w:p>
    <w:p w14:paraId="24C028A8">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3施工图纸电子版本同样应标明项目、专业、图名、图号、版次及出图日期；工程变更单应标明项目、专业、变更内容、图号、版次及日期；工程签证单应标明项目、专业、内容、日期、附件等，其他与结算相关资料也应按照要求分类整理；</w:t>
      </w:r>
    </w:p>
    <w:p w14:paraId="1029C5B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.4监理单位必须如实审核并确保所报送电子文件与纸质版的一致性。</w:t>
      </w:r>
    </w:p>
    <w:p w14:paraId="734CD3D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合同通用条款第4.2条、第4.3条、第6.2.2条、第6.2.3条、第8.1条不适用本项目。</w:t>
      </w:r>
    </w:p>
    <w:p w14:paraId="3EBAC24C">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代建人作为本项目的代建单位接受发包人委托，全权行使发包人除诉讼、资金筹措、违约、赔偿责任及工程款支付以外的权利与义务，代表发包人负责本项目的实施与管理工作，承包人对此知晓并同意。</w:t>
      </w:r>
    </w:p>
    <w:p w14:paraId="1008917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补充条款与专用条款约定条款不一致的以补充条款约定为准。</w:t>
      </w:r>
    </w:p>
    <w:p w14:paraId="5F172756">
      <w:pPr>
        <w:spacing w:line="360" w:lineRule="auto"/>
        <w:outlineLvl w:val="0"/>
        <w:rPr>
          <w:rFonts w:hint="eastAsia" w:ascii="仿宋" w:hAnsi="仿宋" w:eastAsia="仿宋" w:cs="仿宋"/>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8"/>
          <w:szCs w:val="28"/>
          <w:highlight w:val="none"/>
        </w:rPr>
        <w:t>附件1</w:t>
      </w:r>
    </w:p>
    <w:p w14:paraId="1F55DA81">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总监理工程师及人员配备表</w:t>
      </w:r>
    </w:p>
    <w:tbl>
      <w:tblPr>
        <w:tblStyle w:val="8"/>
        <w:tblW w:w="101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080"/>
        <w:gridCol w:w="621"/>
        <w:gridCol w:w="639"/>
        <w:gridCol w:w="1044"/>
        <w:gridCol w:w="825"/>
        <w:gridCol w:w="1935"/>
        <w:gridCol w:w="1949"/>
        <w:gridCol w:w="1440"/>
      </w:tblGrid>
      <w:tr w14:paraId="74DB4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454D56EB">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序号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C488653">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姓名</w:t>
            </w:r>
          </w:p>
        </w:tc>
        <w:tc>
          <w:tcPr>
            <w:tcW w:w="621" w:type="dxa"/>
            <w:tcBorders>
              <w:top w:val="single" w:color="auto" w:sz="4" w:space="0"/>
              <w:left w:val="single" w:color="auto" w:sz="4" w:space="0"/>
              <w:bottom w:val="single" w:color="auto" w:sz="4" w:space="0"/>
              <w:right w:val="single" w:color="auto" w:sz="4" w:space="0"/>
            </w:tcBorders>
            <w:noWrap w:val="0"/>
            <w:vAlign w:val="center"/>
          </w:tcPr>
          <w:p w14:paraId="5EE78B08">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性别</w:t>
            </w:r>
          </w:p>
        </w:tc>
        <w:tc>
          <w:tcPr>
            <w:tcW w:w="639" w:type="dxa"/>
            <w:tcBorders>
              <w:top w:val="single" w:color="auto" w:sz="4" w:space="0"/>
              <w:left w:val="single" w:color="auto" w:sz="4" w:space="0"/>
              <w:bottom w:val="single" w:color="auto" w:sz="4" w:space="0"/>
              <w:right w:val="single" w:color="auto" w:sz="4" w:space="0"/>
            </w:tcBorders>
            <w:noWrap w:val="0"/>
            <w:vAlign w:val="center"/>
          </w:tcPr>
          <w:p w14:paraId="3E963327">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年龄</w:t>
            </w: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7919101">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职称</w:t>
            </w:r>
          </w:p>
        </w:tc>
        <w:tc>
          <w:tcPr>
            <w:tcW w:w="825" w:type="dxa"/>
            <w:tcBorders>
              <w:top w:val="single" w:color="auto" w:sz="4" w:space="0"/>
              <w:left w:val="single" w:color="auto" w:sz="4" w:space="0"/>
              <w:bottom w:val="single" w:color="auto" w:sz="4" w:space="0"/>
              <w:right w:val="single" w:color="auto" w:sz="4" w:space="0"/>
            </w:tcBorders>
            <w:noWrap w:val="0"/>
            <w:vAlign w:val="center"/>
          </w:tcPr>
          <w:p w14:paraId="58C244C7">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学历</w:t>
            </w: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1B019A2">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专业</w:t>
            </w:r>
          </w:p>
        </w:tc>
        <w:tc>
          <w:tcPr>
            <w:tcW w:w="1949" w:type="dxa"/>
            <w:tcBorders>
              <w:top w:val="single" w:color="auto" w:sz="4" w:space="0"/>
              <w:left w:val="single" w:color="auto" w:sz="4" w:space="0"/>
              <w:bottom w:val="single" w:color="auto" w:sz="4" w:space="0"/>
              <w:right w:val="single" w:color="auto" w:sz="4" w:space="0"/>
            </w:tcBorders>
            <w:noWrap w:val="0"/>
            <w:vAlign w:val="center"/>
          </w:tcPr>
          <w:p w14:paraId="1317A137">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上岗证（或职</w:t>
            </w:r>
          </w:p>
          <w:p w14:paraId="52B6FB42">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业资格证）</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CB938F8">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在本项目中</w:t>
            </w:r>
          </w:p>
          <w:p w14:paraId="17D1C163">
            <w:pPr>
              <w:snapToGrid w:val="0"/>
              <w:spacing w:beforeLines="50"/>
              <w:jc w:val="center"/>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拟担任工作</w:t>
            </w:r>
          </w:p>
        </w:tc>
      </w:tr>
      <w:tr w14:paraId="574BE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351F99AC">
            <w:pPr>
              <w:jc w:val="center"/>
              <w:rPr>
                <w:rFonts w:hint="eastAsia" w:ascii="仿宋" w:hAnsi="仿宋" w:eastAsia="仿宋" w:cs="仿宋"/>
                <w:kern w:val="2"/>
                <w:sz w:val="28"/>
                <w:szCs w:val="28"/>
                <w:highlight w:val="none"/>
                <w:vertAlign w:val="baseline"/>
                <w:lang w:val="en-US" w:eastAsia="zh-CN" w:bidi="ar-SA"/>
              </w:rPr>
            </w:pPr>
            <w:r>
              <w:rPr>
                <w:rFonts w:hint="eastAsia" w:ascii="仿宋" w:hAnsi="仿宋" w:eastAsia="仿宋" w:cs="仿宋"/>
                <w:sz w:val="28"/>
                <w:szCs w:val="28"/>
                <w:highlight w:val="none"/>
                <w:vertAlign w:val="baseline"/>
                <w:lang w:val="en-US" w:eastAsia="zh-CN"/>
              </w:rPr>
              <w:t>1</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206F7C2">
            <w:pPr>
              <w:spacing w:line="240" w:lineRule="auto"/>
              <w:ind w:left="0" w:leftChars="0" w:right="-92" w:rightChars="-44"/>
              <w:jc w:val="center"/>
              <w:rPr>
                <w:rFonts w:hint="default" w:ascii="仿宋" w:hAnsi="仿宋" w:eastAsia="仿宋" w:cs="仿宋"/>
                <w:color w:val="000000"/>
                <w:kern w:val="0"/>
                <w:sz w:val="28"/>
                <w:szCs w:val="28"/>
                <w:highlight w:val="none"/>
                <w:lang w:val="en-US" w:eastAsia="zh-CN" w:bidi="zh-CN"/>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48087B54">
            <w:pPr>
              <w:jc w:val="center"/>
              <w:rPr>
                <w:rFonts w:hint="eastAsia" w:ascii="仿宋" w:hAnsi="仿宋" w:eastAsia="仿宋" w:cs="仿宋"/>
                <w:kern w:val="2"/>
                <w:sz w:val="28"/>
                <w:szCs w:val="28"/>
                <w:highlight w:val="none"/>
                <w:vertAlign w:val="baseline"/>
                <w:lang w:val="en-US" w:eastAsia="zh-CN" w:bidi="ar-SA"/>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53F54870">
            <w:pPr>
              <w:spacing w:line="240" w:lineRule="auto"/>
              <w:ind w:left="0" w:leftChars="0" w:right="-92" w:rightChars="-44"/>
              <w:jc w:val="center"/>
              <w:rPr>
                <w:rFonts w:hint="default" w:ascii="仿宋" w:hAnsi="仿宋" w:eastAsia="仿宋" w:cs="仿宋"/>
                <w:color w:val="000000"/>
                <w:kern w:val="0"/>
                <w:sz w:val="28"/>
                <w:szCs w:val="28"/>
                <w:highlight w:val="none"/>
                <w:lang w:val="en-US" w:eastAsia="zh-CN" w:bidi="zh-CN"/>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2B45D08C">
            <w:pPr>
              <w:jc w:val="center"/>
              <w:rPr>
                <w:rFonts w:hint="eastAsia" w:ascii="仿宋" w:hAnsi="仿宋" w:eastAsia="仿宋" w:cs="仿宋"/>
                <w:kern w:val="2"/>
                <w:sz w:val="28"/>
                <w:szCs w:val="28"/>
                <w:highlight w:val="none"/>
                <w:vertAlign w:val="baseline"/>
                <w:lang w:val="en-US" w:eastAsia="zh-CN" w:bidi="ar-SA"/>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3BCDD0D6">
            <w:pPr>
              <w:jc w:val="center"/>
              <w:rPr>
                <w:rFonts w:hint="eastAsia" w:ascii="仿宋" w:hAnsi="仿宋" w:eastAsia="仿宋" w:cs="仿宋"/>
                <w:kern w:val="2"/>
                <w:sz w:val="28"/>
                <w:szCs w:val="28"/>
                <w:highlight w:val="none"/>
                <w:vertAlign w:val="baseline"/>
                <w:lang w:val="en-US" w:eastAsia="zh-CN" w:bidi="ar-SA"/>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3B99A9C9">
            <w:pPr>
              <w:spacing w:line="240" w:lineRule="auto"/>
              <w:ind w:left="0" w:leftChars="0" w:right="-92" w:rightChars="-44"/>
              <w:jc w:val="center"/>
              <w:rPr>
                <w:rFonts w:hint="default" w:ascii="仿宋" w:hAnsi="仿宋" w:eastAsia="仿宋" w:cs="仿宋"/>
                <w:color w:val="000000"/>
                <w:kern w:val="0"/>
                <w:sz w:val="28"/>
                <w:szCs w:val="28"/>
                <w:highlight w:val="none"/>
                <w:lang w:val="en-US" w:eastAsia="zh-CN" w:bidi="zh-CN"/>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36E4163B">
            <w:pPr>
              <w:jc w:val="center"/>
              <w:rPr>
                <w:rFonts w:hint="eastAsia" w:ascii="仿宋" w:hAnsi="仿宋" w:eastAsia="仿宋" w:cs="仿宋"/>
                <w:kern w:val="2"/>
                <w:sz w:val="24"/>
                <w:szCs w:val="24"/>
                <w:highlight w:val="none"/>
                <w:vertAlign w:val="baseli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A704D71">
            <w:pPr>
              <w:jc w:val="center"/>
              <w:rPr>
                <w:rFonts w:hint="eastAsia" w:ascii="仿宋" w:hAnsi="仿宋" w:eastAsia="仿宋" w:cs="仿宋"/>
                <w:kern w:val="2"/>
                <w:sz w:val="24"/>
                <w:szCs w:val="24"/>
                <w:highlight w:val="none"/>
                <w:vertAlign w:val="baseline"/>
                <w:lang w:val="en-US" w:eastAsia="zh-CN" w:bidi="ar-SA"/>
              </w:rPr>
            </w:pPr>
          </w:p>
        </w:tc>
      </w:tr>
      <w:tr w14:paraId="42DB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3BBBB04C">
            <w:pPr>
              <w:jc w:val="center"/>
              <w:rPr>
                <w:rFonts w:hint="eastAsia" w:ascii="仿宋" w:hAnsi="仿宋" w:eastAsia="仿宋" w:cs="仿宋"/>
                <w:kern w:val="2"/>
                <w:sz w:val="28"/>
                <w:szCs w:val="28"/>
                <w:highlight w:val="none"/>
                <w:vertAlign w:val="baseline"/>
                <w:lang w:val="en-US" w:eastAsia="zh-CN" w:bidi="ar-SA"/>
              </w:rPr>
            </w:pPr>
            <w:r>
              <w:rPr>
                <w:rFonts w:hint="eastAsia" w:ascii="仿宋" w:hAnsi="仿宋" w:eastAsia="仿宋" w:cs="仿宋"/>
                <w:sz w:val="28"/>
                <w:szCs w:val="28"/>
                <w:highlight w:val="none"/>
                <w:vertAlign w:val="baseline"/>
                <w:lang w:val="en-US" w:eastAsia="zh-CN"/>
              </w:rPr>
              <w:t>2</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42F5F13">
            <w:pPr>
              <w:spacing w:line="240" w:lineRule="auto"/>
              <w:ind w:left="0" w:leftChars="0" w:right="-92" w:rightChars="-44"/>
              <w:jc w:val="both"/>
              <w:rPr>
                <w:rFonts w:hint="eastAsia" w:ascii="仿宋" w:hAnsi="仿宋" w:eastAsia="仿宋" w:cs="仿宋"/>
                <w:color w:val="000000"/>
                <w:kern w:val="0"/>
                <w:sz w:val="28"/>
                <w:szCs w:val="28"/>
                <w:highlight w:val="none"/>
                <w:lang w:val="en-US" w:eastAsia="zh-CN" w:bidi="zh-CN"/>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2B114C90">
            <w:pPr>
              <w:jc w:val="center"/>
              <w:rPr>
                <w:rFonts w:hint="eastAsia" w:ascii="仿宋" w:hAnsi="仿宋" w:eastAsia="仿宋" w:cs="仿宋"/>
                <w:kern w:val="2"/>
                <w:sz w:val="28"/>
                <w:szCs w:val="28"/>
                <w:highlight w:val="none"/>
                <w:vertAlign w:val="baseline"/>
                <w:lang w:val="en-US" w:eastAsia="zh-CN" w:bidi="ar-SA"/>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72316AA0">
            <w:pPr>
              <w:spacing w:line="240" w:lineRule="auto"/>
              <w:ind w:left="0" w:leftChars="0" w:right="-92" w:rightChars="-44"/>
              <w:jc w:val="both"/>
              <w:rPr>
                <w:rFonts w:hint="default" w:ascii="仿宋" w:hAnsi="仿宋" w:eastAsia="仿宋" w:cs="仿宋"/>
                <w:color w:val="000000"/>
                <w:kern w:val="0"/>
                <w:sz w:val="28"/>
                <w:szCs w:val="28"/>
                <w:highlight w:val="none"/>
                <w:lang w:val="en-US" w:eastAsia="zh-CN" w:bidi="zh-CN"/>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74965DB">
            <w:pPr>
              <w:jc w:val="both"/>
              <w:rPr>
                <w:rFonts w:hint="eastAsia" w:ascii="仿宋" w:hAnsi="仿宋" w:eastAsia="仿宋" w:cs="仿宋"/>
                <w:kern w:val="2"/>
                <w:sz w:val="28"/>
                <w:szCs w:val="28"/>
                <w:highlight w:val="none"/>
                <w:vertAlign w:val="baseline"/>
                <w:lang w:val="en-US" w:eastAsia="zh-CN" w:bidi="ar-SA"/>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5EC5080A">
            <w:pPr>
              <w:jc w:val="center"/>
              <w:rPr>
                <w:rFonts w:hint="eastAsia" w:ascii="仿宋" w:hAnsi="仿宋" w:eastAsia="仿宋" w:cs="仿宋"/>
                <w:kern w:val="2"/>
                <w:sz w:val="28"/>
                <w:szCs w:val="28"/>
                <w:highlight w:val="none"/>
                <w:vertAlign w:val="baseline"/>
                <w:lang w:val="en-US" w:eastAsia="zh-CN" w:bidi="ar-SA"/>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52422D1B">
            <w:pPr>
              <w:spacing w:line="240" w:lineRule="auto"/>
              <w:ind w:left="0" w:leftChars="0" w:right="-92" w:rightChars="-44"/>
              <w:jc w:val="both"/>
              <w:rPr>
                <w:rFonts w:hint="default" w:ascii="仿宋" w:hAnsi="仿宋" w:eastAsia="仿宋" w:cs="仿宋"/>
                <w:color w:val="000000"/>
                <w:kern w:val="0"/>
                <w:sz w:val="28"/>
                <w:szCs w:val="28"/>
                <w:highlight w:val="none"/>
                <w:lang w:val="en-US" w:eastAsia="zh-CN" w:bidi="zh-CN"/>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78E03FB0">
            <w:pPr>
              <w:jc w:val="both"/>
              <w:rPr>
                <w:rFonts w:hint="eastAsia" w:ascii="仿宋" w:hAnsi="仿宋" w:eastAsia="仿宋" w:cs="仿宋"/>
                <w:kern w:val="2"/>
                <w:sz w:val="24"/>
                <w:szCs w:val="24"/>
                <w:highlight w:val="none"/>
                <w:vertAlign w:val="baseli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A0C4DBC">
            <w:pPr>
              <w:jc w:val="both"/>
              <w:rPr>
                <w:rFonts w:hint="eastAsia" w:ascii="仿宋" w:hAnsi="仿宋" w:eastAsia="仿宋" w:cs="仿宋"/>
                <w:kern w:val="2"/>
                <w:sz w:val="24"/>
                <w:szCs w:val="24"/>
                <w:highlight w:val="none"/>
                <w:vertAlign w:val="baseline"/>
                <w:lang w:val="en-US" w:eastAsia="zh-CN" w:bidi="ar-SA"/>
              </w:rPr>
            </w:pPr>
          </w:p>
        </w:tc>
      </w:tr>
      <w:tr w14:paraId="0B4F7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648F2164">
            <w:pPr>
              <w:jc w:val="center"/>
              <w:rPr>
                <w:rFonts w:hint="eastAsia" w:ascii="仿宋" w:hAnsi="仿宋" w:eastAsia="仿宋" w:cs="仿宋"/>
                <w:kern w:val="2"/>
                <w:sz w:val="28"/>
                <w:szCs w:val="28"/>
                <w:highlight w:val="none"/>
                <w:vertAlign w:val="baseline"/>
                <w:lang w:val="en-US" w:eastAsia="zh-CN" w:bidi="ar-SA"/>
              </w:rPr>
            </w:pPr>
            <w:r>
              <w:rPr>
                <w:rFonts w:hint="eastAsia" w:ascii="仿宋" w:hAnsi="仿宋" w:eastAsia="仿宋" w:cs="仿宋"/>
                <w:sz w:val="28"/>
                <w:szCs w:val="28"/>
                <w:highlight w:val="none"/>
                <w:vertAlign w:val="baseline"/>
                <w:lang w:val="en-US" w:eastAsia="zh-CN"/>
              </w:rPr>
              <w:t>3</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169497D">
            <w:pPr>
              <w:spacing w:line="240" w:lineRule="auto"/>
              <w:ind w:left="0" w:leftChars="0" w:right="-92" w:rightChars="-44"/>
              <w:jc w:val="center"/>
              <w:rPr>
                <w:rFonts w:hint="default" w:ascii="仿宋" w:hAnsi="仿宋" w:eastAsia="仿宋" w:cs="仿宋"/>
                <w:color w:val="000000"/>
                <w:kern w:val="0"/>
                <w:sz w:val="28"/>
                <w:szCs w:val="28"/>
                <w:highlight w:val="none"/>
                <w:lang w:val="en-US" w:eastAsia="zh-CN" w:bidi="zh-CN"/>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7FFABB86">
            <w:pPr>
              <w:jc w:val="center"/>
              <w:rPr>
                <w:rFonts w:hint="eastAsia" w:ascii="仿宋" w:hAnsi="仿宋" w:eastAsia="仿宋" w:cs="仿宋"/>
                <w:kern w:val="2"/>
                <w:sz w:val="28"/>
                <w:szCs w:val="28"/>
                <w:highlight w:val="none"/>
                <w:vertAlign w:val="baseline"/>
                <w:lang w:val="en-US" w:eastAsia="zh-CN" w:bidi="ar-SA"/>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419E8FB6">
            <w:pPr>
              <w:spacing w:line="240" w:lineRule="auto"/>
              <w:ind w:left="0" w:leftChars="0" w:right="-92" w:rightChars="-44"/>
              <w:jc w:val="both"/>
              <w:rPr>
                <w:rFonts w:hint="default" w:ascii="仿宋" w:hAnsi="仿宋" w:eastAsia="仿宋" w:cs="仿宋"/>
                <w:color w:val="000000"/>
                <w:kern w:val="0"/>
                <w:sz w:val="28"/>
                <w:szCs w:val="28"/>
                <w:highlight w:val="none"/>
                <w:lang w:val="en-US" w:eastAsia="zh-CN" w:bidi="zh-CN"/>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54756543">
            <w:pPr>
              <w:jc w:val="both"/>
              <w:rPr>
                <w:rFonts w:hint="eastAsia" w:ascii="仿宋" w:hAnsi="仿宋" w:eastAsia="仿宋" w:cs="仿宋"/>
                <w:kern w:val="2"/>
                <w:sz w:val="28"/>
                <w:szCs w:val="28"/>
                <w:highlight w:val="none"/>
                <w:vertAlign w:val="baseline"/>
                <w:lang w:val="en-US" w:eastAsia="zh-CN" w:bidi="ar-SA"/>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6EDAD622">
            <w:pPr>
              <w:jc w:val="both"/>
              <w:rPr>
                <w:rFonts w:hint="eastAsia" w:ascii="仿宋" w:hAnsi="仿宋" w:eastAsia="仿宋" w:cs="仿宋"/>
                <w:kern w:val="2"/>
                <w:sz w:val="28"/>
                <w:szCs w:val="28"/>
                <w:highlight w:val="none"/>
                <w:vertAlign w:val="baseline"/>
                <w:lang w:val="en-US" w:eastAsia="zh-CN" w:bidi="ar-SA"/>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7F7C5D79">
            <w:pPr>
              <w:spacing w:line="240" w:lineRule="auto"/>
              <w:ind w:left="0" w:leftChars="0" w:right="-92" w:rightChars="-44"/>
              <w:jc w:val="both"/>
              <w:rPr>
                <w:rFonts w:hint="default" w:ascii="仿宋" w:hAnsi="仿宋" w:eastAsia="仿宋" w:cs="仿宋"/>
                <w:color w:val="000000"/>
                <w:kern w:val="0"/>
                <w:sz w:val="28"/>
                <w:szCs w:val="28"/>
                <w:highlight w:val="none"/>
                <w:lang w:val="en-US" w:eastAsia="zh-CN" w:bidi="zh-CN"/>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3C8F1085">
            <w:pPr>
              <w:jc w:val="both"/>
              <w:rPr>
                <w:rFonts w:hint="eastAsia" w:ascii="仿宋" w:hAnsi="仿宋" w:eastAsia="仿宋" w:cs="仿宋"/>
                <w:kern w:val="2"/>
                <w:sz w:val="24"/>
                <w:szCs w:val="24"/>
                <w:highlight w:val="none"/>
                <w:vertAlign w:val="baseli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1750E78">
            <w:pPr>
              <w:jc w:val="both"/>
              <w:rPr>
                <w:rFonts w:hint="eastAsia" w:ascii="仿宋" w:hAnsi="仿宋" w:eastAsia="仿宋" w:cs="仿宋"/>
                <w:kern w:val="2"/>
                <w:sz w:val="24"/>
                <w:szCs w:val="24"/>
                <w:highlight w:val="none"/>
                <w:vertAlign w:val="baseline"/>
                <w:lang w:val="en-US" w:eastAsia="zh-CN" w:bidi="ar-SA"/>
              </w:rPr>
            </w:pPr>
          </w:p>
        </w:tc>
      </w:tr>
      <w:tr w14:paraId="3B489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0CF6F091">
            <w:pPr>
              <w:jc w:val="center"/>
              <w:rPr>
                <w:rFonts w:hint="default" w:ascii="仿宋" w:hAnsi="仿宋" w:eastAsia="仿宋" w:cs="仿宋"/>
                <w:kern w:val="2"/>
                <w:sz w:val="28"/>
                <w:szCs w:val="28"/>
                <w:highlight w:val="none"/>
                <w:vertAlign w:val="baseline"/>
                <w:lang w:val="en-US" w:eastAsia="zh-CN" w:bidi="ar-SA"/>
              </w:rPr>
            </w:pPr>
            <w:r>
              <w:rPr>
                <w:rFonts w:hint="eastAsia" w:ascii="仿宋" w:hAnsi="仿宋" w:eastAsia="仿宋" w:cs="仿宋"/>
                <w:kern w:val="2"/>
                <w:sz w:val="28"/>
                <w:szCs w:val="28"/>
                <w:highlight w:val="none"/>
                <w:vertAlign w:val="baseline"/>
                <w:lang w:val="en-US" w:eastAsia="zh-CN" w:bidi="ar-SA"/>
              </w:rPr>
              <w:t>4</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1DB4F6">
            <w:pPr>
              <w:spacing w:line="240" w:lineRule="auto"/>
              <w:ind w:left="0" w:leftChars="0" w:right="-92" w:rightChars="-44"/>
              <w:jc w:val="both"/>
              <w:rPr>
                <w:rFonts w:hint="eastAsia" w:ascii="仿宋" w:hAnsi="仿宋" w:eastAsia="仿宋" w:cs="仿宋"/>
                <w:color w:val="000000"/>
                <w:kern w:val="0"/>
                <w:sz w:val="28"/>
                <w:szCs w:val="28"/>
                <w:highlight w:val="none"/>
                <w:lang w:val="en-US" w:eastAsia="zh-CN" w:bidi="zh-CN"/>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3AD2C034">
            <w:pPr>
              <w:jc w:val="both"/>
              <w:rPr>
                <w:rFonts w:hint="eastAsia" w:ascii="仿宋" w:hAnsi="仿宋" w:eastAsia="仿宋" w:cs="仿宋"/>
                <w:kern w:val="2"/>
                <w:sz w:val="28"/>
                <w:szCs w:val="28"/>
                <w:highlight w:val="none"/>
                <w:vertAlign w:val="baseline"/>
                <w:lang w:val="en-US" w:eastAsia="zh-CN" w:bidi="ar-SA"/>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274BF8CE">
            <w:pPr>
              <w:jc w:val="both"/>
              <w:rPr>
                <w:rFonts w:hint="default" w:ascii="仿宋" w:hAnsi="仿宋" w:eastAsia="仿宋" w:cs="仿宋"/>
                <w:kern w:val="2"/>
                <w:sz w:val="28"/>
                <w:szCs w:val="28"/>
                <w:highlight w:val="none"/>
                <w:vertAlign w:val="baseline"/>
                <w:lang w:val="en-US" w:eastAsia="zh-CN" w:bidi="ar-SA"/>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29B4030">
            <w:pPr>
              <w:jc w:val="both"/>
              <w:rPr>
                <w:rFonts w:hint="default" w:ascii="仿宋" w:hAnsi="仿宋" w:eastAsia="仿宋" w:cs="仿宋"/>
                <w:kern w:val="2"/>
                <w:sz w:val="28"/>
                <w:szCs w:val="28"/>
                <w:highlight w:val="none"/>
                <w:vertAlign w:val="baseline"/>
                <w:lang w:val="en-US" w:eastAsia="zh-CN" w:bidi="ar-SA"/>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61491BB6">
            <w:pPr>
              <w:jc w:val="both"/>
              <w:rPr>
                <w:rFonts w:hint="eastAsia" w:ascii="仿宋" w:hAnsi="仿宋" w:eastAsia="仿宋" w:cs="仿宋"/>
                <w:kern w:val="2"/>
                <w:sz w:val="28"/>
                <w:szCs w:val="28"/>
                <w:highlight w:val="none"/>
                <w:vertAlign w:val="baseline"/>
                <w:lang w:val="en-US" w:eastAsia="zh-CN" w:bidi="ar-SA"/>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12914C1F">
            <w:pPr>
              <w:jc w:val="center"/>
              <w:rPr>
                <w:rFonts w:hint="eastAsia" w:ascii="仿宋" w:hAnsi="仿宋" w:eastAsia="仿宋" w:cs="仿宋"/>
                <w:kern w:val="2"/>
                <w:sz w:val="28"/>
                <w:szCs w:val="28"/>
                <w:highlight w:val="none"/>
                <w:vertAlign w:val="baseline"/>
                <w:lang w:val="en-US" w:eastAsia="zh-CN" w:bidi="ar-SA"/>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0417ACFC">
            <w:pPr>
              <w:jc w:val="both"/>
              <w:rPr>
                <w:rFonts w:hint="eastAsia" w:ascii="仿宋" w:hAnsi="仿宋" w:eastAsia="仿宋" w:cs="仿宋"/>
                <w:kern w:val="2"/>
                <w:sz w:val="24"/>
                <w:szCs w:val="24"/>
                <w:highlight w:val="none"/>
                <w:vertAlign w:val="baseline"/>
                <w:lang w:val="en-US" w:eastAsia="zh-CN" w:bidi="ar-SA"/>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F4013C8">
            <w:pPr>
              <w:jc w:val="both"/>
              <w:rPr>
                <w:rFonts w:hint="eastAsia" w:ascii="仿宋" w:hAnsi="仿宋" w:eastAsia="仿宋" w:cs="仿宋"/>
                <w:kern w:val="2"/>
                <w:sz w:val="24"/>
                <w:szCs w:val="24"/>
                <w:highlight w:val="none"/>
                <w:vertAlign w:val="baseline"/>
                <w:lang w:val="en-US" w:eastAsia="zh-CN" w:bidi="ar-SA"/>
              </w:rPr>
            </w:pPr>
          </w:p>
        </w:tc>
      </w:tr>
      <w:tr w14:paraId="5B95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2A8D7260">
            <w:pPr>
              <w:snapToGrid w:val="0"/>
              <w:spacing w:beforeLines="50"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0C481EC">
            <w:pPr>
              <w:spacing w:line="240" w:lineRule="auto"/>
              <w:ind w:left="0" w:leftChars="0" w:right="-92" w:rightChars="-44"/>
              <w:jc w:val="both"/>
              <w:rPr>
                <w:rFonts w:hint="eastAsia" w:ascii="仿宋" w:hAnsi="仿宋" w:eastAsia="仿宋" w:cs="仿宋"/>
                <w:sz w:val="28"/>
                <w:szCs w:val="28"/>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4284DE36">
            <w:pPr>
              <w:jc w:val="both"/>
              <w:rPr>
                <w:rFonts w:hint="eastAsia" w:ascii="仿宋" w:hAnsi="仿宋" w:eastAsia="仿宋" w:cs="仿宋"/>
                <w:sz w:val="28"/>
                <w:szCs w:val="28"/>
                <w:highlight w:val="none"/>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6A25A27F">
            <w:pPr>
              <w:jc w:val="center"/>
              <w:rPr>
                <w:rFonts w:hint="eastAsia" w:ascii="仿宋" w:hAnsi="仿宋" w:eastAsia="仿宋" w:cs="仿宋"/>
                <w:sz w:val="28"/>
                <w:szCs w:val="28"/>
                <w:highlight w:val="none"/>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7059EC11">
            <w:pPr>
              <w:jc w:val="both"/>
              <w:rPr>
                <w:rFonts w:hint="eastAsia" w:ascii="仿宋" w:hAnsi="仿宋" w:eastAsia="仿宋" w:cs="仿宋"/>
                <w:sz w:val="28"/>
                <w:szCs w:val="28"/>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117DA5B5">
            <w:pPr>
              <w:jc w:val="both"/>
              <w:rPr>
                <w:rFonts w:hint="eastAsia" w:ascii="仿宋" w:hAnsi="仿宋" w:eastAsia="仿宋" w:cs="仿宋"/>
                <w:sz w:val="28"/>
                <w:szCs w:val="28"/>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4E9F79E7">
            <w:pPr>
              <w:jc w:val="both"/>
              <w:rPr>
                <w:rFonts w:hint="eastAsia" w:ascii="仿宋" w:hAnsi="仿宋" w:eastAsia="仿宋" w:cs="仿宋"/>
                <w:sz w:val="28"/>
                <w:szCs w:val="28"/>
                <w:highlight w:val="none"/>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474371D1">
            <w:pPr>
              <w:jc w:val="both"/>
              <w:rPr>
                <w:rFonts w:hint="eastAsia" w:ascii="仿宋" w:hAnsi="仿宋" w:eastAsia="仿宋" w:cs="仿宋"/>
                <w:sz w:val="28"/>
                <w:szCs w:val="28"/>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8D9A465">
            <w:pPr>
              <w:jc w:val="both"/>
              <w:rPr>
                <w:rFonts w:hint="eastAsia" w:ascii="仿宋" w:hAnsi="仿宋" w:eastAsia="仿宋" w:cs="仿宋"/>
                <w:sz w:val="28"/>
                <w:szCs w:val="28"/>
                <w:highlight w:val="none"/>
              </w:rPr>
            </w:pPr>
          </w:p>
        </w:tc>
      </w:tr>
      <w:tr w14:paraId="0A87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14:paraId="523C8324">
            <w:pPr>
              <w:snapToGrid w:val="0"/>
              <w:spacing w:beforeLines="50"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BC1A531">
            <w:pPr>
              <w:spacing w:line="240" w:lineRule="auto"/>
              <w:ind w:left="0" w:leftChars="0" w:right="-92" w:rightChars="-44"/>
              <w:jc w:val="both"/>
              <w:rPr>
                <w:rFonts w:hint="eastAsia" w:ascii="仿宋" w:hAnsi="仿宋" w:eastAsia="仿宋" w:cs="仿宋"/>
                <w:sz w:val="28"/>
                <w:szCs w:val="28"/>
                <w:highlight w:val="none"/>
              </w:rPr>
            </w:pPr>
          </w:p>
        </w:tc>
        <w:tc>
          <w:tcPr>
            <w:tcW w:w="621" w:type="dxa"/>
            <w:tcBorders>
              <w:top w:val="single" w:color="auto" w:sz="4" w:space="0"/>
              <w:left w:val="single" w:color="auto" w:sz="4" w:space="0"/>
              <w:bottom w:val="single" w:color="auto" w:sz="4" w:space="0"/>
              <w:right w:val="single" w:color="auto" w:sz="4" w:space="0"/>
            </w:tcBorders>
            <w:noWrap w:val="0"/>
            <w:vAlign w:val="center"/>
          </w:tcPr>
          <w:p w14:paraId="109D7218">
            <w:pPr>
              <w:jc w:val="both"/>
              <w:rPr>
                <w:rFonts w:hint="eastAsia" w:ascii="仿宋" w:hAnsi="仿宋" w:eastAsia="仿宋" w:cs="仿宋"/>
                <w:sz w:val="28"/>
                <w:szCs w:val="28"/>
                <w:highlight w:val="none"/>
              </w:rPr>
            </w:pPr>
          </w:p>
        </w:tc>
        <w:tc>
          <w:tcPr>
            <w:tcW w:w="639" w:type="dxa"/>
            <w:tcBorders>
              <w:top w:val="single" w:color="auto" w:sz="4" w:space="0"/>
              <w:left w:val="single" w:color="auto" w:sz="4" w:space="0"/>
              <w:bottom w:val="single" w:color="auto" w:sz="4" w:space="0"/>
              <w:right w:val="single" w:color="auto" w:sz="4" w:space="0"/>
            </w:tcBorders>
            <w:noWrap w:val="0"/>
            <w:vAlign w:val="center"/>
          </w:tcPr>
          <w:p w14:paraId="39ED30DA">
            <w:pPr>
              <w:jc w:val="both"/>
              <w:rPr>
                <w:rFonts w:hint="eastAsia" w:ascii="仿宋" w:hAnsi="仿宋" w:eastAsia="仿宋" w:cs="仿宋"/>
                <w:sz w:val="28"/>
                <w:szCs w:val="28"/>
                <w:highlight w:val="none"/>
              </w:rPr>
            </w:pPr>
          </w:p>
        </w:tc>
        <w:tc>
          <w:tcPr>
            <w:tcW w:w="1044" w:type="dxa"/>
            <w:tcBorders>
              <w:top w:val="single" w:color="auto" w:sz="4" w:space="0"/>
              <w:left w:val="single" w:color="auto" w:sz="4" w:space="0"/>
              <w:bottom w:val="single" w:color="auto" w:sz="4" w:space="0"/>
              <w:right w:val="single" w:color="auto" w:sz="4" w:space="0"/>
            </w:tcBorders>
            <w:noWrap w:val="0"/>
            <w:vAlign w:val="center"/>
          </w:tcPr>
          <w:p w14:paraId="46B8CB67">
            <w:pPr>
              <w:jc w:val="center"/>
              <w:rPr>
                <w:rFonts w:hint="eastAsia" w:ascii="仿宋" w:hAnsi="仿宋" w:eastAsia="仿宋" w:cs="仿宋"/>
                <w:sz w:val="28"/>
                <w:szCs w:val="28"/>
                <w:highlight w:val="none"/>
              </w:rPr>
            </w:pPr>
          </w:p>
        </w:tc>
        <w:tc>
          <w:tcPr>
            <w:tcW w:w="825" w:type="dxa"/>
            <w:tcBorders>
              <w:top w:val="single" w:color="auto" w:sz="4" w:space="0"/>
              <w:left w:val="single" w:color="auto" w:sz="4" w:space="0"/>
              <w:bottom w:val="single" w:color="auto" w:sz="4" w:space="0"/>
              <w:right w:val="single" w:color="auto" w:sz="4" w:space="0"/>
            </w:tcBorders>
            <w:noWrap w:val="0"/>
            <w:vAlign w:val="center"/>
          </w:tcPr>
          <w:p w14:paraId="62FFC704">
            <w:pPr>
              <w:jc w:val="both"/>
              <w:rPr>
                <w:rFonts w:hint="eastAsia" w:ascii="仿宋" w:hAnsi="仿宋" w:eastAsia="仿宋" w:cs="仿宋"/>
                <w:sz w:val="28"/>
                <w:szCs w:val="28"/>
                <w:highlight w:val="none"/>
              </w:rPr>
            </w:pPr>
          </w:p>
        </w:tc>
        <w:tc>
          <w:tcPr>
            <w:tcW w:w="1935" w:type="dxa"/>
            <w:tcBorders>
              <w:top w:val="single" w:color="auto" w:sz="4" w:space="0"/>
              <w:left w:val="single" w:color="auto" w:sz="4" w:space="0"/>
              <w:bottom w:val="single" w:color="auto" w:sz="4" w:space="0"/>
              <w:right w:val="single" w:color="auto" w:sz="4" w:space="0"/>
            </w:tcBorders>
            <w:noWrap w:val="0"/>
            <w:vAlign w:val="center"/>
          </w:tcPr>
          <w:p w14:paraId="274A378C">
            <w:pPr>
              <w:jc w:val="both"/>
              <w:rPr>
                <w:rFonts w:hint="eastAsia" w:ascii="仿宋" w:hAnsi="仿宋" w:eastAsia="仿宋" w:cs="仿宋"/>
                <w:sz w:val="28"/>
                <w:szCs w:val="28"/>
                <w:highlight w:val="none"/>
              </w:rPr>
            </w:pPr>
          </w:p>
        </w:tc>
        <w:tc>
          <w:tcPr>
            <w:tcW w:w="1949" w:type="dxa"/>
            <w:tcBorders>
              <w:top w:val="single" w:color="auto" w:sz="4" w:space="0"/>
              <w:left w:val="single" w:color="auto" w:sz="4" w:space="0"/>
              <w:bottom w:val="single" w:color="auto" w:sz="4" w:space="0"/>
              <w:right w:val="single" w:color="auto" w:sz="4" w:space="0"/>
            </w:tcBorders>
            <w:noWrap w:val="0"/>
            <w:vAlign w:val="center"/>
          </w:tcPr>
          <w:p w14:paraId="6CA3C813">
            <w:pPr>
              <w:jc w:val="both"/>
              <w:rPr>
                <w:rFonts w:hint="eastAsia" w:ascii="仿宋" w:hAnsi="仿宋" w:eastAsia="仿宋" w:cs="仿宋"/>
                <w:sz w:val="28"/>
                <w:szCs w:val="28"/>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9210DA3">
            <w:pPr>
              <w:jc w:val="both"/>
              <w:rPr>
                <w:rFonts w:hint="eastAsia" w:ascii="仿宋" w:hAnsi="仿宋" w:eastAsia="仿宋" w:cs="仿宋"/>
                <w:sz w:val="28"/>
                <w:szCs w:val="28"/>
                <w:highlight w:val="none"/>
              </w:rPr>
            </w:pPr>
          </w:p>
        </w:tc>
      </w:tr>
      <w:tr w14:paraId="5173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0109" w:type="dxa"/>
            <w:gridSpan w:val="9"/>
            <w:tcBorders>
              <w:top w:val="single" w:color="auto" w:sz="4" w:space="0"/>
              <w:left w:val="single" w:color="auto" w:sz="4" w:space="0"/>
              <w:bottom w:val="single" w:color="auto" w:sz="4" w:space="0"/>
              <w:right w:val="single" w:color="auto" w:sz="4" w:space="0"/>
            </w:tcBorders>
            <w:noWrap w:val="0"/>
            <w:vAlign w:val="center"/>
          </w:tcPr>
          <w:p w14:paraId="08BEDF59">
            <w:pPr>
              <w:snapToGrid w:val="0"/>
              <w:spacing w:beforeLines="50" w:line="500" w:lineRule="exact"/>
              <w:jc w:val="center"/>
              <w:rPr>
                <w:rFonts w:hint="eastAsia" w:ascii="仿宋" w:hAnsi="仿宋" w:eastAsia="仿宋" w:cs="仿宋"/>
                <w:color w:val="FF0000"/>
                <w:sz w:val="28"/>
                <w:szCs w:val="28"/>
                <w:highlight w:val="none"/>
              </w:rPr>
            </w:pPr>
          </w:p>
        </w:tc>
      </w:tr>
    </w:tbl>
    <w:p w14:paraId="4FD9E0FF">
      <w:pPr>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注：为满足完成监理任务需要，监理人员配置必须根据委托人要求和施工进度进行调配。</w:t>
      </w:r>
    </w:p>
    <w:p w14:paraId="371A6A2F">
      <w:pPr>
        <w:spacing w:line="360" w:lineRule="auto"/>
        <w:jc w:val="right"/>
        <w:rPr>
          <w:rFonts w:hint="eastAsia" w:ascii="仿宋" w:hAnsi="仿宋" w:eastAsia="仿宋" w:cs="仿宋"/>
          <w:sz w:val="28"/>
          <w:szCs w:val="28"/>
          <w:highlight w:val="none"/>
          <w:u w:val="single"/>
        </w:rPr>
      </w:pPr>
    </w:p>
    <w:p w14:paraId="7FDF09FE">
      <w:pPr>
        <w:spacing w:line="360" w:lineRule="auto"/>
        <w:jc w:val="both"/>
        <w:rPr>
          <w:rFonts w:hint="eastAsia" w:ascii="仿宋" w:hAnsi="仿宋" w:eastAsia="仿宋" w:cs="仿宋"/>
          <w:sz w:val="28"/>
          <w:szCs w:val="28"/>
          <w:highlight w:val="none"/>
          <w:u w:val="single"/>
        </w:rPr>
      </w:pPr>
    </w:p>
    <w:p w14:paraId="51719675">
      <w:pPr>
        <w:spacing w:line="360" w:lineRule="auto"/>
        <w:jc w:val="right"/>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u w:val="single"/>
          <w:lang w:val="en-US" w:eastAsia="zh-CN"/>
        </w:rPr>
        <w:t>（盖章）</w:t>
      </w:r>
    </w:p>
    <w:p w14:paraId="4E19E3E2">
      <w:pPr>
        <w:spacing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41DB9F56">
      <w:pPr>
        <w:spacing w:line="360" w:lineRule="auto"/>
        <w:outlineLvl w:val="0"/>
        <w:rPr>
          <w:rFonts w:hint="eastAsia" w:ascii="仿宋" w:hAnsi="仿宋" w:eastAsia="仿宋" w:cs="仿宋"/>
          <w:b/>
          <w:sz w:val="28"/>
          <w:szCs w:val="28"/>
          <w:highlight w:val="none"/>
        </w:rPr>
      </w:pPr>
    </w:p>
    <w:p w14:paraId="6B95DEBF">
      <w:pPr>
        <w:spacing w:line="360" w:lineRule="auto"/>
        <w:outlineLvl w:val="0"/>
        <w:rPr>
          <w:rFonts w:hint="eastAsia" w:ascii="仿宋" w:hAnsi="仿宋" w:eastAsia="仿宋" w:cs="仿宋"/>
          <w:b/>
          <w:sz w:val="28"/>
          <w:szCs w:val="28"/>
          <w:highlight w:val="none"/>
        </w:rPr>
      </w:pPr>
    </w:p>
    <w:p w14:paraId="79156D6E">
      <w:pPr>
        <w:spacing w:line="360" w:lineRule="auto"/>
        <w:outlineLvl w:val="0"/>
        <w:rPr>
          <w:rFonts w:hint="eastAsia" w:ascii="仿宋" w:hAnsi="仿宋" w:eastAsia="仿宋" w:cs="仿宋"/>
          <w:b/>
          <w:sz w:val="28"/>
          <w:szCs w:val="28"/>
          <w:highlight w:val="none"/>
        </w:rPr>
      </w:pPr>
    </w:p>
    <w:p w14:paraId="29C3E894">
      <w:pPr>
        <w:spacing w:line="360" w:lineRule="auto"/>
        <w:outlineLvl w:val="0"/>
        <w:rPr>
          <w:rFonts w:hint="eastAsia" w:ascii="仿宋" w:hAnsi="仿宋" w:eastAsia="仿宋" w:cs="仿宋"/>
          <w:b/>
          <w:sz w:val="28"/>
          <w:szCs w:val="28"/>
          <w:highlight w:val="none"/>
        </w:rPr>
      </w:pPr>
    </w:p>
    <w:p w14:paraId="4EDC197C">
      <w:pPr>
        <w:spacing w:line="360" w:lineRule="auto"/>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t>附件2</w:t>
      </w:r>
    </w:p>
    <w:p w14:paraId="133BD01B">
      <w:pPr>
        <w:pStyle w:val="6"/>
        <w:tabs>
          <w:tab w:val="left" w:pos="6660"/>
        </w:tabs>
        <w:spacing w:line="360" w:lineRule="auto"/>
        <w:ind w:firstLine="422"/>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工程项目廉政承诺书</w:t>
      </w:r>
    </w:p>
    <w:p w14:paraId="2B119400">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为加强对曲江新区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spacing w:val="8"/>
          <w:sz w:val="28"/>
          <w:szCs w:val="28"/>
          <w:highlight w:val="none"/>
          <w:u w:val="single"/>
          <w:lang w:eastAsia="zh-CN"/>
        </w:rPr>
        <w:t>西安曲江新区公共项目建设管理中心</w:t>
      </w:r>
      <w:r>
        <w:rPr>
          <w:rFonts w:hint="eastAsia" w:ascii="仿宋" w:hAnsi="仿宋" w:eastAsia="仿宋" w:cs="仿宋"/>
          <w:sz w:val="28"/>
          <w:szCs w:val="28"/>
          <w:highlight w:val="none"/>
        </w:rPr>
        <w:t xml:space="preserve">(以下简称甲方)与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 xml:space="preserve"> (以下简称乙方)，特签订本廉政承诺书。 </w:t>
      </w:r>
    </w:p>
    <w:p w14:paraId="7826AC7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甲乙</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的权利和义务：</w:t>
      </w:r>
    </w:p>
    <w:p w14:paraId="74F0F32F">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同意并声明，在业务活动中：</w:t>
      </w:r>
    </w:p>
    <w:p w14:paraId="53B41EF8">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(一)严格、自觉的遵守和执行国家关于市场准入、工程建设、和市场活动的有关法律、法规、相关政策以及党和国家关于党风廉政建设的各项规定。严格执行经济合同文件，执行工程建设管理制度。</w:t>
      </w:r>
    </w:p>
    <w:p w14:paraId="43343778">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(二)</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的业务活动坚持公开、公正、诚信的原则(除法律认定的商业秘密和合同文件另有规定之外)，严格、自觉按照合同办事，不得损害国家和甲乙</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的利益。</w:t>
      </w:r>
    </w:p>
    <w:p w14:paraId="7A663CB7">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19952C3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(四)倡导相互监督，发现对方在业务活动中有违反廉政规定行为的，有及时提醒对方纠正的权利和义务。发现对方违反承诺条款的，有向其上级有关部门举报并要求告知处理结果的权利。</w:t>
      </w:r>
    </w:p>
    <w:p w14:paraId="5AD21AAF">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(五)不以损害国家、集体或第三人利益为代价获取不正当的利益。</w:t>
      </w:r>
    </w:p>
    <w:p w14:paraId="47966DF2">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甲方的承诺：</w:t>
      </w:r>
    </w:p>
    <w:p w14:paraId="7F444336">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甲方工作人员在工程建设中应遵守如下规定：</w:t>
      </w:r>
    </w:p>
    <w:p w14:paraId="75D04D01">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(一)不得索要或接受乙方钱物(现金、有价证券、信用卡、礼金、奖金、补贴、物品等)，不得在乙方报销任何应由甲方或个人支付的费用。</w:t>
      </w:r>
    </w:p>
    <w:p w14:paraId="3F9886D9">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(二)不得接受乙方安排的可能影响公务的住宿、宴请娱乐及出国（境）、旅游观光活动；不得接受乙方提供的合同规定外的通讯工具、交通工具和高档办公用品等。</w:t>
      </w:r>
    </w:p>
    <w:p w14:paraId="05F867AE">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(三)不得要求或者接受乙方为其及家庭成员在住房装修、婚丧嫁娶、配偶子女的工作安排及出国、出境、旅游等方面提供方便。</w:t>
      </w:r>
    </w:p>
    <w:p w14:paraId="13219732">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(四)工作人员及其配偶、子女、亲属不得从事与工程有关的材料设备供应、工程分包、劳务等经济活动。</w:t>
      </w:r>
    </w:p>
    <w:p w14:paraId="08B8B6BA">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(五)不得为获取乙方回扣或其他谋取私利而多签或多算工程量、多结工程款；不得从乙方承包的工程中收受回扣，谋取私利。</w:t>
      </w:r>
    </w:p>
    <w:p w14:paraId="6DDA4CB4">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(六)不得因乙方拒绝本人的不合理要求，而故意刁难乙方。</w:t>
      </w:r>
    </w:p>
    <w:p w14:paraId="15F12CBA">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(七)其它有关违反廉政规定的行为。</w:t>
      </w:r>
    </w:p>
    <w:p w14:paraId="16291B90">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乙方的承诺：</w:t>
      </w:r>
    </w:p>
    <w:p w14:paraId="2E8A7618">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乙方应与甲方保持正常的业务来往，按照有关法律、法规和工作程序开展业务工作并遵守以下规定：</w:t>
      </w:r>
    </w:p>
    <w:p w14:paraId="664A16EE">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(一)不得以任何理由向甲方赠送钱物(现金、有价证券、信用卡、礼金、奖金、补贴、物品等)。</w:t>
      </w:r>
    </w:p>
    <w:p w14:paraId="677349CF">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(二)不得以任何名义为甲方报销应由甲方或个人支付的任何费用。</w:t>
      </w:r>
    </w:p>
    <w:p w14:paraId="1D4DFAF5">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(三)不准以任何理由为甲方和其它相关单位及其工作人员提供有可能影响执行公务的宴请、健身和娱乐等活动。</w:t>
      </w:r>
    </w:p>
    <w:p w14:paraId="6CB2C99D">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(四)坚决执行国家及行业有关法规法令，严格履行监理职责，忠于职守，严格把关，对自己签认的各种工程质量数据终身负责。</w:t>
      </w:r>
    </w:p>
    <w:p w14:paraId="569C7746">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(五)不利用职权安排直系亲属及主要社会关系在自己管理项目内工作。</w:t>
      </w:r>
    </w:p>
    <w:p w14:paraId="360417D8">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(六)不接受、索要施工单位的礼金、加班费、有价证券和贵重礼品，不在施工单位报销任何票据。</w:t>
      </w:r>
    </w:p>
    <w:p w14:paraId="658EB4B1">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(七)不利用职权向施工单位介绍施工设备、材料及供应商。</w:t>
      </w:r>
    </w:p>
    <w:p w14:paraId="0A5EE44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(八)不向施工单位介绍工程分包人和参与工程分包。</w:t>
      </w:r>
    </w:p>
    <w:p w14:paraId="1B87D9E9">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(九)在工程工序交验过程当中不故意刁难施工单位，严格按照合同文件及上级的要求报验，做到公正、合法。</w:t>
      </w:r>
    </w:p>
    <w:p w14:paraId="4E8BFB7E">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(十)不参加施工单位及相关单位邀请的影响公正执业的各种宴请和娱乐活动。</w:t>
      </w:r>
    </w:p>
    <w:p w14:paraId="246AE70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(十一)验工计价时不利用职权故意克扣施工单位。</w:t>
      </w:r>
    </w:p>
    <w:p w14:paraId="179E3ABD">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(十二)不利用职权要求施工单位提供合同以外服务。</w:t>
      </w:r>
    </w:p>
    <w:p w14:paraId="3ADEB47F">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(十三)对于工程数量符合、变更等，公正实事求是地进行处理，即不损害甲方的利益又能使施工单位的利益不受到侵害。</w:t>
      </w:r>
    </w:p>
    <w:p w14:paraId="095262C3">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(十四)不准接受或暗示为甲方和其它相关单位及其工作人员装修房屋、婚丧嫁娶、配偶子女的工作安排以及出国（境）、旅游观光活动提供方便。</w:t>
      </w:r>
    </w:p>
    <w:p w14:paraId="50922FF2">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(十五)不准利用黄、赌、贿等各种手段拉拢腐蚀甲方工作人员。</w:t>
      </w:r>
    </w:p>
    <w:p w14:paraId="40E8E4F9">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(七)其它有关违反廉政规定的行为。</w:t>
      </w:r>
    </w:p>
    <w:p w14:paraId="31F463A0">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责任追究：</w:t>
      </w:r>
    </w:p>
    <w:p w14:paraId="58DE857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一)甲方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12E45389">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(二)乙方若违反本承诺规定，甲方有权要求乙方对责任人进行处理。情节严重的，限制乙方不得进入曲江新区工程建设市场；在新闻媒体曝光并报乙方上级或行业主管部门。</w:t>
      </w:r>
    </w:p>
    <w:p w14:paraId="667E5A6A">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本承诺书由</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单位或上级主管单位的纪检、监察部门负责监督执行。</w:t>
      </w:r>
    </w:p>
    <w:p w14:paraId="4762CB28">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本合同作为工程施工工程监理合同的组成部分，</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签字盖章或盖章后即生效，有效期为</w:t>
      </w:r>
      <w:r>
        <w:rPr>
          <w:rFonts w:hint="eastAsia" w:ascii="仿宋" w:hAnsi="仿宋" w:eastAsia="仿宋" w:cs="仿宋"/>
          <w:sz w:val="28"/>
          <w:szCs w:val="28"/>
          <w:highlight w:val="none"/>
          <w:lang w:eastAsia="zh-CN"/>
        </w:rPr>
        <w:t>各方</w:t>
      </w:r>
      <w:r>
        <w:rPr>
          <w:rFonts w:hint="eastAsia" w:ascii="仿宋" w:hAnsi="仿宋" w:eastAsia="仿宋" w:cs="仿宋"/>
          <w:sz w:val="28"/>
          <w:szCs w:val="28"/>
          <w:highlight w:val="none"/>
        </w:rPr>
        <w:t>签署之日起至该工程项目竣工验收合格并办理完毕工程结算时止。</w:t>
      </w:r>
    </w:p>
    <w:p w14:paraId="66D83C0C">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（以下无正文）</w:t>
      </w:r>
    </w:p>
    <w:p w14:paraId="0B3FD251">
      <w:pPr>
        <w:pStyle w:val="6"/>
        <w:tabs>
          <w:tab w:val="left" w:pos="6660"/>
        </w:tabs>
        <w:spacing w:line="360" w:lineRule="auto"/>
        <w:ind w:firstLine="420"/>
        <w:rPr>
          <w:rFonts w:hint="eastAsia" w:ascii="仿宋" w:hAnsi="仿宋" w:eastAsia="仿宋" w:cs="仿宋"/>
          <w:sz w:val="28"/>
          <w:szCs w:val="28"/>
          <w:highlight w:val="none"/>
        </w:rPr>
      </w:pPr>
    </w:p>
    <w:p w14:paraId="55E217E2">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甲方名称：                             乙方名称：              </w:t>
      </w:r>
    </w:p>
    <w:p w14:paraId="3A75DBAF">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（盖章）                                 （盖章）               </w:t>
      </w:r>
    </w:p>
    <w:p w14:paraId="21141590">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p>
    <w:p w14:paraId="6B36D1C9">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法定代表人：                            法定代表人：            </w:t>
      </w:r>
    </w:p>
    <w:p w14:paraId="493586D6">
      <w:pPr>
        <w:pStyle w:val="6"/>
        <w:tabs>
          <w:tab w:val="left" w:pos="6660"/>
        </w:tabs>
        <w:spacing w:line="36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或委托代理人：                          或委托代理人：            </w:t>
      </w:r>
    </w:p>
    <w:p w14:paraId="1411F821">
      <w:pPr>
        <w:pStyle w:val="6"/>
        <w:tabs>
          <w:tab w:val="left" w:pos="6660"/>
        </w:tabs>
        <w:snapToGrid w:val="0"/>
        <w:ind w:left="0" w:leftChars="0" w:firstLine="0" w:firstLineChars="0"/>
        <w:rPr>
          <w:rFonts w:hint="eastAsia" w:ascii="仿宋" w:hAnsi="仿宋" w:eastAsia="仿宋" w:cs="仿宋"/>
          <w:sz w:val="28"/>
          <w:szCs w:val="28"/>
          <w:highlight w:val="none"/>
        </w:rPr>
      </w:pPr>
    </w:p>
    <w:p w14:paraId="1F33AB26">
      <w:pPr>
        <w:pStyle w:val="6"/>
        <w:tabs>
          <w:tab w:val="left" w:pos="6660"/>
        </w:tabs>
        <w:snapToGrid w:val="0"/>
        <w:ind w:left="0" w:leftChars="0" w:firstLine="0" w:firstLineChars="0"/>
        <w:rPr>
          <w:rFonts w:hint="eastAsia" w:ascii="仿宋" w:hAnsi="仿宋" w:eastAsia="仿宋" w:cs="仿宋"/>
          <w:sz w:val="28"/>
          <w:szCs w:val="28"/>
          <w:highlight w:val="none"/>
        </w:rPr>
      </w:pPr>
    </w:p>
    <w:p w14:paraId="508037D0">
      <w:pPr>
        <w:pStyle w:val="6"/>
        <w:tabs>
          <w:tab w:val="left" w:pos="6660"/>
        </w:tabs>
        <w:snapToGrid w:val="0"/>
        <w:ind w:firstLine="420"/>
        <w:rPr>
          <w:rFonts w:hint="eastAsia" w:ascii="仿宋" w:hAnsi="仿宋" w:eastAsia="仿宋" w:cs="仿宋"/>
          <w:sz w:val="28"/>
          <w:szCs w:val="28"/>
          <w:highlight w:val="none"/>
        </w:rPr>
      </w:pPr>
    </w:p>
    <w:p w14:paraId="43C127EA">
      <w:pPr>
        <w:pStyle w:val="6"/>
        <w:tabs>
          <w:tab w:val="left" w:pos="6660"/>
        </w:tabs>
        <w:snapToGrid w:val="0"/>
        <w:ind w:left="0" w:leftChars="0" w:firstLine="0" w:firstLineChars="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签订日期：</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日</w:t>
      </w:r>
    </w:p>
    <w:p w14:paraId="6C5ACCAC">
      <w:pPr>
        <w:spacing w:line="360" w:lineRule="auto"/>
        <w:outlineLvl w:val="0"/>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r>
        <w:rPr>
          <w:rFonts w:hint="eastAsia" w:ascii="仿宋" w:hAnsi="仿宋" w:eastAsia="仿宋" w:cs="仿宋"/>
          <w:b/>
          <w:sz w:val="28"/>
          <w:szCs w:val="28"/>
          <w:highlight w:val="none"/>
        </w:rPr>
        <w:t>附件3</w:t>
      </w:r>
    </w:p>
    <w:tbl>
      <w:tblPr>
        <w:tblStyle w:val="8"/>
        <w:tblW w:w="9183" w:type="dxa"/>
        <w:tblInd w:w="93" w:type="dxa"/>
        <w:tblLayout w:type="fixed"/>
        <w:tblCellMar>
          <w:top w:w="0" w:type="dxa"/>
          <w:left w:w="108" w:type="dxa"/>
          <w:bottom w:w="0" w:type="dxa"/>
          <w:right w:w="108" w:type="dxa"/>
        </w:tblCellMar>
      </w:tblPr>
      <w:tblGrid>
        <w:gridCol w:w="1202"/>
        <w:gridCol w:w="7981"/>
      </w:tblGrid>
      <w:tr w14:paraId="30515031">
        <w:tblPrEx>
          <w:tblCellMar>
            <w:top w:w="0" w:type="dxa"/>
            <w:left w:w="108" w:type="dxa"/>
            <w:bottom w:w="0" w:type="dxa"/>
            <w:right w:w="108" w:type="dxa"/>
          </w:tblCellMar>
        </w:tblPrEx>
        <w:trPr>
          <w:trHeight w:val="658" w:hRule="atLeast"/>
        </w:trPr>
        <w:tc>
          <w:tcPr>
            <w:tcW w:w="9183" w:type="dxa"/>
            <w:gridSpan w:val="2"/>
            <w:tcBorders>
              <w:top w:val="nil"/>
              <w:left w:val="nil"/>
              <w:bottom w:val="nil"/>
              <w:right w:val="nil"/>
            </w:tcBorders>
            <w:noWrap w:val="0"/>
            <w:vAlign w:val="center"/>
          </w:tcPr>
          <w:p w14:paraId="7013C5A5">
            <w:pPr>
              <w:widowControl/>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监理违约处罚单</w:t>
            </w:r>
          </w:p>
        </w:tc>
      </w:tr>
      <w:tr w14:paraId="0F277BDC">
        <w:tblPrEx>
          <w:tblCellMar>
            <w:top w:w="0" w:type="dxa"/>
            <w:left w:w="108" w:type="dxa"/>
            <w:bottom w:w="0" w:type="dxa"/>
            <w:right w:w="108" w:type="dxa"/>
          </w:tblCellMar>
        </w:tblPrEx>
        <w:trPr>
          <w:trHeight w:val="915" w:hRule="atLeast"/>
        </w:trPr>
        <w:tc>
          <w:tcPr>
            <w:tcW w:w="1202" w:type="dxa"/>
            <w:tcBorders>
              <w:top w:val="single" w:color="auto" w:sz="8" w:space="0"/>
              <w:left w:val="single" w:color="auto" w:sz="8" w:space="0"/>
              <w:bottom w:val="single" w:color="auto" w:sz="4" w:space="0"/>
              <w:right w:val="single" w:color="auto" w:sz="4" w:space="0"/>
            </w:tcBorders>
            <w:noWrap w:val="0"/>
            <w:vAlign w:val="center"/>
          </w:tcPr>
          <w:p w14:paraId="3A6F8C8E">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项目名称</w:t>
            </w:r>
          </w:p>
        </w:tc>
        <w:tc>
          <w:tcPr>
            <w:tcW w:w="7981" w:type="dxa"/>
            <w:tcBorders>
              <w:top w:val="single" w:color="auto" w:sz="8" w:space="0"/>
              <w:left w:val="nil"/>
              <w:bottom w:val="nil"/>
              <w:right w:val="single" w:color="000000" w:sz="8" w:space="0"/>
            </w:tcBorders>
            <w:noWrap w:val="0"/>
            <w:vAlign w:val="center"/>
          </w:tcPr>
          <w:p w14:paraId="5DCBBE60">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w:t>
            </w:r>
          </w:p>
        </w:tc>
      </w:tr>
      <w:tr w14:paraId="55DB2885">
        <w:tblPrEx>
          <w:tblCellMar>
            <w:top w:w="0" w:type="dxa"/>
            <w:left w:w="108" w:type="dxa"/>
            <w:bottom w:w="0" w:type="dxa"/>
            <w:right w:w="108" w:type="dxa"/>
          </w:tblCellMar>
        </w:tblPrEx>
        <w:trPr>
          <w:trHeight w:val="1281" w:hRule="atLeast"/>
        </w:trPr>
        <w:tc>
          <w:tcPr>
            <w:tcW w:w="1202" w:type="dxa"/>
            <w:vMerge w:val="restart"/>
            <w:tcBorders>
              <w:top w:val="nil"/>
              <w:left w:val="single" w:color="auto" w:sz="8" w:space="0"/>
              <w:bottom w:val="single" w:color="auto" w:sz="4" w:space="0"/>
              <w:right w:val="nil"/>
            </w:tcBorders>
            <w:noWrap w:val="0"/>
            <w:vAlign w:val="center"/>
          </w:tcPr>
          <w:p w14:paraId="6E0A7050">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违约情况</w:t>
            </w:r>
          </w:p>
        </w:tc>
        <w:tc>
          <w:tcPr>
            <w:tcW w:w="7981" w:type="dxa"/>
            <w:tcBorders>
              <w:top w:val="single" w:color="auto" w:sz="4" w:space="0"/>
              <w:left w:val="single" w:color="auto" w:sz="4" w:space="0"/>
              <w:bottom w:val="nil"/>
              <w:right w:val="single" w:color="000000" w:sz="8" w:space="0"/>
            </w:tcBorders>
            <w:noWrap w:val="0"/>
            <w:vAlign w:val="center"/>
          </w:tcPr>
          <w:p w14:paraId="788F25CA">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根据本项目监理委托合同 “工程监理奖励和违约处罚相关约定”，贵监理部存在如下违约情况：</w:t>
            </w:r>
          </w:p>
        </w:tc>
      </w:tr>
      <w:tr w14:paraId="6FD35670">
        <w:tblPrEx>
          <w:tblCellMar>
            <w:top w:w="0" w:type="dxa"/>
            <w:left w:w="108" w:type="dxa"/>
            <w:bottom w:w="0" w:type="dxa"/>
            <w:right w:w="108" w:type="dxa"/>
          </w:tblCellMar>
        </w:tblPrEx>
        <w:trPr>
          <w:trHeight w:val="4410" w:hRule="atLeast"/>
        </w:trPr>
        <w:tc>
          <w:tcPr>
            <w:tcW w:w="1202" w:type="dxa"/>
            <w:vMerge w:val="continue"/>
            <w:tcBorders>
              <w:top w:val="nil"/>
              <w:left w:val="single" w:color="auto" w:sz="8" w:space="0"/>
              <w:bottom w:val="single" w:color="auto" w:sz="4" w:space="0"/>
              <w:right w:val="nil"/>
            </w:tcBorders>
            <w:noWrap w:val="0"/>
            <w:vAlign w:val="center"/>
          </w:tcPr>
          <w:p w14:paraId="3715B1BD">
            <w:pPr>
              <w:widowControl/>
              <w:spacing w:line="360" w:lineRule="auto"/>
              <w:jc w:val="left"/>
              <w:rPr>
                <w:rFonts w:hint="eastAsia" w:ascii="仿宋" w:hAnsi="仿宋" w:eastAsia="仿宋" w:cs="仿宋"/>
                <w:sz w:val="28"/>
                <w:szCs w:val="28"/>
                <w:highlight w:val="none"/>
              </w:rPr>
            </w:pPr>
          </w:p>
        </w:tc>
        <w:tc>
          <w:tcPr>
            <w:tcW w:w="7981" w:type="dxa"/>
            <w:tcBorders>
              <w:top w:val="nil"/>
              <w:left w:val="single" w:color="auto" w:sz="4" w:space="0"/>
              <w:bottom w:val="single" w:color="auto" w:sz="4" w:space="0"/>
              <w:right w:val="single" w:color="000000" w:sz="8" w:space="0"/>
            </w:tcBorders>
            <w:noWrap w:val="0"/>
            <w:vAlign w:val="center"/>
          </w:tcPr>
          <w:p w14:paraId="3EB8D5C8">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w:t>
            </w:r>
          </w:p>
        </w:tc>
      </w:tr>
      <w:tr w14:paraId="5028A84A">
        <w:tblPrEx>
          <w:tblCellMar>
            <w:top w:w="0" w:type="dxa"/>
            <w:left w:w="108" w:type="dxa"/>
            <w:bottom w:w="0" w:type="dxa"/>
            <w:right w:w="108" w:type="dxa"/>
          </w:tblCellMar>
        </w:tblPrEx>
        <w:trPr>
          <w:trHeight w:val="3032" w:hRule="atLeast"/>
        </w:trPr>
        <w:tc>
          <w:tcPr>
            <w:tcW w:w="1202" w:type="dxa"/>
            <w:tcBorders>
              <w:top w:val="nil"/>
              <w:left w:val="single" w:color="auto" w:sz="8" w:space="0"/>
              <w:bottom w:val="single" w:color="auto" w:sz="8" w:space="0"/>
              <w:right w:val="single" w:color="auto" w:sz="4" w:space="0"/>
            </w:tcBorders>
            <w:noWrap w:val="0"/>
            <w:vAlign w:val="center"/>
          </w:tcPr>
          <w:p w14:paraId="54D5EA01">
            <w:pPr>
              <w:widowControl/>
              <w:spacing w:line="36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处罚决定</w:t>
            </w:r>
          </w:p>
        </w:tc>
        <w:tc>
          <w:tcPr>
            <w:tcW w:w="7981" w:type="dxa"/>
            <w:tcBorders>
              <w:top w:val="nil"/>
              <w:left w:val="nil"/>
              <w:bottom w:val="single" w:color="auto" w:sz="8" w:space="0"/>
              <w:right w:val="single" w:color="000000" w:sz="8" w:space="0"/>
            </w:tcBorders>
            <w:noWrap w:val="0"/>
            <w:vAlign w:val="center"/>
          </w:tcPr>
          <w:p w14:paraId="20315AA5">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根据合同第</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条，对贵监理部处以</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元罚金，将在下次工程监理费中扣除。</w:t>
            </w:r>
          </w:p>
          <w:p w14:paraId="1E227866">
            <w:pPr>
              <w:widowControl/>
              <w:spacing w:line="360" w:lineRule="auto"/>
              <w:ind w:firstLine="560" w:firstLineChars="200"/>
              <w:jc w:val="left"/>
              <w:rPr>
                <w:rFonts w:hint="eastAsia" w:ascii="仿宋" w:hAnsi="仿宋" w:eastAsia="仿宋" w:cs="仿宋"/>
                <w:sz w:val="28"/>
                <w:szCs w:val="28"/>
                <w:highlight w:val="none"/>
              </w:rPr>
            </w:pPr>
          </w:p>
          <w:p w14:paraId="557F6BFF">
            <w:pPr>
              <w:widowControl/>
              <w:spacing w:line="360" w:lineRule="auto"/>
              <w:ind w:firstLine="560" w:firstLineChars="200"/>
              <w:jc w:val="left"/>
              <w:rPr>
                <w:rFonts w:hint="eastAsia" w:ascii="仿宋" w:hAnsi="仿宋" w:eastAsia="仿宋" w:cs="仿宋"/>
                <w:sz w:val="28"/>
                <w:szCs w:val="28"/>
                <w:highlight w:val="none"/>
              </w:rPr>
            </w:pPr>
          </w:p>
          <w:p w14:paraId="425E4891">
            <w:pPr>
              <w:widowControl/>
              <w:spacing w:line="360" w:lineRule="auto"/>
              <w:ind w:firstLine="560" w:firstLineChars="200"/>
              <w:jc w:val="left"/>
              <w:rPr>
                <w:rFonts w:hint="eastAsia" w:ascii="仿宋" w:hAnsi="仿宋" w:eastAsia="仿宋" w:cs="仿宋"/>
                <w:sz w:val="28"/>
                <w:szCs w:val="28"/>
                <w:highlight w:val="none"/>
              </w:rPr>
            </w:pPr>
          </w:p>
          <w:p w14:paraId="680EA385">
            <w:pPr>
              <w:widowControl/>
              <w:spacing w:line="360" w:lineRule="auto"/>
              <w:ind w:firstLine="560" w:firstLineChars="200"/>
              <w:jc w:val="left"/>
              <w:rPr>
                <w:rFonts w:hint="eastAsia" w:ascii="仿宋" w:hAnsi="仿宋" w:eastAsia="仿宋" w:cs="仿宋"/>
                <w:sz w:val="28"/>
                <w:szCs w:val="28"/>
                <w:highlight w:val="none"/>
              </w:rPr>
            </w:pPr>
          </w:p>
          <w:p w14:paraId="6089F7E5">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建设单位签字：   </w:t>
            </w:r>
          </w:p>
          <w:p w14:paraId="14ECD29D">
            <w:pPr>
              <w:widowControl/>
              <w:spacing w:line="360" w:lineRule="auto"/>
              <w:ind w:firstLine="560" w:firstLineChars="200"/>
              <w:jc w:val="left"/>
              <w:rPr>
                <w:rFonts w:hint="eastAsia" w:ascii="仿宋" w:hAnsi="仿宋" w:eastAsia="仿宋" w:cs="仿宋"/>
                <w:sz w:val="28"/>
                <w:szCs w:val="28"/>
                <w:highlight w:val="none"/>
              </w:rPr>
            </w:pPr>
          </w:p>
          <w:p w14:paraId="4CC68FA1">
            <w:pPr>
              <w:widowControl/>
              <w:spacing w:line="36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年   月   日</w:t>
            </w:r>
          </w:p>
        </w:tc>
      </w:tr>
    </w:tbl>
    <w:p w14:paraId="204BC8B8">
      <w:pPr>
        <w:spacing w:line="360" w:lineRule="auto"/>
        <w:jc w:val="both"/>
        <w:rPr>
          <w:rFonts w:hint="eastAsia" w:ascii="仿宋" w:hAnsi="仿宋" w:eastAsia="仿宋" w:cs="仿宋"/>
          <w:bCs/>
          <w:color w:val="000000"/>
          <w:sz w:val="28"/>
          <w:szCs w:val="28"/>
          <w:highlight w:val="none"/>
        </w:rPr>
      </w:pPr>
    </w:p>
    <w:p w14:paraId="05A5FD5C">
      <w:pPr>
        <w:spacing w:line="360" w:lineRule="auto"/>
        <w:outlineLvl w:val="0"/>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lang w:val="en-US" w:eastAsia="zh-CN"/>
        </w:rPr>
        <w:t>附件4</w:t>
      </w:r>
    </w:p>
    <w:p w14:paraId="7702888B">
      <w:pPr>
        <w:spacing w:line="360" w:lineRule="auto"/>
        <w:jc w:val="center"/>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委托监理合同安全生产协议书</w:t>
      </w:r>
    </w:p>
    <w:p w14:paraId="549D73A4">
      <w:pPr>
        <w:spacing w:line="360" w:lineRule="auto"/>
        <w:ind w:firstLine="560" w:firstLineChars="200"/>
        <w:rPr>
          <w:rFonts w:hint="eastAsia" w:ascii="仿宋" w:hAnsi="仿宋" w:eastAsia="仿宋" w:cs="仿宋"/>
          <w:bCs/>
          <w:color w:val="000000"/>
          <w:sz w:val="28"/>
          <w:szCs w:val="28"/>
          <w:highlight w:val="none"/>
        </w:rPr>
      </w:pPr>
    </w:p>
    <w:p w14:paraId="0C71C726">
      <w:pPr>
        <w:spacing w:line="440" w:lineRule="exact"/>
        <w:jc w:val="left"/>
        <w:rPr>
          <w:rFonts w:hint="eastAsia" w:ascii="仿宋" w:hAnsi="仿宋" w:eastAsia="仿宋" w:cs="仿宋"/>
          <w:bCs/>
          <w:color w:val="000000"/>
          <w:sz w:val="28"/>
          <w:szCs w:val="28"/>
          <w:highlight w:val="none"/>
          <w:u w:val="single"/>
        </w:rPr>
      </w:pPr>
      <w:r>
        <w:rPr>
          <w:rFonts w:hint="eastAsia" w:ascii="仿宋" w:hAnsi="仿宋" w:eastAsia="仿宋" w:cs="仿宋"/>
          <w:bCs/>
          <w:color w:val="000000"/>
          <w:sz w:val="28"/>
          <w:szCs w:val="28"/>
          <w:highlight w:val="none"/>
        </w:rPr>
        <w:t>委托人（全称）：</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spacing w:val="8"/>
          <w:sz w:val="28"/>
          <w:szCs w:val="28"/>
          <w:highlight w:val="none"/>
          <w:u w:val="single"/>
          <w:lang w:eastAsia="zh-CN"/>
        </w:rPr>
        <w:t>西安曲江新区公共项目建设管理中心</w:t>
      </w:r>
      <w:r>
        <w:rPr>
          <w:rFonts w:hint="eastAsia" w:ascii="仿宋" w:hAnsi="仿宋" w:eastAsia="仿宋" w:cs="仿宋"/>
          <w:bCs/>
          <w:color w:val="000000"/>
          <w:sz w:val="28"/>
          <w:szCs w:val="28"/>
          <w:highlight w:val="none"/>
        </w:rPr>
        <w:t xml:space="preserve">         </w:t>
      </w:r>
    </w:p>
    <w:p w14:paraId="3709E33F">
      <w:pPr>
        <w:spacing w:line="440" w:lineRule="exact"/>
        <w:jc w:val="left"/>
        <w:rPr>
          <w:rFonts w:hint="default" w:ascii="仿宋" w:hAnsi="仿宋" w:eastAsia="仿宋" w:cs="仿宋"/>
          <w:bCs/>
          <w:color w:val="000000"/>
          <w:sz w:val="28"/>
          <w:szCs w:val="28"/>
          <w:highlight w:val="none"/>
          <w:u w:val="single"/>
          <w:lang w:val="en-US" w:eastAsia="zh-CN"/>
        </w:rPr>
      </w:pPr>
      <w:r>
        <w:rPr>
          <w:rFonts w:hint="eastAsia" w:ascii="仿宋" w:hAnsi="仿宋" w:eastAsia="仿宋" w:cs="仿宋"/>
          <w:bCs/>
          <w:color w:val="000000"/>
          <w:sz w:val="28"/>
          <w:szCs w:val="28"/>
          <w:highlight w:val="none"/>
        </w:rPr>
        <w:t>监理人（全称）：</w:t>
      </w:r>
      <w:r>
        <w:rPr>
          <w:rFonts w:hint="eastAsia" w:ascii="仿宋" w:hAnsi="仿宋" w:eastAsia="仿宋" w:cs="仿宋"/>
          <w:bCs/>
          <w:color w:val="000000"/>
          <w:sz w:val="28"/>
          <w:szCs w:val="28"/>
          <w:highlight w:val="none"/>
          <w:u w:val="single"/>
        </w:rPr>
        <w:t xml:space="preserve">  </w:t>
      </w:r>
      <w:r>
        <w:rPr>
          <w:rFonts w:hint="eastAsia" w:ascii="仿宋" w:hAnsi="仿宋" w:eastAsia="仿宋" w:cs="仿宋"/>
          <w:bCs/>
          <w:color w:val="000000"/>
          <w:sz w:val="28"/>
          <w:szCs w:val="28"/>
          <w:highlight w:val="none"/>
          <w:u w:val="single"/>
          <w:lang w:val="en-US" w:eastAsia="zh-CN"/>
        </w:rPr>
        <w:t xml:space="preserve">                                  </w:t>
      </w:r>
    </w:p>
    <w:p w14:paraId="6A2F6078">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为加强建设工程安全生产管理，落实安全生产责任，防止和减少生产安全事故，经甲乙</w:t>
      </w:r>
      <w:r>
        <w:rPr>
          <w:rFonts w:hint="eastAsia" w:ascii="仿宋" w:hAnsi="仿宋" w:eastAsia="仿宋" w:cs="仿宋"/>
          <w:bCs/>
          <w:color w:val="000000"/>
          <w:sz w:val="28"/>
          <w:szCs w:val="28"/>
          <w:highlight w:val="none"/>
          <w:lang w:eastAsia="zh-CN"/>
        </w:rPr>
        <w:t>各方</w:t>
      </w:r>
      <w:r>
        <w:rPr>
          <w:rFonts w:hint="eastAsia" w:ascii="仿宋" w:hAnsi="仿宋" w:eastAsia="仿宋" w:cs="仿宋"/>
          <w:bCs/>
          <w:color w:val="000000"/>
          <w:sz w:val="28"/>
          <w:szCs w:val="28"/>
          <w:highlight w:val="none"/>
        </w:rPr>
        <w:t>在平等、自愿的基础上协商一致，根据安全生产类法律法规、部门规章、规范标准及《建设工程委托监理合同》等相关要求，达成如下协议：</w:t>
      </w:r>
    </w:p>
    <w:p w14:paraId="3E9366A8">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1.建设工程安全生产管理目标及必须达到的安全事故控制指标</w:t>
      </w:r>
    </w:p>
    <w:p w14:paraId="1C1F0AA8">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遵守《建设工程安全生产管理条例》、《</w:t>
      </w:r>
      <w:r>
        <w:rPr>
          <w:rFonts w:hint="eastAsia" w:ascii="仿宋" w:hAnsi="仿宋" w:eastAsia="仿宋" w:cs="仿宋"/>
          <w:bCs/>
          <w:color w:val="000000"/>
          <w:sz w:val="28"/>
          <w:szCs w:val="28"/>
          <w:highlight w:val="none"/>
        </w:rPr>
        <w:fldChar w:fldCharType="begin"/>
      </w:r>
      <w:r>
        <w:rPr>
          <w:rFonts w:hint="eastAsia" w:ascii="仿宋" w:hAnsi="仿宋" w:eastAsia="仿宋" w:cs="仿宋"/>
          <w:bCs/>
          <w:color w:val="000000"/>
          <w:sz w:val="28"/>
          <w:szCs w:val="28"/>
          <w:highlight w:val="none"/>
        </w:rPr>
        <w:instrText xml:space="preserve"> HYPERLINK "http://www.baidu.com/link?url=KpsN_FjIB97aO745PvKpf1QIuHFjOQ1c8dlmIu8qHvWl5z6kiWY5kLjnP_qNYKxyg2rx_V9EononOv8MA_EBawL3mv9K015KCkC6gSJ6Wwi" \t "https://www.baidu.com/_blank" </w:instrText>
      </w:r>
      <w:r>
        <w:rPr>
          <w:rFonts w:hint="eastAsia" w:ascii="仿宋" w:hAnsi="仿宋" w:eastAsia="仿宋" w:cs="仿宋"/>
          <w:bCs/>
          <w:color w:val="000000"/>
          <w:sz w:val="28"/>
          <w:szCs w:val="28"/>
          <w:highlight w:val="none"/>
        </w:rPr>
        <w:fldChar w:fldCharType="separate"/>
      </w:r>
      <w:r>
        <w:rPr>
          <w:rFonts w:hint="eastAsia" w:ascii="仿宋" w:hAnsi="仿宋" w:eastAsia="仿宋" w:cs="仿宋"/>
          <w:bCs/>
          <w:color w:val="000000"/>
          <w:sz w:val="28"/>
          <w:szCs w:val="28"/>
          <w:highlight w:val="none"/>
        </w:rPr>
        <w:t>陕西省建设工程质量和安全生产管理条例</w:t>
      </w:r>
      <w:r>
        <w:rPr>
          <w:rFonts w:hint="eastAsia" w:ascii="仿宋" w:hAnsi="仿宋" w:eastAsia="仿宋" w:cs="仿宋"/>
          <w:bCs/>
          <w:color w:val="000000"/>
          <w:sz w:val="28"/>
          <w:szCs w:val="28"/>
          <w:highlight w:val="none"/>
        </w:rPr>
        <w:fldChar w:fldCharType="end"/>
      </w:r>
      <w:r>
        <w:rPr>
          <w:rFonts w:hint="eastAsia" w:ascii="仿宋" w:hAnsi="仿宋" w:eastAsia="仿宋" w:cs="仿宋"/>
          <w:bCs/>
          <w:color w:val="000000"/>
          <w:sz w:val="28"/>
          <w:szCs w:val="28"/>
          <w:highlight w:val="none"/>
        </w:rPr>
        <w:t>》及有关行业规定，实现安全生产管理目标：无重伤、无死亡、无施工坍塌、无高处坠落、无滑坡、无火灾、无用电事故、无重大机械事故等各类生产安全事故。即：</w:t>
      </w:r>
    </w:p>
    <w:p w14:paraId="65659C13">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1.1因工死亡率为零；</w:t>
      </w:r>
    </w:p>
    <w:p w14:paraId="4A26317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1.2因工重伤率为零；</w:t>
      </w:r>
    </w:p>
    <w:p w14:paraId="1B9B0624">
      <w:pPr>
        <w:spacing w:line="440" w:lineRule="exact"/>
        <w:ind w:firstLine="560" w:firstLineChars="200"/>
        <w:rPr>
          <w:rFonts w:hint="eastAsia" w:ascii="仿宋" w:hAnsi="仿宋" w:eastAsia="仿宋" w:cs="仿宋"/>
          <w:bCs/>
          <w:color w:val="000000"/>
          <w:sz w:val="28"/>
          <w:szCs w:val="28"/>
          <w:highlight w:val="none"/>
          <w:u w:val="single"/>
        </w:rPr>
      </w:pPr>
      <w:r>
        <w:rPr>
          <w:rFonts w:hint="eastAsia" w:ascii="仿宋" w:hAnsi="仿宋" w:eastAsia="仿宋" w:cs="仿宋"/>
          <w:bCs/>
          <w:color w:val="000000"/>
          <w:sz w:val="28"/>
          <w:szCs w:val="28"/>
          <w:highlight w:val="none"/>
        </w:rPr>
        <w:t>1.3因工轻伤事故频率3</w:t>
      </w:r>
      <w:r>
        <w:rPr>
          <w:rFonts w:hint="eastAsia" w:ascii="仿宋" w:hAnsi="仿宋" w:eastAsia="仿宋" w:cs="仿宋"/>
          <w:bCs/>
          <w:color w:val="000000"/>
          <w:sz w:val="28"/>
          <w:szCs w:val="28"/>
          <w:highlight w:val="none"/>
          <w:shd w:val="clear" w:color="auto" w:fill="FFFFFF"/>
        </w:rPr>
        <w:t>‰；</w:t>
      </w:r>
    </w:p>
    <w:p w14:paraId="5695AE4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1.4不发生2万元以上的机械、设备、交通和火灾事故。</w:t>
      </w:r>
    </w:p>
    <w:p w14:paraId="476DE1CC">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2.本合同有效期限</w:t>
      </w:r>
    </w:p>
    <w:p w14:paraId="03F5AE4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自监理人入驻施工场地之日起，至工程竣工验收合格交付委托人使用时止。</w:t>
      </w:r>
    </w:p>
    <w:p w14:paraId="78B9A0E7">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3.委托人的安全生产管理权利</w:t>
      </w:r>
    </w:p>
    <w:p w14:paraId="4682C14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3.1监督检查监理人在安全生产类法律法规、部门规章及工程建设强制性标准范围内履职情况。</w:t>
      </w:r>
    </w:p>
    <w:p w14:paraId="6D04DD0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3.2要求监理人组织施工现场安全检查，督促承包人（施工单位）及时整改发现的各类安全隐患并进行复查。</w:t>
      </w:r>
    </w:p>
    <w:p w14:paraId="7E191E33">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3.3监理人违反安全生产类法律法规、部门规章或本协议时，委托人有权要求其支付违约金，并承担其他违约责任。</w:t>
      </w:r>
    </w:p>
    <w:p w14:paraId="0BA18ABE">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4.委托人的安全生产管理义务</w:t>
      </w:r>
    </w:p>
    <w:p w14:paraId="6D960526">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4.1认真贯彻落实安全生产类法律法规、部门规章及工程建设强制性标准要求，承担委托人对建设工程的安全生产责任。</w:t>
      </w:r>
    </w:p>
    <w:p w14:paraId="0126572D">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4.2支持监理人依据安全生产类法律法规、部门规章、规范标准及《建设工程委托监理合同》对本工程实施安全监理。</w:t>
      </w:r>
    </w:p>
    <w:p w14:paraId="1E8A3D8E">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4.3定期参加监理例会，协调解决安全管理工作中出现的问题。</w:t>
      </w:r>
    </w:p>
    <w:p w14:paraId="7533C194">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5.监理人的安全生产责任和义务</w:t>
      </w:r>
    </w:p>
    <w:p w14:paraId="6474E07B">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5.1监理人应当按照法律、法规和工程建设强制性标准及委托监理合同实施监理，对所监理工程的施工安全生产、文明施工进行监督检查。</w:t>
      </w:r>
    </w:p>
    <w:p w14:paraId="55CF4B82">
      <w:pPr>
        <w:widowControl/>
        <w:shd w:val="clear" w:color="auto" w:fill="FFFFFF"/>
        <w:spacing w:line="440" w:lineRule="exact"/>
        <w:ind w:firstLine="560" w:firstLineChars="200"/>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5.2监理人应健全安全监理责任制。总监理工程师要对工程项目的安全监理负责，并根据工程项目特点，明确监理人员的安全监理职责。</w:t>
      </w:r>
    </w:p>
    <w:p w14:paraId="375C35FD">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5.3监理人应编制含有安全监理内容的监理规划和监理实施细则，编制危大工程专项安全监理实施细则。</w:t>
      </w:r>
    </w:p>
    <w:p w14:paraId="79B2B04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5.4监理人应建立安全生产及文明施工管理制度。包括审查核验制度、检查验收制度、督促整改制度、工地例会制度、安全奖惩制度及资料归档制度。</w:t>
      </w:r>
    </w:p>
    <w:p w14:paraId="41718B1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5.5检查落实施承包人的安全生产管理机构、安全生产责任制度、安全生产规章制度和操作规程是否制定，并严格按规定执行。</w:t>
      </w:r>
    </w:p>
    <w:p w14:paraId="35BCFFE7">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5.6工程开工前，监理人应对施工单位项目安全生产条件进行审查，安全条件未经验收合格，严禁签发开工令。监理人对承包人的安全生产条件审查主要包括以下内容：</w:t>
      </w:r>
    </w:p>
    <w:p w14:paraId="0106B37D">
      <w:pPr>
        <w:widowControl/>
        <w:shd w:val="clear" w:color="auto" w:fill="FFFFFF"/>
        <w:spacing w:line="440" w:lineRule="exact"/>
        <w:ind w:firstLine="560" w:firstLineChars="200"/>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（1）审查承包人营业执照、资质及《安全生产许可证》是否合法有效，承包人（施工单位）是否在资质范围内承揽工程。</w:t>
      </w:r>
    </w:p>
    <w:p w14:paraId="3970284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2）审查承包人（施工单位）项目部安全生产管理机构建立情况；承包人（施工单位）是否按规定组建了项目安全生产管理机构，并按规定配置了专职安全生产管理人员；项目经理、技术负责人、项目专职安全生产管理人员是否符合法规及合同约定要求，具有相应技术职称证书、资格证书及公司任命文件。 </w:t>
      </w:r>
    </w:p>
    <w:p w14:paraId="561E8515">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（3）审查承包人项目部安全生产管理制度，各工种、各工序的安全操作规程。</w:t>
      </w:r>
    </w:p>
    <w:p w14:paraId="71EF6D37">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（4）检查项目参建各方、总包和分包的安全责任是否明确，各方是否按规定签订了安全生产协议书。</w:t>
      </w:r>
    </w:p>
    <w:p w14:paraId="506833B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（5）审查承包人是否对进场从业人员进行实名制登记。</w:t>
      </w:r>
    </w:p>
    <w:p w14:paraId="5FAC8C41">
      <w:pPr>
        <w:widowControl/>
        <w:shd w:val="clear" w:color="auto" w:fill="FFFFFF"/>
        <w:spacing w:line="440" w:lineRule="exact"/>
        <w:ind w:firstLine="560" w:firstLineChars="200"/>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（6）审核特种作业人员的特种作业操作资格证书是否合法有效。</w:t>
      </w:r>
    </w:p>
    <w:p w14:paraId="0EF8E22A">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（7）审查承包人编制的施工组织设计中的安全技术措施和危险性较大的分部分项工程安全专项施工方案是否符合工程建设强制性标准要求。</w:t>
      </w:r>
    </w:p>
    <w:p w14:paraId="7B41309A">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5.7监理人应每周至少召开一次监理例会，对承包人存在的安全管理问题及现场安全隐患及时提出整改意见或指令，并积极督促、协调各专业分包单位服从、配合总包单位的安全管理。</w:t>
      </w:r>
    </w:p>
    <w:p w14:paraId="63C9BC88">
      <w:pPr>
        <w:widowControl/>
        <w:shd w:val="clear" w:color="auto" w:fill="FFFFFF"/>
        <w:spacing w:line="440" w:lineRule="exact"/>
        <w:ind w:firstLine="560" w:firstLineChars="200"/>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5.8监理人应对建设项目危险性较大的分部分项工程安全专项施工方案的编制、论证进行督促、审查。</w:t>
      </w:r>
    </w:p>
    <w:p w14:paraId="12A2CF5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5.9监理单位应督促、核查施工单位办理施工所需如塔式起重机、施工升降机、吊篮、附着式升降脚手架等危险性较大设备的安装告知、检测、验收、使用登记备案等。在安装、拆除、顶升等重要环节进行安全旁站，在使用过程中做好安全巡检工作。</w:t>
      </w:r>
    </w:p>
    <w:p w14:paraId="583264E6">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5.10监理人应对危大工程做好安全巡视、旁站、跟踪检查及验收。</w:t>
      </w:r>
    </w:p>
    <w:p w14:paraId="5A441FB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5.11监理人应对发现违章指挥、违章操作、违反劳动纪律的情况及时下达安全监理指令，要求施工单位及时改正，必要时停工整顿，防止安全事故发生。</w:t>
      </w:r>
    </w:p>
    <w:p w14:paraId="234A5C1C">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5.12监理人监督、检查承包人暑期、汛期、冬季施工安全措施的落实情况。</w:t>
      </w:r>
    </w:p>
    <w:p w14:paraId="39EE334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5.13监理人应督促承包人及时落实生产安全事故应急预案编制、应急物资储备及应急演练有关工作。</w:t>
      </w:r>
    </w:p>
    <w:p w14:paraId="387C2C16">
      <w:pPr>
        <w:widowControl/>
        <w:shd w:val="clear" w:color="auto" w:fill="FFFFFF"/>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5.14监理人加强日常巡视检查制度，在日常安全监管中，若发现施工现场存在违规施工、违章指挥、违反劳动纪律或存在安全事故隐患的，应及时要求承包人（施工单位）位整改，情况严重的，应当要求承包人（施工单位）立即停止施工，承包人拒不整改或者不停止施工的应及时向委托人报告。</w:t>
      </w:r>
    </w:p>
    <w:p w14:paraId="2B078F6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5.15安全周检查及安全专项检查</w:t>
      </w:r>
    </w:p>
    <w:p w14:paraId="497D11C4">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（1）监理人应每周组织承包人（施工单位）开展一次周安全联合检查，项目总监及项目经理参与。</w:t>
      </w:r>
    </w:p>
    <w:p w14:paraId="639B362C">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（2）监理人根据施工进度组织开展春节后复工、特种设备、消防安全、防暑防汛、危大工程、冬季施工及各类节前专项安全检查，项目总监及项目经理参与。</w:t>
      </w:r>
    </w:p>
    <w:p w14:paraId="4957038D">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（3）监理人就各类安全隐患向承包人（施工单位）下发监理通知单，要求“三定”，落实闭环管理，对检查整改结果签署复查或复工意见。对落实隐患整改不力的，监理人依据安全文明办法给予经济处罚。</w:t>
      </w:r>
    </w:p>
    <w:p w14:paraId="3DCDE215">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5.16</w:t>
      </w:r>
      <w:r>
        <w:rPr>
          <w:rFonts w:hint="eastAsia" w:ascii="仿宋" w:hAnsi="仿宋" w:eastAsia="仿宋" w:cs="仿宋"/>
          <w:bCs/>
          <w:color w:val="000000"/>
          <w:sz w:val="28"/>
          <w:szCs w:val="28"/>
          <w:highlight w:val="none"/>
          <w:shd w:val="clear" w:color="auto" w:fill="FFFFFF"/>
        </w:rPr>
        <w:t>审查、监督承包人施工现场消防安全责任制度建立及落实情况。</w:t>
      </w:r>
    </w:p>
    <w:p w14:paraId="31720F8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5.17监理人在巡查发现发生生产安全事故，应立即上报至委托人并赶赴现场积极开展事故救援工作或组织事故隐患消除工作。</w:t>
      </w:r>
    </w:p>
    <w:p w14:paraId="65916AA4">
      <w:pPr>
        <w:autoSpaceDE w:val="0"/>
        <w:autoSpaceDN w:val="0"/>
        <w:spacing w:line="440" w:lineRule="exact"/>
        <w:ind w:firstLine="560" w:firstLineChars="200"/>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5.18监理人在施工现场监理期间，须采取必要的安全保护措施，因自身原因引起的安全事故自行负责。</w:t>
      </w:r>
    </w:p>
    <w:p w14:paraId="269BCAA0">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6.监理人的一般违约</w:t>
      </w:r>
    </w:p>
    <w:p w14:paraId="0A1D469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6.1对出现下列情况之一，委托人将责令监理人限期整改。</w:t>
      </w:r>
    </w:p>
    <w:p w14:paraId="159AFBED">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6.1.1未按照国家安全生产法律、法规、工程建设强制性标准等有关文件要求实施监理；</w:t>
      </w:r>
    </w:p>
    <w:p w14:paraId="7611E600">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6.1.2未按要求制定安全监理责任分工；</w:t>
      </w:r>
    </w:p>
    <w:p w14:paraId="72B349E8">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6.1.3《工程监理规划》和《监理实施细则》无安全技术措施检查要求，无危大工程专项安全监理实施细则；</w:t>
      </w:r>
    </w:p>
    <w:p w14:paraId="6C0A92DC">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6.1.4未督促承包人对进场人员及时进行“三级”安全教育、安全技术交底；</w:t>
      </w:r>
    </w:p>
    <w:p w14:paraId="29C0BC55">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6.1.5未要求承包人对进场人员进行实名制管理；</w:t>
      </w:r>
    </w:p>
    <w:p w14:paraId="17949F2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6.1.6未要求施工现场建立健全消防安全责任制，未要求实施“动火令”审批制度；</w:t>
      </w:r>
    </w:p>
    <w:p w14:paraId="2BDE806A">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6.1.7未及时对分包单位资质、对特种作业人员上岗资格进行审查；</w:t>
      </w:r>
    </w:p>
    <w:p w14:paraId="4DCE32A5">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6.1.8现场有关安全工作未履行报审审批手续；</w:t>
      </w:r>
    </w:p>
    <w:p w14:paraId="6212BFB4">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6.1.9工程开工前，未对现场安全生产条件进行审查或审查不严，存在弄虚作假的；</w:t>
      </w:r>
    </w:p>
    <w:p w14:paraId="6E44D9F3">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6.1.10未按规定组织召开安全生产例会，开展安全检查，安全生产例会、安全检查无相关记录资料；</w:t>
      </w:r>
    </w:p>
    <w:p w14:paraId="257EFEC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6.1.11未对塔式起重机、施工升降机、汽车起重机、吊篮、附着式升降脚手架等设备的安装告知、检测、使用登记、定期检查、日常维护保养等进行督促、审查；  </w:t>
      </w:r>
    </w:p>
    <w:p w14:paraId="11368E9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6.1.12未按要求及时督促承包人编制暑期、汛期、冬季施工安全措施，未对暑期、汛期、冬季施工安全措施落实情况进行检查；</w:t>
      </w:r>
    </w:p>
    <w:p w14:paraId="022A7563">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6.1.13未及时督促施工单位编制生产安全事故应急预案、开展应急演练有关工作，未对应急物资储备情况进行定期检查；</w:t>
      </w:r>
    </w:p>
    <w:p w14:paraId="02F94D73">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6.1.14未严格履行日常安全巡查，监理日志中无安全巡查记录情况；</w:t>
      </w:r>
    </w:p>
    <w:p w14:paraId="1EEEB304">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6.1.15其他违反国家法律法规、上级主管部门及本公司有关安全生产及文明施工管理要求。</w:t>
      </w:r>
    </w:p>
    <w:p w14:paraId="08A759F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6.2对出现下列情况之一，将视情节严重程度对监理人予以1000-20000元的经济处罚（违约金），情节恶劣的将予以加倍处罚。</w:t>
      </w:r>
    </w:p>
    <w:p w14:paraId="0BACA08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6.2.1未对施工组织设计中的安全技术措施或者危大工程施工方案进行审查的，予以5000-10000元经济处罚;</w:t>
      </w:r>
    </w:p>
    <w:p w14:paraId="75933C7D">
      <w:pPr>
        <w:spacing w:line="440" w:lineRule="exact"/>
        <w:ind w:firstLine="560" w:firstLineChars="200"/>
        <w:rPr>
          <w:rStyle w:val="10"/>
          <w:rFonts w:hint="eastAsia" w:ascii="仿宋" w:hAnsi="仿宋" w:eastAsia="仿宋" w:cs="仿宋"/>
          <w:b w:val="0"/>
          <w:color w:val="000000"/>
          <w:sz w:val="28"/>
          <w:szCs w:val="28"/>
          <w:highlight w:val="none"/>
        </w:rPr>
      </w:pPr>
      <w:r>
        <w:rPr>
          <w:rFonts w:hint="eastAsia" w:ascii="仿宋" w:hAnsi="仿宋" w:eastAsia="仿宋" w:cs="仿宋"/>
          <w:bCs/>
          <w:color w:val="000000"/>
          <w:sz w:val="28"/>
          <w:szCs w:val="28"/>
          <w:highlight w:val="none"/>
        </w:rPr>
        <w:t>6.2.2发现重大安全事故隐患未及时要求承包人整改的，予以5000-20000元经济处罚</w:t>
      </w:r>
      <w:r>
        <w:rPr>
          <w:rStyle w:val="10"/>
          <w:rFonts w:hint="eastAsia" w:ascii="仿宋" w:hAnsi="仿宋" w:eastAsia="仿宋" w:cs="仿宋"/>
          <w:b w:val="0"/>
          <w:color w:val="000000"/>
          <w:sz w:val="28"/>
          <w:szCs w:val="28"/>
          <w:highlight w:val="none"/>
        </w:rPr>
        <w:t>；</w:t>
      </w:r>
    </w:p>
    <w:p w14:paraId="286CBED4">
      <w:pPr>
        <w:spacing w:line="440" w:lineRule="exact"/>
        <w:ind w:firstLine="560" w:firstLineChars="200"/>
        <w:rPr>
          <w:rStyle w:val="10"/>
          <w:rFonts w:hint="eastAsia" w:ascii="仿宋" w:hAnsi="仿宋" w:eastAsia="仿宋" w:cs="仿宋"/>
          <w:b w:val="0"/>
          <w:color w:val="000000"/>
          <w:sz w:val="28"/>
          <w:szCs w:val="28"/>
          <w:highlight w:val="none"/>
        </w:rPr>
      </w:pPr>
      <w:r>
        <w:rPr>
          <w:rFonts w:hint="eastAsia" w:ascii="仿宋" w:hAnsi="仿宋" w:eastAsia="仿宋" w:cs="仿宋"/>
          <w:bCs/>
          <w:color w:val="000000"/>
          <w:sz w:val="28"/>
          <w:szCs w:val="28"/>
          <w:highlight w:val="none"/>
        </w:rPr>
        <w:t>6.2.3发现重大安全事故隐患，承包人拒不整改也不停止施工，监理人未及时向建设单位报告的，予以5000-10000元经济处罚</w:t>
      </w:r>
      <w:r>
        <w:rPr>
          <w:rStyle w:val="10"/>
          <w:rFonts w:hint="eastAsia" w:ascii="仿宋" w:hAnsi="仿宋" w:eastAsia="仿宋" w:cs="仿宋"/>
          <w:b w:val="0"/>
          <w:color w:val="000000"/>
          <w:sz w:val="28"/>
          <w:szCs w:val="28"/>
          <w:highlight w:val="none"/>
        </w:rPr>
        <w:t>；</w:t>
      </w:r>
    </w:p>
    <w:p w14:paraId="7EEB36F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6.2.4监理单位项目总监等人员未履行请假手续，擅自离岗的，予以每日1000元经济处罚；</w:t>
      </w:r>
    </w:p>
    <w:p w14:paraId="039B8CC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6.2.5监理人未对危大工程施工实施专项巡视检查；未按照规定参与组织危大工程验收的；对危大工程重点环节、关键部位未进行安全旁站的，视隐患危害程度予以5000-20000元经济处罚；</w:t>
      </w:r>
    </w:p>
    <w:p w14:paraId="6CACD44C">
      <w:pPr>
        <w:spacing w:line="440" w:lineRule="exact"/>
        <w:ind w:firstLine="560" w:firstLineChars="200"/>
        <w:rPr>
          <w:rStyle w:val="10"/>
          <w:rFonts w:hint="eastAsia" w:ascii="仿宋" w:hAnsi="仿宋" w:eastAsia="仿宋" w:cs="仿宋"/>
          <w:b w:val="0"/>
          <w:color w:val="000000"/>
          <w:sz w:val="28"/>
          <w:szCs w:val="28"/>
          <w:highlight w:val="none"/>
        </w:rPr>
      </w:pPr>
      <w:r>
        <w:rPr>
          <w:rFonts w:hint="eastAsia" w:ascii="仿宋" w:hAnsi="仿宋" w:eastAsia="仿宋" w:cs="仿宋"/>
          <w:bCs/>
          <w:color w:val="000000"/>
          <w:sz w:val="28"/>
          <w:szCs w:val="28"/>
          <w:highlight w:val="none"/>
        </w:rPr>
        <w:t>6.2.6未依照法律、法规和工程建设强制性标准实施监理的，予以,5000-20000元经济处罚</w:t>
      </w:r>
      <w:r>
        <w:rPr>
          <w:rStyle w:val="10"/>
          <w:rFonts w:hint="eastAsia" w:ascii="仿宋" w:hAnsi="仿宋" w:eastAsia="仿宋" w:cs="仿宋"/>
          <w:b w:val="0"/>
          <w:color w:val="000000"/>
          <w:sz w:val="28"/>
          <w:szCs w:val="28"/>
          <w:highlight w:val="none"/>
        </w:rPr>
        <w:t>。</w:t>
      </w:r>
    </w:p>
    <w:p w14:paraId="656814D7">
      <w:pPr>
        <w:spacing w:line="440" w:lineRule="exact"/>
        <w:ind w:firstLine="560" w:firstLineChars="200"/>
        <w:rPr>
          <w:rStyle w:val="10"/>
          <w:rFonts w:hint="eastAsia" w:ascii="仿宋" w:hAnsi="仿宋" w:eastAsia="仿宋" w:cs="仿宋"/>
          <w:b w:val="0"/>
          <w:color w:val="000000"/>
          <w:sz w:val="28"/>
          <w:szCs w:val="28"/>
          <w:highlight w:val="none"/>
        </w:rPr>
      </w:pPr>
      <w:r>
        <w:rPr>
          <w:rFonts w:hint="eastAsia" w:ascii="仿宋" w:hAnsi="仿宋" w:eastAsia="仿宋" w:cs="仿宋"/>
          <w:bCs/>
          <w:color w:val="000000"/>
          <w:sz w:val="28"/>
          <w:szCs w:val="28"/>
          <w:highlight w:val="none"/>
        </w:rPr>
        <w:t>6.2.7因现场安全管理行为不到位被主管部门通报批评的，予以5000-10000元经济处罚</w:t>
      </w:r>
      <w:r>
        <w:rPr>
          <w:rStyle w:val="10"/>
          <w:rFonts w:hint="eastAsia" w:ascii="仿宋" w:hAnsi="仿宋" w:eastAsia="仿宋" w:cs="仿宋"/>
          <w:b w:val="0"/>
          <w:color w:val="000000"/>
          <w:sz w:val="28"/>
          <w:szCs w:val="28"/>
          <w:highlight w:val="none"/>
        </w:rPr>
        <w:t>；</w:t>
      </w:r>
    </w:p>
    <w:p w14:paraId="64CE2671">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6.2.</w:t>
      </w:r>
      <w:r>
        <w:rPr>
          <w:rStyle w:val="10"/>
          <w:rFonts w:hint="eastAsia" w:ascii="仿宋" w:hAnsi="仿宋" w:eastAsia="仿宋" w:cs="仿宋"/>
          <w:b w:val="0"/>
          <w:color w:val="000000"/>
          <w:sz w:val="28"/>
          <w:szCs w:val="28"/>
          <w:highlight w:val="none"/>
        </w:rPr>
        <w:t>8</w:t>
      </w:r>
      <w:r>
        <w:rPr>
          <w:rFonts w:hint="eastAsia" w:ascii="仿宋" w:hAnsi="仿宋" w:eastAsia="仿宋" w:cs="仿宋"/>
          <w:bCs/>
          <w:color w:val="000000"/>
          <w:sz w:val="28"/>
          <w:szCs w:val="28"/>
          <w:highlight w:val="none"/>
        </w:rPr>
        <w:t>其他需要予以经济处罚的情形。</w:t>
      </w:r>
    </w:p>
    <w:p w14:paraId="5D885877">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7.严重违约处理</w:t>
      </w:r>
    </w:p>
    <w:p w14:paraId="76C5BCC9">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7.1出现工亡或突破安全生产管理目标，对监理人予以10万~50万的经济处罚（违约金）。</w:t>
      </w:r>
    </w:p>
    <w:p w14:paraId="76375F1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7.2出现严重不履行安全生产管理职责，对监理人予以10万~20万的经济处罚（违约金），经委托人多次要求仍不能有效整改，解除《建设工程委托监理合同》，并承担由此给委托人造成的损失。</w:t>
      </w:r>
    </w:p>
    <w:p w14:paraId="283D96AB">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8.委托人按本协议约定要求监理人承担违约责任，并不能免除监理人应承担的有关国家机关行政处罚与民事赔偿责任，以及应负的其他法律责任。</w:t>
      </w:r>
    </w:p>
    <w:p w14:paraId="72FBFBC8">
      <w:pPr>
        <w:spacing w:line="440" w:lineRule="exact"/>
        <w:ind w:firstLine="562" w:firstLineChars="200"/>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9.附则</w:t>
      </w:r>
    </w:p>
    <w:p w14:paraId="0F690842">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9.1本协议与签订的《建设工程委托监理合同》具有同等法律效力，合同中没有约定或约定与本协议冲突的，均以本协议约定为准。</w:t>
      </w:r>
    </w:p>
    <w:p w14:paraId="6BAF5DE0">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9.2本合同自各方签字盖章或盖章后即生效。</w:t>
      </w:r>
    </w:p>
    <w:p w14:paraId="615FA7AF">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9.3</w:t>
      </w:r>
      <w:r>
        <w:rPr>
          <w:rFonts w:hint="eastAsia" w:ascii="仿宋" w:hAnsi="仿宋" w:eastAsia="仿宋" w:cs="仿宋"/>
          <w:sz w:val="28"/>
          <w:szCs w:val="28"/>
          <w:highlight w:val="none"/>
        </w:rPr>
        <w:t>本协议正本贰份，委托人执壹份，监理人执壹份；副本壹拾贰份，委托人执玖份，监理人执叁份。</w:t>
      </w:r>
    </w:p>
    <w:p w14:paraId="3DC6311A">
      <w:pPr>
        <w:spacing w:line="440" w:lineRule="exact"/>
        <w:ind w:firstLine="560" w:firstLineChars="200"/>
        <w:rPr>
          <w:rFonts w:hint="eastAsia" w:ascii="仿宋" w:hAnsi="仿宋" w:eastAsia="仿宋" w:cs="仿宋"/>
          <w:bCs/>
          <w:color w:val="000000"/>
          <w:sz w:val="28"/>
          <w:szCs w:val="28"/>
          <w:highlight w:val="none"/>
        </w:rPr>
      </w:pPr>
    </w:p>
    <w:p w14:paraId="6DFFA05F">
      <w:pPr>
        <w:spacing w:line="440" w:lineRule="exact"/>
        <w:ind w:firstLine="560" w:firstLineChars="200"/>
        <w:rPr>
          <w:rFonts w:hint="eastAsia" w:ascii="仿宋" w:hAnsi="仿宋" w:eastAsia="仿宋" w:cs="仿宋"/>
          <w:bCs/>
          <w:color w:val="000000"/>
          <w:sz w:val="28"/>
          <w:szCs w:val="28"/>
          <w:highlight w:val="none"/>
        </w:rPr>
      </w:pPr>
    </w:p>
    <w:p w14:paraId="3217FB26">
      <w:pPr>
        <w:pStyle w:val="12"/>
        <w:rPr>
          <w:rFonts w:hint="eastAsia" w:ascii="仿宋" w:hAnsi="仿宋" w:eastAsia="仿宋" w:cs="仿宋"/>
          <w:bCs/>
          <w:color w:val="000000"/>
          <w:sz w:val="28"/>
          <w:szCs w:val="28"/>
          <w:highlight w:val="none"/>
        </w:rPr>
      </w:pPr>
    </w:p>
    <w:p w14:paraId="0375517F">
      <w:pPr>
        <w:pStyle w:val="12"/>
        <w:rPr>
          <w:rFonts w:hint="eastAsia" w:ascii="仿宋" w:hAnsi="仿宋" w:eastAsia="仿宋" w:cs="仿宋"/>
          <w:bCs/>
          <w:color w:val="000000"/>
          <w:sz w:val="28"/>
          <w:szCs w:val="28"/>
          <w:highlight w:val="none"/>
        </w:rPr>
      </w:pPr>
    </w:p>
    <w:p w14:paraId="5432FA14">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委托人： （公章）</w:t>
      </w:r>
      <w:r>
        <w:rPr>
          <w:rFonts w:hint="eastAsia" w:ascii="仿宋" w:hAnsi="仿宋" w:eastAsia="仿宋" w:cs="仿宋"/>
          <w:b/>
          <w:sz w:val="28"/>
          <w:szCs w:val="28"/>
          <w:highlight w:val="none"/>
        </w:rPr>
        <w:tab/>
      </w:r>
      <w:r>
        <w:rPr>
          <w:rFonts w:hint="eastAsia" w:ascii="仿宋" w:hAnsi="仿宋" w:eastAsia="仿宋" w:cs="仿宋"/>
          <w:b/>
          <w:sz w:val="28"/>
          <w:szCs w:val="28"/>
          <w:highlight w:val="none"/>
        </w:rPr>
        <w:t xml:space="preserve">                   监理人：（公章）</w:t>
      </w:r>
    </w:p>
    <w:p w14:paraId="36172FCA">
      <w:pPr>
        <w:spacing w:line="360" w:lineRule="auto"/>
        <w:rPr>
          <w:rFonts w:hint="eastAsia" w:ascii="仿宋" w:hAnsi="仿宋" w:eastAsia="仿宋" w:cs="仿宋"/>
          <w:b/>
          <w:sz w:val="28"/>
          <w:szCs w:val="28"/>
          <w:highlight w:val="none"/>
        </w:rPr>
      </w:pPr>
    </w:p>
    <w:p w14:paraId="2A8610DC">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法定代表人 ：                        法定代表人：               </w:t>
      </w:r>
    </w:p>
    <w:p w14:paraId="2D80EAFD">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或</w:t>
      </w:r>
      <w:r>
        <w:rPr>
          <w:rFonts w:hint="eastAsia" w:ascii="仿宋" w:hAnsi="仿宋" w:eastAsia="仿宋" w:cs="仿宋"/>
          <w:b/>
          <w:sz w:val="28"/>
          <w:szCs w:val="28"/>
          <w:highlight w:val="none"/>
        </w:rPr>
        <w:tab/>
      </w:r>
      <w:r>
        <w:rPr>
          <w:rFonts w:hint="eastAsia" w:ascii="仿宋" w:hAnsi="仿宋" w:eastAsia="仿宋" w:cs="仿宋"/>
          <w:b/>
          <w:sz w:val="28"/>
          <w:szCs w:val="28"/>
          <w:highlight w:val="none"/>
        </w:rPr>
        <w:t xml:space="preserve">                                  或</w:t>
      </w:r>
    </w:p>
    <w:p w14:paraId="7037154C">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委托代理人：（签字）</w:t>
      </w:r>
      <w:r>
        <w:rPr>
          <w:rFonts w:hint="eastAsia" w:ascii="仿宋" w:hAnsi="仿宋" w:eastAsia="仿宋" w:cs="仿宋"/>
          <w:b/>
          <w:sz w:val="28"/>
          <w:szCs w:val="28"/>
          <w:highlight w:val="none"/>
        </w:rPr>
        <w:tab/>
      </w:r>
      <w:r>
        <w:rPr>
          <w:rFonts w:hint="eastAsia" w:ascii="仿宋" w:hAnsi="仿宋" w:eastAsia="仿宋" w:cs="仿宋"/>
          <w:b/>
          <w:sz w:val="28"/>
          <w:szCs w:val="28"/>
          <w:highlight w:val="none"/>
        </w:rPr>
        <w:t xml:space="preserve">                委托代理人：（签字）</w:t>
      </w:r>
    </w:p>
    <w:p w14:paraId="1787CF8E">
      <w:pPr>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地址：                               地址：</w:t>
      </w:r>
    </w:p>
    <w:p w14:paraId="2EC53B8B">
      <w:pPr>
        <w:pStyle w:val="12"/>
        <w:rPr>
          <w:rFonts w:hint="eastAsia" w:ascii="仿宋" w:hAnsi="仿宋" w:eastAsia="仿宋" w:cs="仿宋"/>
          <w:b/>
          <w:sz w:val="28"/>
          <w:szCs w:val="28"/>
          <w:highlight w:val="none"/>
        </w:rPr>
      </w:pPr>
    </w:p>
    <w:p w14:paraId="3DEA8569">
      <w:pPr>
        <w:pStyle w:val="12"/>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附件</w:t>
      </w:r>
      <w:r>
        <w:rPr>
          <w:rFonts w:hint="eastAsia" w:ascii="仿宋" w:hAnsi="仿宋" w:eastAsia="仿宋" w:cs="仿宋"/>
          <w:sz w:val="28"/>
          <w:szCs w:val="28"/>
          <w:highlight w:val="none"/>
          <w:lang w:val="en-US" w:eastAsia="zh-CN"/>
        </w:rPr>
        <w:t>5</w:t>
      </w:r>
    </w:p>
    <w:p w14:paraId="04FAF118">
      <w:pPr>
        <w:pStyle w:val="12"/>
        <w:ind w:firstLine="2530" w:firstLineChars="900"/>
        <w:rPr>
          <w:rFonts w:hint="eastAsia" w:ascii="仿宋" w:hAnsi="仿宋" w:eastAsia="仿宋" w:cs="仿宋"/>
          <w:b/>
          <w:kern w:val="2"/>
          <w:sz w:val="28"/>
          <w:szCs w:val="28"/>
          <w:highlight w:val="none"/>
          <w:lang w:val="en-US" w:eastAsia="zh-CN" w:bidi="ar-SA"/>
        </w:rPr>
      </w:pPr>
      <w:r>
        <w:rPr>
          <w:rFonts w:hint="eastAsia" w:ascii="仿宋" w:hAnsi="仿宋" w:eastAsia="仿宋" w:cs="仿宋"/>
          <w:b/>
          <w:kern w:val="2"/>
          <w:sz w:val="28"/>
          <w:szCs w:val="28"/>
          <w:highlight w:val="none"/>
          <w:lang w:val="en-US" w:eastAsia="zh-CN" w:bidi="ar-SA"/>
        </w:rPr>
        <w:t>服务工作要求和质量保证</w:t>
      </w:r>
    </w:p>
    <w:p w14:paraId="66D7C15A">
      <w:pPr>
        <w:pStyle w:val="12"/>
        <w:ind w:firstLine="2249" w:firstLineChars="800"/>
        <w:rPr>
          <w:rFonts w:hint="eastAsia" w:ascii="仿宋" w:hAnsi="仿宋" w:eastAsia="仿宋" w:cs="仿宋"/>
          <w:b/>
          <w:bCs/>
          <w:snapToGrid w:val="0"/>
          <w:color w:val="auto"/>
          <w:kern w:val="0"/>
          <w:sz w:val="28"/>
          <w:szCs w:val="28"/>
          <w:highlight w:val="none"/>
          <w:lang w:val="en-US" w:eastAsia="zh-CN"/>
        </w:rPr>
      </w:pPr>
    </w:p>
    <w:p w14:paraId="007D3515">
      <w:pPr>
        <w:adjustRightInd w:val="0"/>
        <w:snapToGrid w:val="0"/>
        <w:spacing w:line="360" w:lineRule="auto"/>
        <w:ind w:firstLine="560" w:firstLineChars="200"/>
        <w:rPr>
          <w:rFonts w:hint="eastAsia" w:ascii="仿宋" w:hAnsi="仿宋" w:eastAsia="仿宋" w:cs="仿宋"/>
          <w:snapToGrid w:val="0"/>
          <w:color w:val="auto"/>
          <w:kern w:val="0"/>
          <w:sz w:val="28"/>
          <w:szCs w:val="28"/>
          <w:highlight w:val="none"/>
          <w:lang w:val="en-US" w:eastAsia="zh-CN"/>
        </w:rPr>
      </w:pPr>
      <w:r>
        <w:rPr>
          <w:rFonts w:hint="eastAsia" w:ascii="仿宋" w:hAnsi="仿宋" w:eastAsia="仿宋" w:cs="仿宋"/>
          <w:snapToGrid w:val="0"/>
          <w:color w:val="auto"/>
          <w:kern w:val="0"/>
          <w:sz w:val="28"/>
          <w:szCs w:val="28"/>
          <w:highlight w:val="none"/>
          <w:lang w:val="en-US" w:eastAsia="zh-CN"/>
        </w:rPr>
        <w:t>1、乙方完成以下核心绩效目标（KPI）。</w:t>
      </w:r>
    </w:p>
    <w:tbl>
      <w:tblPr>
        <w:tblStyle w:val="8"/>
        <w:tblW w:w="8565" w:type="dxa"/>
        <w:tblInd w:w="2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7"/>
        <w:gridCol w:w="1577"/>
        <w:gridCol w:w="3896"/>
        <w:gridCol w:w="1192"/>
        <w:gridCol w:w="1193"/>
      </w:tblGrid>
      <w:tr w14:paraId="12C54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707" w:type="dxa"/>
            <w:tcBorders>
              <w:top w:val="single" w:color="000000" w:sz="4" w:space="0"/>
              <w:left w:val="single" w:color="000000" w:sz="4" w:space="0"/>
              <w:bottom w:val="single" w:color="000000" w:sz="4" w:space="0"/>
              <w:right w:val="single" w:color="000000" w:sz="4" w:space="0"/>
            </w:tcBorders>
            <w:noWrap/>
            <w:vAlign w:val="center"/>
          </w:tcPr>
          <w:p w14:paraId="670DD703">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序号</w:t>
            </w:r>
          </w:p>
        </w:tc>
        <w:tc>
          <w:tcPr>
            <w:tcW w:w="1577" w:type="dxa"/>
            <w:tcBorders>
              <w:top w:val="single" w:color="000000" w:sz="4" w:space="0"/>
              <w:left w:val="single" w:color="000000" w:sz="4" w:space="0"/>
              <w:bottom w:val="single" w:color="000000" w:sz="4" w:space="0"/>
              <w:right w:val="single" w:color="000000" w:sz="4" w:space="0"/>
            </w:tcBorders>
            <w:noWrap/>
            <w:vAlign w:val="center"/>
          </w:tcPr>
          <w:p w14:paraId="5CC0C96D">
            <w:pPr>
              <w:adjustRightInd w:val="0"/>
              <w:snapToGrid w:val="0"/>
              <w:spacing w:line="360" w:lineRule="auto"/>
              <w:ind w:firstLine="240" w:firstLineChars="100"/>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绩效指标</w:t>
            </w:r>
          </w:p>
        </w:tc>
        <w:tc>
          <w:tcPr>
            <w:tcW w:w="3896" w:type="dxa"/>
            <w:tcBorders>
              <w:top w:val="single" w:color="000000" w:sz="4" w:space="0"/>
              <w:left w:val="single" w:color="000000" w:sz="4" w:space="0"/>
              <w:bottom w:val="single" w:color="000000" w:sz="4" w:space="0"/>
              <w:right w:val="single" w:color="000000" w:sz="4" w:space="0"/>
            </w:tcBorders>
            <w:noWrap/>
            <w:vAlign w:val="center"/>
          </w:tcPr>
          <w:p w14:paraId="558F7AC3">
            <w:pPr>
              <w:adjustRightInd w:val="0"/>
              <w:snapToGrid w:val="0"/>
              <w:spacing w:line="360" w:lineRule="auto"/>
              <w:ind w:firstLine="480" w:firstLineChars="200"/>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目标值</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7E46457">
            <w:pPr>
              <w:adjustRightInd w:val="0"/>
              <w:snapToGrid w:val="0"/>
              <w:spacing w:line="360" w:lineRule="auto"/>
              <w:jc w:val="both"/>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指标值</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40D6AF2E">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分值权重</w:t>
            </w:r>
          </w:p>
        </w:tc>
      </w:tr>
      <w:tr w14:paraId="19303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trPr>
        <w:tc>
          <w:tcPr>
            <w:tcW w:w="707" w:type="dxa"/>
            <w:tcBorders>
              <w:top w:val="single" w:color="000000" w:sz="4" w:space="0"/>
              <w:left w:val="single" w:color="000000" w:sz="4" w:space="0"/>
              <w:bottom w:val="single" w:color="000000" w:sz="4" w:space="0"/>
              <w:right w:val="single" w:color="000000" w:sz="4" w:space="0"/>
            </w:tcBorders>
            <w:noWrap/>
            <w:vAlign w:val="center"/>
          </w:tcPr>
          <w:p w14:paraId="6C5C90D8">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w:t>
            </w:r>
          </w:p>
        </w:tc>
        <w:tc>
          <w:tcPr>
            <w:tcW w:w="1577" w:type="dxa"/>
            <w:tcBorders>
              <w:top w:val="single" w:color="000000" w:sz="4" w:space="0"/>
              <w:left w:val="single" w:color="000000" w:sz="4" w:space="0"/>
              <w:bottom w:val="single" w:color="000000" w:sz="4" w:space="0"/>
              <w:right w:val="single" w:color="000000" w:sz="4" w:space="0"/>
            </w:tcBorders>
            <w:noWrap/>
            <w:vAlign w:val="center"/>
          </w:tcPr>
          <w:p w14:paraId="53FDA02B">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数量指标</w:t>
            </w:r>
          </w:p>
        </w:tc>
        <w:tc>
          <w:tcPr>
            <w:tcW w:w="3896" w:type="dxa"/>
            <w:tcBorders>
              <w:top w:val="single" w:color="000000" w:sz="4" w:space="0"/>
              <w:left w:val="single" w:color="000000" w:sz="4" w:space="0"/>
              <w:bottom w:val="single" w:color="000000" w:sz="4" w:space="0"/>
              <w:right w:val="single" w:color="000000" w:sz="4" w:space="0"/>
            </w:tcBorders>
            <w:noWrap w:val="0"/>
            <w:vAlign w:val="center"/>
          </w:tcPr>
          <w:p w14:paraId="27FFCD5E">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配备不少于3名业务人员</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40AB1955">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不少于3人</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23FD94AE">
            <w:pPr>
              <w:adjustRightInd w:val="0"/>
              <w:snapToGrid w:val="0"/>
              <w:spacing w:line="360" w:lineRule="auto"/>
              <w:ind w:firstLine="480" w:firstLineChars="200"/>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10</w:t>
            </w:r>
          </w:p>
        </w:tc>
      </w:tr>
      <w:tr w14:paraId="4AC41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8" w:hRule="atLeast"/>
        </w:trPr>
        <w:tc>
          <w:tcPr>
            <w:tcW w:w="707" w:type="dxa"/>
            <w:tcBorders>
              <w:top w:val="single" w:color="000000" w:sz="4" w:space="0"/>
              <w:left w:val="single" w:color="000000" w:sz="4" w:space="0"/>
              <w:bottom w:val="single" w:color="000000" w:sz="4" w:space="0"/>
              <w:right w:val="single" w:color="000000" w:sz="4" w:space="0"/>
            </w:tcBorders>
            <w:noWrap/>
            <w:vAlign w:val="center"/>
          </w:tcPr>
          <w:p w14:paraId="6A27A853">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2</w:t>
            </w:r>
          </w:p>
        </w:tc>
        <w:tc>
          <w:tcPr>
            <w:tcW w:w="1577" w:type="dxa"/>
            <w:tcBorders>
              <w:top w:val="single" w:color="000000" w:sz="4" w:space="0"/>
              <w:left w:val="single" w:color="000000" w:sz="4" w:space="0"/>
              <w:bottom w:val="single" w:color="000000" w:sz="4" w:space="0"/>
              <w:right w:val="single" w:color="000000" w:sz="4" w:space="0"/>
            </w:tcBorders>
            <w:noWrap/>
            <w:vAlign w:val="center"/>
          </w:tcPr>
          <w:p w14:paraId="500EE661">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质量指标</w:t>
            </w:r>
          </w:p>
        </w:tc>
        <w:tc>
          <w:tcPr>
            <w:tcW w:w="3896" w:type="dxa"/>
            <w:tcBorders>
              <w:top w:val="single" w:color="000000" w:sz="4" w:space="0"/>
              <w:left w:val="single" w:color="000000" w:sz="4" w:space="0"/>
              <w:bottom w:val="single" w:color="000000" w:sz="4" w:space="0"/>
              <w:right w:val="single" w:color="000000" w:sz="4" w:space="0"/>
            </w:tcBorders>
            <w:noWrap w:val="0"/>
            <w:vAlign w:val="center"/>
          </w:tcPr>
          <w:p w14:paraId="00D88AFA">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曲江新区五典坡安置小区（城中村改造）外配套基础设施工程监理招标范围包括施工图纸范围内全方位、全过程施工阶段及保修阶段的监理工作与相关服务。</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599271DD">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验收合格率100%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39CF433">
            <w:pPr>
              <w:adjustRightInd w:val="0"/>
              <w:snapToGrid w:val="0"/>
              <w:spacing w:line="360" w:lineRule="auto"/>
              <w:ind w:firstLine="480" w:firstLineChars="200"/>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40</w:t>
            </w:r>
          </w:p>
        </w:tc>
      </w:tr>
      <w:tr w14:paraId="3A02E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707" w:type="dxa"/>
            <w:tcBorders>
              <w:top w:val="single" w:color="000000" w:sz="4" w:space="0"/>
              <w:left w:val="single" w:color="000000" w:sz="4" w:space="0"/>
              <w:bottom w:val="single" w:color="000000" w:sz="4" w:space="0"/>
              <w:right w:val="single" w:color="000000" w:sz="4" w:space="0"/>
            </w:tcBorders>
            <w:noWrap/>
            <w:vAlign w:val="center"/>
          </w:tcPr>
          <w:p w14:paraId="38206796">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3</w:t>
            </w:r>
          </w:p>
        </w:tc>
        <w:tc>
          <w:tcPr>
            <w:tcW w:w="1577" w:type="dxa"/>
            <w:tcBorders>
              <w:top w:val="single" w:color="000000" w:sz="4" w:space="0"/>
              <w:left w:val="single" w:color="000000" w:sz="4" w:space="0"/>
              <w:bottom w:val="single" w:color="000000" w:sz="4" w:space="0"/>
              <w:right w:val="single" w:color="000000" w:sz="4" w:space="0"/>
            </w:tcBorders>
            <w:noWrap/>
            <w:vAlign w:val="center"/>
          </w:tcPr>
          <w:p w14:paraId="2C5CCEE2">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时效指标</w:t>
            </w:r>
          </w:p>
        </w:tc>
        <w:tc>
          <w:tcPr>
            <w:tcW w:w="3896" w:type="dxa"/>
            <w:tcBorders>
              <w:top w:val="single" w:color="000000" w:sz="4" w:space="0"/>
              <w:left w:val="single" w:color="000000" w:sz="4" w:space="0"/>
              <w:bottom w:val="single" w:color="000000" w:sz="4" w:space="0"/>
              <w:right w:val="single" w:color="000000" w:sz="4" w:space="0"/>
            </w:tcBorders>
            <w:noWrap/>
            <w:vAlign w:val="center"/>
          </w:tcPr>
          <w:p w14:paraId="0B1A24CF">
            <w:pPr>
              <w:pStyle w:val="12"/>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color w:val="auto"/>
                <w:kern w:val="2"/>
                <w:sz w:val="24"/>
                <w:szCs w:val="24"/>
                <w:highlight w:val="none"/>
                <w:u w:val="none"/>
                <w:lang w:val="en-US" w:eastAsia="zh-CN" w:bidi="ar-SA"/>
              </w:rPr>
              <w:t>合同签订后180个日历天</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784947AA">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合同服务周期内</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8250798">
            <w:pPr>
              <w:adjustRightInd w:val="0"/>
              <w:snapToGrid w:val="0"/>
              <w:spacing w:line="360" w:lineRule="auto"/>
              <w:ind w:firstLine="480" w:firstLineChars="200"/>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30</w:t>
            </w:r>
          </w:p>
        </w:tc>
      </w:tr>
      <w:tr w14:paraId="2E5AA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8" w:hRule="atLeast"/>
        </w:trPr>
        <w:tc>
          <w:tcPr>
            <w:tcW w:w="707" w:type="dxa"/>
            <w:tcBorders>
              <w:top w:val="single" w:color="000000" w:sz="4" w:space="0"/>
              <w:left w:val="single" w:color="000000" w:sz="4" w:space="0"/>
              <w:bottom w:val="single" w:color="000000" w:sz="4" w:space="0"/>
              <w:right w:val="single" w:color="000000" w:sz="4" w:space="0"/>
            </w:tcBorders>
            <w:noWrap/>
            <w:vAlign w:val="center"/>
          </w:tcPr>
          <w:p w14:paraId="4FFF6092">
            <w:pPr>
              <w:adjustRightInd w:val="0"/>
              <w:snapToGrid w:val="0"/>
              <w:spacing w:line="360" w:lineRule="auto"/>
              <w:jc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4</w:t>
            </w:r>
          </w:p>
        </w:tc>
        <w:tc>
          <w:tcPr>
            <w:tcW w:w="1577" w:type="dxa"/>
            <w:tcBorders>
              <w:top w:val="single" w:color="000000" w:sz="4" w:space="0"/>
              <w:left w:val="single" w:color="000000" w:sz="4" w:space="0"/>
              <w:bottom w:val="single" w:color="000000" w:sz="4" w:space="0"/>
              <w:right w:val="single" w:color="000000" w:sz="4" w:space="0"/>
            </w:tcBorders>
            <w:noWrap/>
            <w:vAlign w:val="center"/>
          </w:tcPr>
          <w:p w14:paraId="53EB9265">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满意度指标</w:t>
            </w:r>
          </w:p>
        </w:tc>
        <w:tc>
          <w:tcPr>
            <w:tcW w:w="3896" w:type="dxa"/>
            <w:tcBorders>
              <w:top w:val="single" w:color="000000" w:sz="4" w:space="0"/>
              <w:left w:val="single" w:color="000000" w:sz="4" w:space="0"/>
              <w:bottom w:val="single" w:color="000000" w:sz="4" w:space="0"/>
              <w:right w:val="single" w:color="000000" w:sz="4" w:space="0"/>
            </w:tcBorders>
            <w:noWrap w:val="0"/>
            <w:vAlign w:val="center"/>
          </w:tcPr>
          <w:p w14:paraId="4951D903">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甲、丙方对乙方监理人员各项工作的满意程度评价</w:t>
            </w:r>
          </w:p>
        </w:tc>
        <w:tc>
          <w:tcPr>
            <w:tcW w:w="1192" w:type="dxa"/>
            <w:tcBorders>
              <w:top w:val="single" w:color="000000" w:sz="4" w:space="0"/>
              <w:left w:val="single" w:color="000000" w:sz="4" w:space="0"/>
              <w:bottom w:val="single" w:color="000000" w:sz="4" w:space="0"/>
              <w:right w:val="single" w:color="000000" w:sz="4" w:space="0"/>
            </w:tcBorders>
            <w:noWrap/>
            <w:vAlign w:val="center"/>
          </w:tcPr>
          <w:p w14:paraId="6B7DE812">
            <w:pPr>
              <w:adjustRightInd w:val="0"/>
              <w:snapToGrid w:val="0"/>
              <w:spacing w:line="360" w:lineRule="auto"/>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≥98%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1FBE5D27">
            <w:pPr>
              <w:adjustRightInd w:val="0"/>
              <w:snapToGrid w:val="0"/>
              <w:spacing w:line="360" w:lineRule="auto"/>
              <w:ind w:firstLine="480" w:firstLineChars="200"/>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20</w:t>
            </w:r>
          </w:p>
        </w:tc>
      </w:tr>
    </w:tbl>
    <w:p w14:paraId="0C8025C1">
      <w:pPr>
        <w:pStyle w:val="11"/>
        <w:numPr>
          <w:ilvl w:val="0"/>
          <w:numId w:val="1"/>
        </w:numPr>
        <w:spacing w:line="360" w:lineRule="auto"/>
        <w:ind w:firstLine="480"/>
        <w:rPr>
          <w:rFonts w:hint="eastAsia" w:ascii="仿宋" w:hAnsi="仿宋" w:eastAsia="仿宋" w:cs="仿宋"/>
          <w:b/>
          <w:bCs/>
          <w:color w:val="auto"/>
          <w:sz w:val="28"/>
          <w:szCs w:val="28"/>
          <w:highlight w:val="none"/>
          <w:lang w:val="en-US" w:eastAsia="zh-CN"/>
        </w:rPr>
      </w:pPr>
      <w:r>
        <w:rPr>
          <w:rFonts w:hint="eastAsia" w:ascii="仿宋" w:hAnsi="仿宋" w:eastAsia="仿宋" w:cs="仿宋"/>
          <w:b/>
          <w:bCs/>
          <w:snapToGrid w:val="0"/>
          <w:color w:val="auto"/>
          <w:kern w:val="0"/>
          <w:sz w:val="28"/>
          <w:szCs w:val="28"/>
          <w:highlight w:val="none"/>
          <w:lang w:val="en-US" w:eastAsia="zh-CN" w:bidi="ar-SA"/>
        </w:rPr>
        <w:t>绩效考评机制</w:t>
      </w:r>
    </w:p>
    <w:p w14:paraId="36406FCC">
      <w:pPr>
        <w:adjustRightInd w:val="0"/>
        <w:snapToGrid w:val="0"/>
        <w:spacing w:line="360" w:lineRule="auto"/>
        <w:ind w:firstLine="560" w:firstLineChars="200"/>
        <w:rPr>
          <w:ins w:id="2" w:author="哈哈" w:date="2021-09-26T14:53:00Z"/>
          <w:rFonts w:hint="eastAsia"/>
          <w:color w:val="auto"/>
          <w:highlight w:val="none"/>
        </w:rPr>
      </w:pPr>
      <w:r>
        <w:rPr>
          <w:rFonts w:hint="eastAsia" w:ascii="仿宋" w:hAnsi="仿宋" w:eastAsia="仿宋" w:cs="仿宋"/>
          <w:snapToGrid w:val="0"/>
          <w:color w:val="auto"/>
          <w:kern w:val="0"/>
          <w:sz w:val="28"/>
          <w:szCs w:val="28"/>
          <w:highlight w:val="none"/>
          <w:lang w:val="en-US" w:eastAsia="zh-CN"/>
        </w:rPr>
        <w:t>乙方完成进度工作内容，考评周期结束前提交《绩效自评报告》及证明材料，甲方负责对乙方绩效进行客观评价，绩效评价采用百分制，总分值为100分，根据绩效评价结果，甲方按以下比列支付进度款和结算款项：优秀（≥90分）：支付进度款或结算款项的100%；良好（80-89分）：支付进度款或结算款项的90%；合格（60--79分）：支付进度款或结算款项的70%；不合格（&lt;60分）：不予支付款项。</w:t>
      </w:r>
    </w:p>
    <w:p w14:paraId="3EE7E46F">
      <w:pPr>
        <w:pStyle w:val="11"/>
        <w:rPr>
          <w:rFonts w:hint="eastAsia"/>
          <w:lang w:val="en-US" w:eastAsia="zh-Hans"/>
        </w:rPr>
      </w:pPr>
    </w:p>
    <w:p w14:paraId="584EF68D"/>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759D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30E4F"/>
    <w:multiLevelType w:val="singleLevel"/>
    <w:tmpl w:val="89130E4F"/>
    <w:lvl w:ilvl="0" w:tentative="0">
      <w:start w:val="2"/>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哈哈">
    <w15:presenceInfo w15:providerId="None" w15:userId="哈哈"/>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revisionView w:markup="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F0109E"/>
    <w:rsid w:val="649A00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qFormat/>
    <w:uiPriority w:val="9"/>
    <w:pPr>
      <w:keepNext/>
      <w:keepLines/>
      <w:spacing w:before="260" w:beforeLines="0" w:after="260" w:afterLines="0" w:line="416"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5">
    <w:name w:val="Plain Text"/>
    <w:basedOn w:val="1"/>
    <w:qFormat/>
    <w:uiPriority w:val="99"/>
    <w:rPr>
      <w:rFonts w:ascii="宋体" w:hAnsi="Courier New"/>
      <w:szCs w:val="20"/>
    </w:rPr>
  </w:style>
  <w:style w:type="paragraph" w:styleId="6">
    <w:name w:val="Body Text Indent 2"/>
    <w:basedOn w:val="1"/>
    <w:qFormat/>
    <w:uiPriority w:val="0"/>
    <w:pPr>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rPr>
  </w:style>
  <w:style w:type="character" w:styleId="10">
    <w:name w:val="Strong"/>
    <w:qFormat/>
    <w:uiPriority w:val="22"/>
    <w:rPr>
      <w:b/>
      <w:bCs/>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23605</Words>
  <Characters>24661</Characters>
  <Lines>0</Lines>
  <Paragraphs>0</Paragraphs>
  <TotalTime>0</TotalTime>
  <ScaleCrop>false</ScaleCrop>
  <LinksUpToDate>false</LinksUpToDate>
  <CharactersWithSpaces>25771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2026-08-18T10:44:17Z</dcterms:created>
  <dc:creator>Administrator</dc:creator>
  <cp:lastModifiedBy>KZ</cp:lastModifiedBy>
  <dcterms:modified xsi:type="dcterms:W3CDTF">2026-08-18T10:48:53Z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1D9F6131084B46F3B52B87535CA181D6_13</vt:lpwstr>
  </property>
</Properties>
</file>