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版本号：xmzbfz-202605060120260507001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西安市产业社会领域项目咨询服务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xmzbfz-2026050601</w:t>
      </w:r>
      <w:r>
        <w:br/>
      </w:r>
      <w:r>
        <w:br/>
      </w:r>
      <w:r>
        <w:br/>
      </w:r>
    </w:p>
    <w:p>
      <w:pPr>
        <w:pStyle w:val="null3"/>
        <w:jc w:val="center"/>
        <w:outlineLvl w:val="2"/>
      </w:pPr>
      <w:r>
        <w:rPr>
          <w:rFonts w:ascii="仿宋_GB2312" w:hAnsi="仿宋_GB2312" w:cs="仿宋_GB2312" w:eastAsia="仿宋_GB2312"/>
          <w:sz w:val="28"/>
          <w:b/>
        </w:rPr>
        <w:t>西安市发展和改革委员会（本级）</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西安市发展和改革委员会（本级）</w:t>
      </w:r>
      <w:r>
        <w:rPr>
          <w:rFonts w:ascii="仿宋_GB2312" w:hAnsi="仿宋_GB2312" w:cs="仿宋_GB2312" w:eastAsia="仿宋_GB2312"/>
        </w:rPr>
        <w:t>委托，拟对</w:t>
      </w:r>
      <w:r>
        <w:rPr>
          <w:rFonts w:ascii="仿宋_GB2312" w:hAnsi="仿宋_GB2312" w:cs="仿宋_GB2312" w:eastAsia="仿宋_GB2312"/>
        </w:rPr>
        <w:t>西安市产业社会领域项目咨询服务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xmzbfz-2026050601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西安市产业社会领域项目咨询服务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西安市产业社会领域项目，围绕“十五五”专项规划项目支撑、政策性资金项目储备、重点产业链项目招引三大核心方向，开展项目评审、申报指导、储备谋划工作，加快形成数量足、质量高、可落地的产业社会领域项目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采购包1（西安市产业社会领域项目咨询服务）：属于专门面向中小企业采购。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029-86788871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西安市雁塔区电子三路西京国际电气中心A座906室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029-68969891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及(发改价格〔2011〕534号)规定标准下浮5%收取。开户名称：陕西雄迈工程项目管理有限公司 开户行名称：中国民生银行股份有限公司西安太白路支行 账 号：6323 3691 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西安市发展和改革委员会（本级）</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西安市发展和改革委员会（本级）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联系人：马工</w:t>
      </w:r>
    </w:p>
    <w:p>
      <w:pPr>
        <w:pStyle w:val="null3"/>
      </w:pPr>
      <w:r>
        <w:rPr>
          <w:rFonts w:ascii="仿宋_GB2312" w:hAnsi="仿宋_GB2312" w:cs="仿宋_GB2312" w:eastAsia="仿宋_GB2312"/>
        </w:rPr>
        <w:t>联系电话：029-68969891</w:t>
      </w:r>
    </w:p>
    <w:p>
      <w:pPr>
        <w:pStyle w:val="null3"/>
      </w:pPr>
      <w:r>
        <w:rPr>
          <w:rFonts w:ascii="仿宋_GB2312" w:hAnsi="仿宋_GB2312" w:cs="仿宋_GB2312" w:eastAsia="仿宋_GB2312"/>
        </w:rPr>
        <w:t>地址：陕西省西安市雁塔区电子三路西京电气中心A座906室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西安市产业社会领域项目，围绕“十五五”专项规划项目支撑、政策性资金项目储备、重点产业链项目招引三大核心方向，开展项目评审、申报指导、储备谋划工作，加快形成数量足、质量高、可落地的产业社会领域项目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委托开展第三方智库机构开展产业社会领域项目谋划咨询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标的名称：委托开展第三方智库机构开展产业社会领域项目谋划咨询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西安市产业社会领域项目咨询服务旨在进一步提升西安市产业与社会领域项目谋划质量，强化重大项目储备、政策资金对接、项目评审论证及申报全流程管理能力，按照国家及省市关于项目储备、资金申报等工作要求，拟通过采购第三方专业咨询服务，开展政策研究、项目梳理、评审把关、业务培训、材料支撑等工作，全面提高项目成熟度、合规性与资金申报成功率，保障全市产业发与社会领域重点项目高效推进、规范落地。</w:t>
            </w:r>
            <w:r>
              <w:br/>
            </w:r>
            <w:r>
              <w:rPr>
                <w:rFonts w:ascii="仿宋_GB2312" w:hAnsi="仿宋_GB2312" w:cs="仿宋_GB2312" w:eastAsia="仿宋_GB2312"/>
              </w:rPr>
              <w:t xml:space="preserve"> 二、服务要求</w:t>
            </w:r>
            <w:r>
              <w:br/>
            </w:r>
            <w:r>
              <w:rPr>
                <w:rFonts w:ascii="仿宋_GB2312" w:hAnsi="仿宋_GB2312" w:cs="仿宋_GB2312" w:eastAsia="仿宋_GB2312"/>
              </w:rPr>
              <w:t xml:space="preserve"> 1.整体要求</w:t>
            </w:r>
            <w:r>
              <w:br/>
            </w:r>
            <w:r>
              <w:rPr>
                <w:rFonts w:ascii="仿宋_GB2312" w:hAnsi="仿宋_GB2312" w:cs="仿宋_GB2312" w:eastAsia="仿宋_GB2312"/>
              </w:rPr>
              <w:t xml:space="preserve"> 须具备丰富的政策研究、项目谋划、资金申报及评审咨询经验，组建稳定、专业的服务团队，提供全过程、伴随式咨询服务；严格遵守国家、省、市相关政策规定与工作纪律，确保服务成果真实、准确、规范、有效；按照采购方工作节点要求，高效完成政策研判、项目初审、专家评审、清单编制、报告出具、业务培训、会议保障等任务，并定期提交工作成果，接受绩效评价与验收。</w:t>
            </w:r>
            <w:r>
              <w:br/>
            </w:r>
            <w:r>
              <w:rPr>
                <w:rFonts w:ascii="仿宋_GB2312" w:hAnsi="仿宋_GB2312" w:cs="仿宋_GB2312" w:eastAsia="仿宋_GB2312"/>
              </w:rPr>
              <w:t xml:space="preserve"> 2.人员要求</w:t>
            </w:r>
            <w:r>
              <w:br/>
            </w:r>
            <w:r>
              <w:rPr>
                <w:rFonts w:ascii="仿宋_GB2312" w:hAnsi="仿宋_GB2312" w:cs="仿宋_GB2312" w:eastAsia="仿宋_GB2312"/>
              </w:rPr>
              <w:t xml:space="preserve"> 组建“专班+专家”双重咨询服务力量。专班力量根据任务需求保持4至8人驻场工作；专家力量根据各领域评估论证需求及时到场开展专业服务。</w:t>
            </w:r>
            <w:r>
              <w:br/>
            </w:r>
            <w:r>
              <w:rPr>
                <w:rFonts w:ascii="仿宋_GB2312" w:hAnsi="仿宋_GB2312" w:cs="仿宋_GB2312" w:eastAsia="仿宋_GB2312"/>
              </w:rPr>
              <w:t xml:space="preserve"> 三、服务内容</w:t>
            </w:r>
            <w:r>
              <w:br/>
            </w:r>
            <w:r>
              <w:rPr>
                <w:rFonts w:ascii="仿宋_GB2312" w:hAnsi="仿宋_GB2312" w:cs="仿宋_GB2312" w:eastAsia="仿宋_GB2312"/>
              </w:rPr>
              <w:t xml:space="preserve"> 1.需围绕产业领域、社会领域开展政策动态跟踪与投向研究，协助开展项目梳理筛查、合规性审核、成熟度评估、模拟评审及提质优化；</w:t>
            </w:r>
            <w:r>
              <w:br/>
            </w:r>
            <w:r>
              <w:rPr>
                <w:rFonts w:ascii="仿宋_GB2312" w:hAnsi="仿宋_GB2312" w:cs="仿宋_GB2312" w:eastAsia="仿宋_GB2312"/>
              </w:rPr>
              <w:t xml:space="preserve"> 2.协助建立规范统一的项目储备库与管理台账，提供项目申报全流程指导、材料编制辅导及问题整改建议；</w:t>
            </w:r>
            <w:r>
              <w:br/>
            </w:r>
            <w:r>
              <w:rPr>
                <w:rFonts w:ascii="仿宋_GB2312" w:hAnsi="仿宋_GB2312" w:cs="仿宋_GB2312" w:eastAsia="仿宋_GB2312"/>
              </w:rPr>
              <w:t xml:space="preserve"> 3.按要求组织专家评审、出具评审意见、形成各类项目清单与研究报告；</w:t>
            </w:r>
            <w:r>
              <w:br/>
            </w:r>
            <w:r>
              <w:rPr>
                <w:rFonts w:ascii="仿宋_GB2312" w:hAnsi="仿宋_GB2312" w:cs="仿宋_GB2312" w:eastAsia="仿宋_GB2312"/>
              </w:rPr>
              <w:t xml:space="preserve"> 4.开展政策解读与业务培训，提供会议组织、纪要汇编、材料撰写等日常支撑服务，全面支撑采购方项目谋划与资金申报相关工作。</w:t>
            </w:r>
            <w:r>
              <w:br/>
            </w:r>
            <w:r>
              <w:rPr>
                <w:rFonts w:ascii="仿宋_GB2312" w:hAnsi="仿宋_GB2312" w:cs="仿宋_GB2312" w:eastAsia="仿宋_GB2312"/>
              </w:rPr>
              <w:t xml:space="preserve"> 四、服务成果</w:t>
            </w:r>
            <w:r>
              <w:br/>
            </w:r>
            <w:r>
              <w:rPr>
                <w:rFonts w:ascii="仿宋_GB2312" w:hAnsi="仿宋_GB2312" w:cs="仿宋_GB2312" w:eastAsia="仿宋_GB2312"/>
              </w:rPr>
              <w:t xml:space="preserve"> 1.结合工作要求，对产业类9个领域，社会类6个领域相关规划和国家政策文件开展预研究和提前研判，形成：</w:t>
            </w:r>
            <w:r>
              <w:br/>
            </w:r>
            <w:r>
              <w:rPr>
                <w:rFonts w:ascii="仿宋_GB2312" w:hAnsi="仿宋_GB2312" w:cs="仿宋_GB2312" w:eastAsia="仿宋_GB2312"/>
              </w:rPr>
              <w:t xml:space="preserve"> （1）《2026年西安市产业类项目政策性资金申报研究报告》；</w:t>
            </w:r>
            <w:r>
              <w:br/>
            </w:r>
            <w:r>
              <w:rPr>
                <w:rFonts w:ascii="仿宋_GB2312" w:hAnsi="仿宋_GB2312" w:cs="仿宋_GB2312" w:eastAsia="仿宋_GB2312"/>
              </w:rPr>
              <w:t xml:space="preserve"> （2）《2026年西安市社会类项目政策性资金申报研究报告》；</w:t>
            </w:r>
            <w:r>
              <w:br/>
            </w:r>
            <w:r>
              <w:rPr>
                <w:rFonts w:ascii="仿宋_GB2312" w:hAnsi="仿宋_GB2312" w:cs="仿宋_GB2312" w:eastAsia="仿宋_GB2312"/>
              </w:rPr>
              <w:t xml:space="preserve"> （3）《2026年西安市产业类项目谋划发展思路建议报告》；</w:t>
            </w:r>
            <w:r>
              <w:br/>
            </w:r>
            <w:r>
              <w:rPr>
                <w:rFonts w:ascii="仿宋_GB2312" w:hAnsi="仿宋_GB2312" w:cs="仿宋_GB2312" w:eastAsia="仿宋_GB2312"/>
              </w:rPr>
              <w:t xml:space="preserve"> （4）《2026年西安市社会类项目谋划发展思路建议报告》；</w:t>
            </w:r>
            <w:r>
              <w:br/>
            </w:r>
            <w:r>
              <w:rPr>
                <w:rFonts w:ascii="仿宋_GB2312" w:hAnsi="仿宋_GB2312" w:cs="仿宋_GB2312" w:eastAsia="仿宋_GB2312"/>
              </w:rPr>
              <w:t xml:space="preserve"> （5）《2026年先进制造业及高技术领域政策研究报告》；</w:t>
            </w:r>
            <w:r>
              <w:br/>
            </w:r>
            <w:r>
              <w:rPr>
                <w:rFonts w:ascii="仿宋_GB2312" w:hAnsi="仿宋_GB2312" w:cs="仿宋_GB2312" w:eastAsia="仿宋_GB2312"/>
              </w:rPr>
              <w:t xml:space="preserve"> （6）《2026年数字经济领域政策研究报告》；</w:t>
            </w:r>
            <w:r>
              <w:br/>
            </w:r>
            <w:r>
              <w:rPr>
                <w:rFonts w:ascii="仿宋_GB2312" w:hAnsi="仿宋_GB2312" w:cs="仿宋_GB2312" w:eastAsia="仿宋_GB2312"/>
              </w:rPr>
              <w:t xml:space="preserve"> （7）《2026年科技服务领域政策研究报告》；</w:t>
            </w:r>
            <w:r>
              <w:br/>
            </w:r>
            <w:r>
              <w:rPr>
                <w:rFonts w:ascii="仿宋_GB2312" w:hAnsi="仿宋_GB2312" w:cs="仿宋_GB2312" w:eastAsia="仿宋_GB2312"/>
              </w:rPr>
              <w:t xml:space="preserve"> （8）《2026年生态环境领域政策研究报告》；</w:t>
            </w:r>
            <w:r>
              <w:br/>
            </w:r>
            <w:r>
              <w:rPr>
                <w:rFonts w:ascii="仿宋_GB2312" w:hAnsi="仿宋_GB2312" w:cs="仿宋_GB2312" w:eastAsia="仿宋_GB2312"/>
              </w:rPr>
              <w:t xml:space="preserve"> （9）《2026年现代农业领域政策研究报告》；</w:t>
            </w:r>
            <w:r>
              <w:br/>
            </w:r>
            <w:r>
              <w:rPr>
                <w:rFonts w:ascii="仿宋_GB2312" w:hAnsi="仿宋_GB2312" w:cs="仿宋_GB2312" w:eastAsia="仿宋_GB2312"/>
              </w:rPr>
              <w:t xml:space="preserve"> （10）《2026年现代服务领域业政策研究报告》；</w:t>
            </w:r>
            <w:r>
              <w:br/>
            </w:r>
            <w:r>
              <w:rPr>
                <w:rFonts w:ascii="仿宋_GB2312" w:hAnsi="仿宋_GB2312" w:cs="仿宋_GB2312" w:eastAsia="仿宋_GB2312"/>
              </w:rPr>
              <w:t xml:space="preserve"> （11）《2026年开放经济领域政策研究报告》；</w:t>
            </w:r>
            <w:r>
              <w:br/>
            </w:r>
            <w:r>
              <w:rPr>
                <w:rFonts w:ascii="仿宋_GB2312" w:hAnsi="仿宋_GB2312" w:cs="仿宋_GB2312" w:eastAsia="仿宋_GB2312"/>
              </w:rPr>
              <w:t xml:space="preserve"> （12）《2026年现代能源领域政策研究报告》；</w:t>
            </w:r>
            <w:r>
              <w:br/>
            </w:r>
            <w:r>
              <w:rPr>
                <w:rFonts w:ascii="仿宋_GB2312" w:hAnsi="仿宋_GB2312" w:cs="仿宋_GB2312" w:eastAsia="仿宋_GB2312"/>
              </w:rPr>
              <w:t xml:space="preserve"> （13）《2026年教育领域政策研究报告》；</w:t>
            </w:r>
            <w:r>
              <w:br/>
            </w:r>
            <w:r>
              <w:rPr>
                <w:rFonts w:ascii="仿宋_GB2312" w:hAnsi="仿宋_GB2312" w:cs="仿宋_GB2312" w:eastAsia="仿宋_GB2312"/>
              </w:rPr>
              <w:t xml:space="preserve"> （14）《2026年医疗卫生领域政策研究报告》；</w:t>
            </w:r>
            <w:r>
              <w:br/>
            </w:r>
            <w:r>
              <w:rPr>
                <w:rFonts w:ascii="仿宋_GB2312" w:hAnsi="仿宋_GB2312" w:cs="仿宋_GB2312" w:eastAsia="仿宋_GB2312"/>
              </w:rPr>
              <w:t xml:space="preserve"> （15）《2026年文化遗产领域政策研究报告》；</w:t>
            </w:r>
            <w:r>
              <w:br/>
            </w:r>
            <w:r>
              <w:rPr>
                <w:rFonts w:ascii="仿宋_GB2312" w:hAnsi="仿宋_GB2312" w:cs="仿宋_GB2312" w:eastAsia="仿宋_GB2312"/>
              </w:rPr>
              <w:t xml:space="preserve"> （16）《2026年养老托育领域政策研究报告》；</w:t>
            </w:r>
            <w:r>
              <w:br/>
            </w:r>
            <w:r>
              <w:rPr>
                <w:rFonts w:ascii="仿宋_GB2312" w:hAnsi="仿宋_GB2312" w:cs="仿宋_GB2312" w:eastAsia="仿宋_GB2312"/>
              </w:rPr>
              <w:t xml:space="preserve"> （17）《2026年体育健康领域政策研究报告》；</w:t>
            </w:r>
            <w:r>
              <w:br/>
            </w:r>
            <w:r>
              <w:rPr>
                <w:rFonts w:ascii="仿宋_GB2312" w:hAnsi="仿宋_GB2312" w:cs="仿宋_GB2312" w:eastAsia="仿宋_GB2312"/>
              </w:rPr>
              <w:t xml:space="preserve"> （18）《2026年社会福利服务设施领域政策研究报告》；</w:t>
            </w:r>
            <w:r>
              <w:br/>
            </w:r>
            <w:r>
              <w:rPr>
                <w:rFonts w:ascii="仿宋_GB2312" w:hAnsi="仿宋_GB2312" w:cs="仿宋_GB2312" w:eastAsia="仿宋_GB2312"/>
              </w:rPr>
              <w:t xml:space="preserve"> 2.对全市产业社会领域成熟400余个项目进行初审，在梳理与优化基础上，组织专家对初审项目进行复审，形成：</w:t>
            </w:r>
            <w:r>
              <w:br/>
            </w:r>
            <w:r>
              <w:rPr>
                <w:rFonts w:ascii="仿宋_GB2312" w:hAnsi="仿宋_GB2312" w:cs="仿宋_GB2312" w:eastAsia="仿宋_GB2312"/>
              </w:rPr>
              <w:t xml:space="preserve"> （1）《2026年西安市产业领域成熟项目清单及评审意见》；</w:t>
            </w:r>
            <w:r>
              <w:br/>
            </w:r>
            <w:r>
              <w:rPr>
                <w:rFonts w:ascii="仿宋_GB2312" w:hAnsi="仿宋_GB2312" w:cs="仿宋_GB2312" w:eastAsia="仿宋_GB2312"/>
              </w:rPr>
              <w:t xml:space="preserve"> （2）《2026年西安市社会领域成熟项目清单及评审意见》；</w:t>
            </w:r>
            <w:r>
              <w:br/>
            </w:r>
            <w:r>
              <w:rPr>
                <w:rFonts w:ascii="仿宋_GB2312" w:hAnsi="仿宋_GB2312" w:cs="仿宋_GB2312" w:eastAsia="仿宋_GB2312"/>
              </w:rPr>
              <w:t xml:space="preserve"> 3.组织专家对150个拟申报国家政策资金项目进行模拟评审，针对重点项目申报主体单位达到“一对一”指导效果，形成：</w:t>
            </w:r>
            <w:r>
              <w:br/>
            </w:r>
            <w:r>
              <w:rPr>
                <w:rFonts w:ascii="仿宋_GB2312" w:hAnsi="仿宋_GB2312" w:cs="仿宋_GB2312" w:eastAsia="仿宋_GB2312"/>
              </w:rPr>
              <w:t xml:space="preserve"> （1）《2026年产业社会领域拟申报国家政策资金项目模拟评审意见报告》；</w:t>
            </w:r>
            <w:r>
              <w:br/>
            </w:r>
            <w:r>
              <w:rPr>
                <w:rFonts w:ascii="仿宋_GB2312" w:hAnsi="仿宋_GB2312" w:cs="仿宋_GB2312" w:eastAsia="仿宋_GB2312"/>
              </w:rPr>
              <w:t xml:space="preserve"> 4.对西安市产业社会领域1500余个谋划项目进行初审，形成谋划项目清单，组织专家对储备项目进行复审，形成：</w:t>
            </w:r>
            <w:r>
              <w:br/>
            </w:r>
            <w:r>
              <w:rPr>
                <w:rFonts w:ascii="仿宋_GB2312" w:hAnsi="仿宋_GB2312" w:cs="仿宋_GB2312" w:eastAsia="仿宋_GB2312"/>
              </w:rPr>
              <w:t xml:space="preserve"> （1）《2026年西安市产业领域谋划项目清单及评审意见》；</w:t>
            </w:r>
            <w:r>
              <w:br/>
            </w:r>
            <w:r>
              <w:rPr>
                <w:rFonts w:ascii="仿宋_GB2312" w:hAnsi="仿宋_GB2312" w:cs="仿宋_GB2312" w:eastAsia="仿宋_GB2312"/>
              </w:rPr>
              <w:t xml:space="preserve"> （2）《2026年西安市社会领域谋划项目清单及评审意见》；</w:t>
            </w:r>
            <w:r>
              <w:br/>
            </w:r>
            <w:r>
              <w:rPr>
                <w:rFonts w:ascii="仿宋_GB2312" w:hAnsi="仿宋_GB2312" w:cs="仿宋_GB2312" w:eastAsia="仿宋_GB2312"/>
              </w:rPr>
              <w:t xml:space="preserve"> （3）其他咨询服务成果：</w:t>
            </w:r>
            <w:r>
              <w:br/>
            </w:r>
            <w:r>
              <w:rPr>
                <w:rFonts w:ascii="仿宋_GB2312" w:hAnsi="仿宋_GB2312" w:cs="仿宋_GB2312" w:eastAsia="仿宋_GB2312"/>
              </w:rPr>
              <w:t xml:space="preserve"> （4）《西安市产业和社会领域投资项目谋划推进专班会议纪要汇编》；</w:t>
            </w:r>
            <w:r>
              <w:br/>
            </w:r>
            <w:r>
              <w:rPr>
                <w:rFonts w:ascii="仿宋_GB2312" w:hAnsi="仿宋_GB2312" w:cs="仿宋_GB2312" w:eastAsia="仿宋_GB2312"/>
              </w:rPr>
              <w:t xml:space="preserve"> （5）提供现场集中业务培训不少于4次，包括国家政策解读、项目申报政策咨询等服务。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西安市发展和改革委员会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绩效内容完成后先由供应商（乙方）进行自检，自检合格后邀请采购人（甲方）进行验收。甲方确认乙方的自检内容后，组织乙方进行最终验收，验收时乙方应派员参加，共同对验收结果进行确认，并承担相关责任(必要时甲方可委托具有相关资质的第三方检测机构/技术专家进行系统验收，由此产生的相关费用由乙方承担)。验收合格后，甲乙双方填写政府采购项目履约验收单（一式伍份）作为对服务的最终认可。供应商（乙方）每季度一次，向采购人（甲方）提交服务实施过程中的所有资料，以便采购人（甲方）日后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本年度第三季度结束后，完成阶段绩效任务</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待项目验收合格后，无任何质量问题、无争议索赔的情况下</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1.供应商需要在线提交所有通过电子化交易平台实施的政府采购项目的投标/响应文件。 2、确定成交候选人环节采购人有权对投标/响应文件承诺响应的内容进行复核，如有虚假响应，一经发现，取消成交资格并上报财政主管部门，列入政府采购黑名单。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（1）付款方式、服务期限（2）响应文件有效期</w:t>
            </w:r>
          </w:p>
        </w:tc>
        <w:tc>
          <w:tcPr>
            <w:tcW w:type="dxa" w:w="3322"/>
          </w:tcPr>
          <w:p>
            <w:pPr>
              <w:pStyle w:val="null3"/>
            </w:pPr>
            <w:r>
              <w:rPr>
                <w:rFonts w:ascii="仿宋_GB2312" w:hAnsi="仿宋_GB2312" w:cs="仿宋_GB2312" w:eastAsia="仿宋_GB2312"/>
              </w:rPr>
              <w:t>（1）付款方式、服务期限完全响应（2）响应文件有效期合格</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项目了解</w:t>
            </w:r>
          </w:p>
        </w:tc>
        <w:tc>
          <w:tcPr>
            <w:tcW w:type="dxa" w:w="2492"/>
          </w:tcPr>
          <w:p>
            <w:pPr>
              <w:pStyle w:val="null3"/>
            </w:pPr>
            <w:r>
              <w:rPr>
                <w:rFonts w:ascii="仿宋_GB2312" w:hAnsi="仿宋_GB2312" w:cs="仿宋_GB2312" w:eastAsia="仿宋_GB2312"/>
              </w:rPr>
              <w:t>1.对西安市与本项目有关的发展现状分析。分析详尽全面，具体描述合理得当得5分；分析比较全面，具体描述比较合理得3分；分析不充分，具体描述有欠妥当得1分； 2.针对本项目梳理与了解程度。叙述详尽全面，具体描述合理得当得5分；叙述比较全面，具体描述比较合理得3分；叙述不充分，具体描述有欠妥当得1分； 3.能正确识别本项目重难点及解决对策针对性强。分析详尽全面，解决对策针对性强，具体描述合理得当得5分；分析比较全面，解决对策针对性基本合理，具体描述比较合理得3分；分析不充分，解决对策无针对性，具体描述有欠妥当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1.对项目的服务内容详述、实施原则分析。分析详尽全面，具体描述合理得当得5分；分析比较全面，具体描述比较合理得3分；分析不充分，具体描述有欠妥当得1分； 2.对项目的具体服务方案，包括工作计划、服务方向、具体服务方案、服务目标。服务方案详实、具体、切实可行、科学合理，针对性强得5分；服务方案较细致、基本响应内容切实可行、合理得3分；服务方案模糊、目标不明确得1分； 3.根据供应商服务工作制度，包括服务过程制度、研究成果编制制度、内部审核制度、与采购人沟通机制。服务工作制度全面具体、切实可行、针对性强得5分；服务工作制度较细致、基本符合本次项目服务得3分；服务工作制度不完整、模糊、目标不明确得1分； 4.针对本项目后期实施提供参考依据及可行性分析。内容详实、具体、合规、切实可行、科学合理，针对性强得5分；内容较细致、基本符合服务内容得3分；内容模糊、描述不明确得1分。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1.拟派负责人情况，具有高级职称或博士学位得5分，具有中级职称或硕士学位得2分，其他情况不计分； 2.服务团队配置。人员配备全面，经验丰富，证书齐全，具体岗位职责合理得当得5分；人员比较全面，经验较为丰富，证书基本齐全，具体岗位职责比较合理得3分；人员欠缺，经验不足，证书欠缺，具体岗位职责有欠妥当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1.确保服务进度的保障措施。保障措施全面、合理、科学的得5分；保障措施基本满足采购需求得3分；保障措施不合理、可行性欠缺得1分； 2.确保服务质量的保障措施。保障措施全面、合理、科学的得5分；保障措施基本满足采购需求得3分；保障措施不合理、可行性欠缺得1分； 3.突发事件的应急措施方案。保障措施全面、合理、科学的得5分；保障措施基本满足采购需求得3分；保障措施不合理、可行性欠缺得1分。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1、根据提供的合理、可行的保密措施及保密制度。保密措施及保密制度全面具体、切实可行、针对性强得5分；保密措施及保密制度较细致、基本符合本次项目服务得3分；保密措施及保密制度不完整、模糊、目标不明确得1分； 2、根据提供的安全保密承诺。承诺内容详尽全面，具体内容合理得当得5分；承诺比较全面，具体内容比较合理得3分；承诺不充分，具体内容有欠妥当得1分。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供应商针对本项目具有完整、可行的后期服务承诺，承诺内容包括但不限于服务人员安排、服务响应速度。售后服务方案详实、人员配置全面、切实可行、科学合理，针对性强得5分；售后服务方案较细致、人员配置基本满足服务要求得3分；售后服务方案模糊、人员不足、目标不明确得1分； 2.对采购人提出的修改意见及时有效地执行且不额外收费的承诺。承诺内容详尽全面，具体内容合理得当得5分；承诺比较全面，具体内容比较合理得3分；承诺不充分，具体内容有欠妥当得1分。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供应商具有（2023年1月至今，以合同签订的日期为准）同类项目业绩，每提供1份计2分，满分10分。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满足磋商文件要求且磋商报价最低的供应商的价格为磋商基准价，其价格分为满分。其他供应商的价格分统一按照下列公式计算：磋商报价得分=（磋商基准价/磋商报价）×价格权值×100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