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版本号：ZXF20260427-ZFCG20260601001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富平县城关街道办肖华村全民健身中心项目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ZXF20260427-ZFCG</w:t>
      </w:r>
      <w:r>
        <w:br/>
      </w:r>
      <w:r>
        <w:br/>
      </w:r>
      <w:r>
        <w:br/>
      </w:r>
    </w:p>
    <w:p>
      <w:pPr>
        <w:pStyle w:val="null3"/>
        <w:jc w:val="center"/>
        <w:outlineLvl w:val="2"/>
      </w:pPr>
      <w:r>
        <w:rPr>
          <w:rFonts w:ascii="仿宋_GB2312" w:hAnsi="仿宋_GB2312" w:cs="仿宋_GB2312" w:eastAsia="仿宋_GB2312"/>
          <w:sz w:val="28"/>
          <w:b/>
        </w:rPr>
        <w:t>富平县人民政府城关街道办事处</w:t>
      </w:r>
    </w:p>
    <w:p>
      <w:pPr>
        <w:pStyle w:val="null3"/>
        <w:jc w:val="center"/>
        <w:outlineLvl w:val="2"/>
      </w:pPr>
      <w:r>
        <w:rPr>
          <w:rFonts w:ascii="仿宋_GB2312" w:hAnsi="仿宋_GB2312" w:cs="仿宋_GB2312" w:eastAsia="仿宋_GB2312"/>
          <w:sz w:val="28"/>
          <w:b/>
        </w:rPr>
        <w:t>中轩项目管理有限公司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中轩项目管理有限公司</w:t>
      </w:r>
      <w:r>
        <w:rPr>
          <w:rFonts w:ascii="仿宋_GB2312" w:hAnsi="仿宋_GB2312" w:cs="仿宋_GB2312" w:eastAsia="仿宋_GB2312"/>
        </w:rPr>
        <w:t>（以下简称“代理机构”）受</w:t>
      </w:r>
      <w:r>
        <w:rPr>
          <w:rFonts w:ascii="仿宋_GB2312" w:hAnsi="仿宋_GB2312" w:cs="仿宋_GB2312" w:eastAsia="仿宋_GB2312"/>
        </w:rPr>
        <w:t>富平县人民政府城关街道办事处</w:t>
      </w:r>
      <w:r>
        <w:rPr>
          <w:rFonts w:ascii="仿宋_GB2312" w:hAnsi="仿宋_GB2312" w:cs="仿宋_GB2312" w:eastAsia="仿宋_GB2312"/>
        </w:rPr>
        <w:t>委托，拟对</w:t>
      </w:r>
      <w:r>
        <w:rPr>
          <w:rFonts w:ascii="仿宋_GB2312" w:hAnsi="仿宋_GB2312" w:cs="仿宋_GB2312" w:eastAsia="仿宋_GB2312"/>
        </w:rPr>
        <w:t>富平县城关街道办肖华村全民健身中心项目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ZXF20260427-ZFCG</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富平县城关街道办肖华村全民健身中心项目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富平县城关街道办肖华村全民健身中心项目主要建设内容为：新建钢结构全民健身中心352㎡、室外场地硬化及配套设施等。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采购包1（富平县城关街道办肖华村全民健身中心项目）：属于专门面向中小企业采购。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1、营业执照或其他要求：具有独立承担民事责任能力的法人、其他组织或自然人，提供合法有效年报合格的统一社会信用代码营业执照或事业单位法人证书等国家规定的相关证明，自然人参与的提供其身份证明</w:t>
      </w:r>
    </w:p>
    <w:p>
      <w:pPr>
        <w:pStyle w:val="null3"/>
      </w:pPr>
      <w:r>
        <w:rPr>
          <w:rFonts w:ascii="仿宋_GB2312" w:hAnsi="仿宋_GB2312" w:cs="仿宋_GB2312" w:eastAsia="仿宋_GB2312"/>
        </w:rPr>
        <w:t>2、法定代表人身份证明书或授权委托书：法定代表人参加投标只须提供法定代表人身份证明书（附法定代表人身份证复印件或扫描件）；被授权人参加投标只须提供法定代表人授权委托书（附法定代表人、被授权人身份证复印件或扫描件）</w:t>
      </w:r>
    </w:p>
    <w:p>
      <w:pPr>
        <w:pStyle w:val="null3"/>
      </w:pPr>
      <w:r>
        <w:rPr>
          <w:rFonts w:ascii="仿宋_GB2312" w:hAnsi="仿宋_GB2312" w:cs="仿宋_GB2312" w:eastAsia="仿宋_GB2312"/>
        </w:rPr>
        <w:t>3、资质和专业要求：具备建筑工程施工总承包三级及以上资质</w:t>
      </w:r>
    </w:p>
    <w:p>
      <w:pPr>
        <w:pStyle w:val="null3"/>
      </w:pPr>
      <w:r>
        <w:rPr>
          <w:rFonts w:ascii="仿宋_GB2312" w:hAnsi="仿宋_GB2312" w:cs="仿宋_GB2312" w:eastAsia="仿宋_GB2312"/>
        </w:rPr>
        <w:t>4、安全生产许可证要求：具有建设行政主管部门核发有效的安全生产许可证</w:t>
      </w:r>
    </w:p>
    <w:p>
      <w:pPr>
        <w:pStyle w:val="null3"/>
      </w:pPr>
      <w:r>
        <w:rPr>
          <w:rFonts w:ascii="仿宋_GB2312" w:hAnsi="仿宋_GB2312" w:cs="仿宋_GB2312" w:eastAsia="仿宋_GB2312"/>
        </w:rPr>
        <w:t>5、拟派项目经理资质和专业要求：拟派项目经理须具备建筑工程注册建造师二级及以上资格和有效的安全生产考核证书，须提供项目经理无在建工程的相关证明材料或承诺书</w:t>
      </w:r>
    </w:p>
    <w:p>
      <w:pPr>
        <w:pStyle w:val="null3"/>
      </w:pPr>
      <w:r>
        <w:rPr>
          <w:rFonts w:ascii="仿宋_GB2312" w:hAnsi="仿宋_GB2312" w:cs="仿宋_GB2312" w:eastAsia="仿宋_GB2312"/>
        </w:rPr>
        <w:t>6、财务状况要求：提供开标前近三个月内基本开户银行开具的资信证明或2024年至今任意一年经审计的财务报告（财务报告须符合《财政部关于注册会计师行业统一监管平台上线运行的通知》财办[2022]32号文件要求，成立时间至提交磋商响应文件截止时间不足一年的可提供成立后任意时段的财务报表）</w:t>
      </w:r>
    </w:p>
    <w:p>
      <w:pPr>
        <w:pStyle w:val="null3"/>
      </w:pPr>
      <w:r>
        <w:rPr>
          <w:rFonts w:ascii="仿宋_GB2312" w:hAnsi="仿宋_GB2312" w:cs="仿宋_GB2312" w:eastAsia="仿宋_GB2312"/>
        </w:rPr>
        <w:t>7、缴纳税收的要求：提供依法缴纳税收的良好记录（提供磋商响应文件递交截止时间前六个月内任意一个月份的缴纳凭据复印件或扫描件。依法免税或开标前一年内零申报的供应商应提供相关证明文件）</w:t>
      </w:r>
    </w:p>
    <w:p>
      <w:pPr>
        <w:pStyle w:val="null3"/>
      </w:pPr>
      <w:r>
        <w:rPr>
          <w:rFonts w:ascii="仿宋_GB2312" w:hAnsi="仿宋_GB2312" w:cs="仿宋_GB2312" w:eastAsia="仿宋_GB2312"/>
        </w:rPr>
        <w:t>8、缴纳社会保障资金的要求：提供依法缴纳社会保障资金的良好记录（提供磋商响应文件递交截止时间前六个月内任意一个月份的缴纳凭据复印件或扫描件。依法不需要缴纳社会保障资金的供应商应提供相关证明文件）</w:t>
      </w:r>
    </w:p>
    <w:p>
      <w:pPr>
        <w:pStyle w:val="null3"/>
      </w:pPr>
      <w:r>
        <w:rPr>
          <w:rFonts w:ascii="仿宋_GB2312" w:hAnsi="仿宋_GB2312" w:cs="仿宋_GB2312" w:eastAsia="仿宋_GB2312"/>
        </w:rPr>
        <w:t>9、信誉要求：投标截止日前不得为“信用中国”网站（www.creditchina.gov.cn）中列入失信被执行人、重大税收违法失信主体和政府采购严重违法失信行为记录名单的供应商；不得为“中国政府采购网”（www.ccgp.gov.cn）政府采购严重违法失信行为信息记录名单中被财政部门禁止参加政府采购活动的供应商。（最终以采购代理机构开标现场查询结果为准）</w:t>
      </w:r>
    </w:p>
    <w:p>
      <w:pPr>
        <w:pStyle w:val="null3"/>
      </w:pPr>
      <w:r>
        <w:rPr>
          <w:rFonts w:ascii="仿宋_GB2312" w:hAnsi="仿宋_GB2312" w:cs="仿宋_GB2312" w:eastAsia="仿宋_GB2312"/>
        </w:rPr>
        <w:t>10、无重大违法记录的要求：提供近三年内在经营活动中无重大违法记录的书面声明</w:t>
      </w:r>
    </w:p>
    <w:p>
      <w:pPr>
        <w:pStyle w:val="null3"/>
      </w:pPr>
      <w:r>
        <w:rPr>
          <w:rFonts w:ascii="仿宋_GB2312" w:hAnsi="仿宋_GB2312" w:cs="仿宋_GB2312" w:eastAsia="仿宋_GB2312"/>
        </w:rPr>
        <w:t>11、磋商保证金要求：提供磋商保证金银行转账凭证及基本存款账户信息证明资料或金融机构、担保机构出具的保函复印件或扫描件</w:t>
      </w:r>
    </w:p>
    <w:p>
      <w:pPr>
        <w:pStyle w:val="null3"/>
      </w:pPr>
      <w:r>
        <w:rPr>
          <w:rFonts w:ascii="仿宋_GB2312" w:hAnsi="仿宋_GB2312" w:cs="仿宋_GB2312" w:eastAsia="仿宋_GB2312"/>
        </w:rPr>
        <w:t>12、单位负责人为同一人或者存在直接控股、管理关系的不同供应商，不得参加同一合同项下的政府采购活动的要求：提供单位负责人为同一人或者存在直接控股、管理关系的不同供应商，不得参加同一合同项下的政府采购活动的书面声明</w:t>
      </w:r>
    </w:p>
    <w:p>
      <w:pPr>
        <w:pStyle w:val="null3"/>
      </w:pPr>
      <w:r>
        <w:rPr>
          <w:rFonts w:ascii="仿宋_GB2312" w:hAnsi="仿宋_GB2312" w:cs="仿宋_GB2312" w:eastAsia="仿宋_GB2312"/>
        </w:rPr>
        <w:t>13、具有履行合同所必需的设备和专业技术能力的要求：提供具有履行本合同所必需的设备和专业技术能力的说明及承诺</w:t>
      </w:r>
    </w:p>
    <w:p>
      <w:pPr>
        <w:pStyle w:val="null3"/>
      </w:pPr>
      <w:r>
        <w:rPr>
          <w:rFonts w:ascii="仿宋_GB2312" w:hAnsi="仿宋_GB2312" w:cs="仿宋_GB2312" w:eastAsia="仿宋_GB2312"/>
        </w:rPr>
        <w:t>14、面向中小企业采购政策落实情况：本项目专门面向中小企业采购，供应商须提供《中小企业声明函》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富平县人民政府城关街道办事处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富平县莲湖大街47号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711700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李延飞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13279415815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中轩项目管理有限公司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陕西省西安市莲湖区未央路99号荣民中央国际10层1001室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邓小玉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18220852914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富平县政府采购管理股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杜朋</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0913-8221145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开户名称：中轩项目管理有限公司富平分公司</w:t>
            </w:r>
          </w:p>
          <w:p>
            <w:pPr>
              <w:pStyle w:val="null3"/>
            </w:pPr>
            <w:r>
              <w:rPr>
                <w:rFonts w:ascii="仿宋_GB2312" w:hAnsi="仿宋_GB2312" w:cs="仿宋_GB2312" w:eastAsia="仿宋_GB2312"/>
              </w:rPr>
              <w:t>开户银行：中国银行股份有限公司富平县支行</w:t>
            </w:r>
          </w:p>
          <w:p>
            <w:pPr>
              <w:pStyle w:val="null3"/>
            </w:pPr>
            <w:r>
              <w:rPr>
                <w:rFonts w:ascii="仿宋_GB2312" w:hAnsi="仿宋_GB2312" w:cs="仿宋_GB2312" w:eastAsia="仿宋_GB2312"/>
              </w:rPr>
              <w:t>银行账号：103699646516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代理服务费收费标准：本项目收取代理服务费 代理服务费用收取对象：中标/成交供应商 代理服务费收费标准：招标代理服务费参照国家计委印发《招标代理服务收费管理暂行办法》的通知（计价格[2002]1980号）计算收取，不计入工程造价，按照《国家发展改革委办公厅关于招标代理服务收费有关问题的通知》（发改办价格〔2003〕857号）规定向成交供应商收取。造价咨询服务费按（陕价行发【2014】88号文件）计算收取，不计入工程造价，由成交供应商支付。若本次招标失败（非代理机构原因），招标代理服务费和造价咨询服务费由采购人支付。具体金额详见中标（成交）结果公告，在领取成交通知书时向采购代理机构一次付清（现金或转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富平县人民政府城关街道办事处</w:t>
      </w:r>
      <w:r>
        <w:rPr>
          <w:rFonts w:ascii="仿宋_GB2312" w:hAnsi="仿宋_GB2312" w:cs="仿宋_GB2312" w:eastAsia="仿宋_GB2312"/>
        </w:rPr>
        <w:t>和</w:t>
      </w:r>
      <w:r>
        <w:rPr>
          <w:rFonts w:ascii="仿宋_GB2312" w:hAnsi="仿宋_GB2312" w:cs="仿宋_GB2312" w:eastAsia="仿宋_GB2312"/>
        </w:rPr>
        <w:t>中轩项目管理有限公司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富平县人民政府城关街道办事处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中轩项目管理有限公司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富平县人民政府城关街道办事处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中轩项目管理有限公司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在签订施工合同时另行约定</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中轩项目管理有限公司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中轩项目管理有限公司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中轩项目管理有限公司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联系人：邓小玉</w:t>
      </w:r>
    </w:p>
    <w:p>
      <w:pPr>
        <w:pStyle w:val="null3"/>
      </w:pPr>
      <w:r>
        <w:rPr>
          <w:rFonts w:ascii="仿宋_GB2312" w:hAnsi="仿宋_GB2312" w:cs="仿宋_GB2312" w:eastAsia="仿宋_GB2312"/>
        </w:rPr>
        <w:t>联系电话：18220852914</w:t>
      </w:r>
    </w:p>
    <w:p>
      <w:pPr>
        <w:pStyle w:val="null3"/>
      </w:pPr>
      <w:r>
        <w:rPr>
          <w:rFonts w:ascii="仿宋_GB2312" w:hAnsi="仿宋_GB2312" w:cs="仿宋_GB2312" w:eastAsia="仿宋_GB2312"/>
        </w:rPr>
        <w:t>地址：陕西省西安市莲湖区未央路99号荣民中央国际10层1001室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2,000,000.00</w:t>
      </w:r>
    </w:p>
    <w:p>
      <w:pPr>
        <w:pStyle w:val="null3"/>
      </w:pPr>
      <w:r>
        <w:rPr>
          <w:rFonts w:ascii="仿宋_GB2312" w:hAnsi="仿宋_GB2312" w:cs="仿宋_GB2312" w:eastAsia="仿宋_GB2312"/>
        </w:rPr>
        <w:t>采购包最高限价（元）: 1,998,540.57</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富平县城关街道办肖华村全民健身中心项目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2,000,000.00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标的名称：富平县城关街道办肖华村全民健身中心项目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40"/>
              </w:rPr>
              <w:t>富平县城关街道办肖华村全民健身中心项目</w:t>
            </w:r>
          </w:p>
          <w:p>
            <w:pPr>
              <w:pStyle w:val="null3"/>
              <w:jc w:val="center"/>
            </w:pPr>
            <w:r>
              <w:rPr>
                <w:rFonts w:ascii="仿宋_GB2312" w:hAnsi="仿宋_GB2312" w:cs="仿宋_GB2312" w:eastAsia="仿宋_GB2312"/>
                <w:sz w:val="40"/>
              </w:rPr>
              <w:t>清单</w:t>
            </w:r>
            <w:r>
              <w:rPr>
                <w:rFonts w:ascii="仿宋_GB2312" w:hAnsi="仿宋_GB2312" w:cs="仿宋_GB2312" w:eastAsia="仿宋_GB2312"/>
                <w:sz w:val="40"/>
              </w:rPr>
              <w:t>编制说明</w:t>
            </w:r>
          </w:p>
          <w:p>
            <w:pPr>
              <w:pStyle w:val="null3"/>
              <w:spacing w:after="120"/>
              <w:jc w:val="both"/>
            </w:pPr>
            <w:r>
              <w:rPr>
                <w:rFonts w:ascii="仿宋_GB2312" w:hAnsi="仿宋_GB2312" w:cs="仿宋_GB2312" w:eastAsia="仿宋_GB2312"/>
                <w:sz w:val="32"/>
              </w:rPr>
              <w:t>一、工程概况</w:t>
            </w:r>
          </w:p>
          <w:p>
            <w:pPr>
              <w:pStyle w:val="null3"/>
              <w:jc w:val="both"/>
            </w:pPr>
            <w:r>
              <w:rPr>
                <w:rFonts w:ascii="仿宋_GB2312" w:hAnsi="仿宋_GB2312" w:cs="仿宋_GB2312" w:eastAsia="仿宋_GB2312"/>
                <w:sz w:val="32"/>
              </w:rPr>
              <w:t>（一）、工程名称：富平县城关街道办肖华村全民健身中心项目</w:t>
            </w:r>
          </w:p>
          <w:p>
            <w:pPr>
              <w:pStyle w:val="null3"/>
              <w:jc w:val="both"/>
            </w:pPr>
            <w:r>
              <w:rPr>
                <w:rFonts w:ascii="仿宋_GB2312" w:hAnsi="仿宋_GB2312" w:cs="仿宋_GB2312" w:eastAsia="仿宋_GB2312"/>
                <w:sz w:val="32"/>
              </w:rPr>
              <w:t>（二）、</w:t>
            </w:r>
            <w:r>
              <w:rPr>
                <w:rFonts w:ascii="仿宋_GB2312" w:hAnsi="仿宋_GB2312" w:cs="仿宋_GB2312" w:eastAsia="仿宋_GB2312"/>
                <w:sz w:val="32"/>
              </w:rPr>
              <w:t>建设地点</w:t>
            </w:r>
            <w:r>
              <w:rPr>
                <w:rFonts w:ascii="仿宋_GB2312" w:hAnsi="仿宋_GB2312" w:cs="仿宋_GB2312" w:eastAsia="仿宋_GB2312"/>
                <w:sz w:val="32"/>
              </w:rPr>
              <w:t>：</w:t>
            </w:r>
            <w:r>
              <w:rPr>
                <w:rFonts w:ascii="仿宋_GB2312" w:hAnsi="仿宋_GB2312" w:cs="仿宋_GB2312" w:eastAsia="仿宋_GB2312"/>
                <w:sz w:val="32"/>
              </w:rPr>
              <w:t>富平县城关街道办肖华村</w:t>
            </w:r>
          </w:p>
          <w:p>
            <w:pPr>
              <w:pStyle w:val="null3"/>
              <w:jc w:val="both"/>
            </w:pPr>
            <w:r>
              <w:rPr>
                <w:rFonts w:ascii="仿宋_GB2312" w:hAnsi="仿宋_GB2312" w:cs="仿宋_GB2312" w:eastAsia="仿宋_GB2312"/>
                <w:sz w:val="32"/>
              </w:rPr>
              <w:t>（三）、建设内容为新建钢结构全民健身中心</w:t>
            </w:r>
            <w:r>
              <w:rPr>
                <w:rFonts w:ascii="仿宋_GB2312" w:hAnsi="仿宋_GB2312" w:cs="仿宋_GB2312" w:eastAsia="仿宋_GB2312"/>
                <w:sz w:val="32"/>
              </w:rPr>
              <w:t>352㎡、室外场地硬化及配套设施等。</w:t>
            </w:r>
          </w:p>
          <w:p>
            <w:pPr>
              <w:pStyle w:val="null3"/>
              <w:jc w:val="both"/>
            </w:pPr>
            <w:r>
              <w:rPr>
                <w:rFonts w:ascii="仿宋_GB2312" w:hAnsi="仿宋_GB2312" w:cs="仿宋_GB2312" w:eastAsia="仿宋_GB2312"/>
                <w:sz w:val="32"/>
              </w:rPr>
              <w:t>二、编制依据</w:t>
            </w:r>
          </w:p>
          <w:p>
            <w:pPr>
              <w:pStyle w:val="null3"/>
              <w:ind w:firstLine="640"/>
              <w:jc w:val="both"/>
            </w:pPr>
            <w:r>
              <w:rPr>
                <w:rFonts w:ascii="仿宋_GB2312" w:hAnsi="仿宋_GB2312" w:cs="仿宋_GB2312" w:eastAsia="仿宋_GB2312"/>
                <w:sz w:val="32"/>
              </w:rPr>
              <w:t>1.《</w:t>
            </w:r>
            <w:r>
              <w:rPr>
                <w:rFonts w:ascii="仿宋_GB2312" w:hAnsi="仿宋_GB2312" w:cs="仿宋_GB2312" w:eastAsia="仿宋_GB2312"/>
                <w:sz w:val="32"/>
              </w:rPr>
              <w:t>富平县城关街道办肖华村全民健身中心项目</w:t>
            </w:r>
            <w:r>
              <w:rPr>
                <w:rFonts w:ascii="仿宋_GB2312" w:hAnsi="仿宋_GB2312" w:cs="仿宋_GB2312" w:eastAsia="仿宋_GB2312"/>
                <w:sz w:val="32"/>
              </w:rPr>
              <w:t>》</w:t>
            </w:r>
            <w:r>
              <w:rPr>
                <w:rFonts w:ascii="仿宋_GB2312" w:hAnsi="仿宋_GB2312" w:cs="仿宋_GB2312" w:eastAsia="仿宋_GB2312"/>
                <w:sz w:val="32"/>
              </w:rPr>
              <w:t>设计图及</w:t>
            </w:r>
            <w:r>
              <w:rPr>
                <w:rFonts w:ascii="仿宋_GB2312" w:hAnsi="仿宋_GB2312" w:cs="仿宋_GB2312" w:eastAsia="仿宋_GB2312"/>
                <w:sz w:val="32"/>
              </w:rPr>
              <w:t>相关资料</w:t>
            </w:r>
            <w:r>
              <w:rPr>
                <w:rFonts w:ascii="仿宋_GB2312" w:hAnsi="仿宋_GB2312" w:cs="仿宋_GB2312" w:eastAsia="仿宋_GB2312"/>
                <w:sz w:val="32"/>
              </w:rPr>
              <w:t>；</w:t>
            </w:r>
          </w:p>
          <w:p>
            <w:pPr>
              <w:pStyle w:val="null3"/>
              <w:ind w:firstLine="640"/>
              <w:jc w:val="both"/>
            </w:pPr>
            <w:r>
              <w:rPr>
                <w:rFonts w:ascii="仿宋_GB2312" w:hAnsi="仿宋_GB2312" w:cs="仿宋_GB2312" w:eastAsia="仿宋_GB2312"/>
                <w:sz w:val="32"/>
              </w:rPr>
              <w:t>2.《陕西省建设工程工程量清单计价标准》（2025）及《陕西省建设工程费用规则》（2025）；</w:t>
            </w:r>
          </w:p>
          <w:p>
            <w:pPr>
              <w:pStyle w:val="null3"/>
              <w:ind w:firstLine="640"/>
              <w:jc w:val="both"/>
            </w:pPr>
            <w:r>
              <w:rPr>
                <w:rFonts w:ascii="仿宋_GB2312" w:hAnsi="仿宋_GB2312" w:cs="仿宋_GB2312" w:eastAsia="仿宋_GB2312"/>
                <w:sz w:val="32"/>
              </w:rPr>
              <w:t>3.《陕西省房屋建筑与装饰工程基价表》（2025）、《陕西省通用安装工程基价表》（2025）、</w:t>
            </w:r>
            <w:r>
              <w:rPr>
                <w:rFonts w:ascii="仿宋_GB2312" w:hAnsi="仿宋_GB2312" w:cs="仿宋_GB2312" w:eastAsia="仿宋_GB2312"/>
                <w:sz w:val="32"/>
              </w:rPr>
              <w:t>《陕西省市政工程工程量</w:t>
            </w:r>
            <w:r>
              <w:rPr>
                <w:rFonts w:ascii="仿宋_GB2312" w:hAnsi="仿宋_GB2312" w:cs="仿宋_GB2312" w:eastAsia="仿宋_GB2312"/>
                <w:sz w:val="32"/>
              </w:rPr>
              <w:t>基价表</w:t>
            </w:r>
            <w:r>
              <w:rPr>
                <w:rFonts w:ascii="仿宋_GB2312" w:hAnsi="仿宋_GB2312" w:cs="仿宋_GB2312" w:eastAsia="仿宋_GB2312"/>
                <w:sz w:val="32"/>
              </w:rPr>
              <w:t>》（</w:t>
            </w:r>
            <w:r>
              <w:rPr>
                <w:rFonts w:ascii="仿宋_GB2312" w:hAnsi="仿宋_GB2312" w:cs="仿宋_GB2312" w:eastAsia="仿宋_GB2312"/>
                <w:sz w:val="32"/>
              </w:rPr>
              <w:t>2025）</w:t>
            </w:r>
            <w:r>
              <w:rPr>
                <w:rFonts w:ascii="仿宋_GB2312" w:hAnsi="仿宋_GB2312" w:cs="仿宋_GB2312" w:eastAsia="仿宋_GB2312"/>
                <w:sz w:val="32"/>
              </w:rPr>
              <w:t>、《陕西省园林绿化工程基价表》</w:t>
            </w:r>
            <w:r>
              <w:rPr>
                <w:rFonts w:ascii="仿宋_GB2312" w:hAnsi="仿宋_GB2312" w:cs="仿宋_GB2312" w:eastAsia="仿宋_GB2312"/>
                <w:sz w:val="32"/>
              </w:rPr>
              <w:t>(2025)；</w:t>
            </w:r>
          </w:p>
          <w:p>
            <w:pPr>
              <w:pStyle w:val="null3"/>
              <w:ind w:firstLine="640"/>
              <w:jc w:val="both"/>
            </w:pPr>
            <w:r>
              <w:rPr>
                <w:rFonts w:ascii="仿宋_GB2312" w:hAnsi="仿宋_GB2312" w:cs="仿宋_GB2312" w:eastAsia="仿宋_GB2312"/>
                <w:sz w:val="32"/>
              </w:rPr>
              <w:t>4</w:t>
            </w:r>
            <w:r>
              <w:rPr>
                <w:rFonts w:ascii="仿宋_GB2312" w:hAnsi="仿宋_GB2312" w:cs="仿宋_GB2312" w:eastAsia="仿宋_GB2312"/>
                <w:sz w:val="32"/>
              </w:rPr>
              <w:t>.《陕西省</w:t>
            </w:r>
            <w:r>
              <w:rPr>
                <w:rFonts w:ascii="仿宋_GB2312" w:hAnsi="仿宋_GB2312" w:cs="仿宋_GB2312" w:eastAsia="仿宋_GB2312"/>
                <w:sz w:val="32"/>
              </w:rPr>
              <w:t>房屋建筑与装饰</w:t>
            </w:r>
            <w:r>
              <w:rPr>
                <w:rFonts w:ascii="仿宋_GB2312" w:hAnsi="仿宋_GB2312" w:cs="仿宋_GB2312" w:eastAsia="仿宋_GB2312"/>
                <w:sz w:val="32"/>
              </w:rPr>
              <w:t>工程消耗量定额》（</w:t>
            </w:r>
            <w:r>
              <w:rPr>
                <w:rFonts w:ascii="仿宋_GB2312" w:hAnsi="仿宋_GB2312" w:cs="仿宋_GB2312" w:eastAsia="仿宋_GB2312"/>
                <w:sz w:val="32"/>
              </w:rPr>
              <w:t>2025）</w:t>
            </w:r>
            <w:r>
              <w:rPr>
                <w:rFonts w:ascii="仿宋_GB2312" w:hAnsi="仿宋_GB2312" w:cs="仿宋_GB2312" w:eastAsia="仿宋_GB2312"/>
                <w:sz w:val="32"/>
              </w:rPr>
              <w:t>、《陕西省通用安装工程消耗量定额》（</w:t>
            </w:r>
            <w:r>
              <w:rPr>
                <w:rFonts w:ascii="仿宋_GB2312" w:hAnsi="仿宋_GB2312" w:cs="仿宋_GB2312" w:eastAsia="仿宋_GB2312"/>
                <w:sz w:val="32"/>
              </w:rPr>
              <w:t>2025）、</w:t>
            </w:r>
            <w:r>
              <w:rPr>
                <w:rFonts w:ascii="仿宋_GB2312" w:hAnsi="仿宋_GB2312" w:cs="仿宋_GB2312" w:eastAsia="仿宋_GB2312"/>
                <w:sz w:val="32"/>
              </w:rPr>
              <w:t>《陕西省市政工程消耗量定额》（</w:t>
            </w:r>
            <w:r>
              <w:rPr>
                <w:rFonts w:ascii="仿宋_GB2312" w:hAnsi="仿宋_GB2312" w:cs="仿宋_GB2312" w:eastAsia="仿宋_GB2312"/>
                <w:sz w:val="32"/>
              </w:rPr>
              <w:t>2025）</w:t>
            </w:r>
            <w:r>
              <w:rPr>
                <w:rFonts w:ascii="仿宋_GB2312" w:hAnsi="仿宋_GB2312" w:cs="仿宋_GB2312" w:eastAsia="仿宋_GB2312"/>
                <w:sz w:val="32"/>
              </w:rPr>
              <w:t>、《陕西省园林绿化工程消耗量定额》</w:t>
            </w:r>
            <w:r>
              <w:rPr>
                <w:rFonts w:ascii="仿宋_GB2312" w:hAnsi="仿宋_GB2312" w:cs="仿宋_GB2312" w:eastAsia="仿宋_GB2312"/>
                <w:sz w:val="32"/>
              </w:rPr>
              <w:t>(2025)；</w:t>
            </w:r>
          </w:p>
          <w:p>
            <w:pPr>
              <w:pStyle w:val="null3"/>
              <w:ind w:firstLine="640"/>
              <w:jc w:val="both"/>
            </w:pPr>
            <w:r>
              <w:rPr>
                <w:rFonts w:ascii="仿宋_GB2312" w:hAnsi="仿宋_GB2312" w:cs="仿宋_GB2312" w:eastAsia="仿宋_GB2312"/>
                <w:sz w:val="32"/>
              </w:rPr>
              <w:t>5</w:t>
            </w:r>
            <w:r>
              <w:rPr>
                <w:rFonts w:ascii="仿宋_GB2312" w:hAnsi="仿宋_GB2312" w:cs="仿宋_GB2312" w:eastAsia="仿宋_GB2312"/>
                <w:sz w:val="32"/>
              </w:rPr>
              <w:t>.《陕西省建设工程施工机械台班费用定额（2025）》、《陕西省建设工程施工仪器仪表台班费用定额（2025）》</w:t>
            </w:r>
            <w:r>
              <w:rPr>
                <w:rFonts w:ascii="仿宋_GB2312" w:hAnsi="仿宋_GB2312" w:cs="仿宋_GB2312" w:eastAsia="仿宋_GB2312"/>
                <w:sz w:val="32"/>
              </w:rPr>
              <w:t>；</w:t>
            </w:r>
          </w:p>
          <w:p>
            <w:pPr>
              <w:pStyle w:val="null3"/>
              <w:ind w:firstLine="640"/>
              <w:jc w:val="both"/>
            </w:pPr>
            <w:r>
              <w:rPr>
                <w:rFonts w:ascii="仿宋_GB2312" w:hAnsi="仿宋_GB2312" w:cs="仿宋_GB2312" w:eastAsia="仿宋_GB2312"/>
                <w:sz w:val="32"/>
              </w:rPr>
              <w:t>6</w:t>
            </w:r>
            <w:r>
              <w:rPr>
                <w:rFonts w:ascii="仿宋_GB2312" w:hAnsi="仿宋_GB2312" w:cs="仿宋_GB2312" w:eastAsia="仿宋_GB2312"/>
                <w:sz w:val="32"/>
              </w:rPr>
              <w:t>.与建设工程项目有关的标准、规范、图集、技术资料；</w:t>
            </w:r>
          </w:p>
          <w:p>
            <w:pPr>
              <w:pStyle w:val="null3"/>
              <w:ind w:firstLine="640"/>
              <w:jc w:val="both"/>
            </w:pPr>
            <w:r>
              <w:rPr>
                <w:rFonts w:ascii="仿宋_GB2312" w:hAnsi="仿宋_GB2312" w:cs="仿宋_GB2312" w:eastAsia="仿宋_GB2312"/>
                <w:sz w:val="32"/>
              </w:rPr>
              <w:t>7</w:t>
            </w:r>
            <w:r>
              <w:rPr>
                <w:rFonts w:ascii="仿宋_GB2312" w:hAnsi="仿宋_GB2312" w:cs="仿宋_GB2312" w:eastAsia="仿宋_GB2312"/>
                <w:sz w:val="32"/>
              </w:rPr>
              <w:t>.</w:t>
            </w:r>
            <w:r>
              <w:rPr>
                <w:rFonts w:ascii="仿宋_GB2312" w:hAnsi="仿宋_GB2312" w:cs="仿宋_GB2312" w:eastAsia="仿宋_GB2312"/>
                <w:sz w:val="32"/>
              </w:rPr>
              <w:t>结合</w:t>
            </w:r>
            <w:r>
              <w:rPr>
                <w:rFonts w:ascii="仿宋_GB2312" w:hAnsi="仿宋_GB2312" w:cs="仿宋_GB2312" w:eastAsia="仿宋_GB2312"/>
                <w:sz w:val="32"/>
              </w:rPr>
              <w:t>施工现场情况、工程特点</w:t>
            </w:r>
            <w:r>
              <w:rPr>
                <w:rFonts w:ascii="仿宋_GB2312" w:hAnsi="仿宋_GB2312" w:cs="仿宋_GB2312" w:eastAsia="仿宋_GB2312"/>
                <w:sz w:val="32"/>
              </w:rPr>
              <w:t>参照常规的</w:t>
            </w:r>
            <w:r>
              <w:rPr>
                <w:rFonts w:ascii="仿宋_GB2312" w:hAnsi="仿宋_GB2312" w:cs="仿宋_GB2312" w:eastAsia="仿宋_GB2312"/>
                <w:sz w:val="32"/>
              </w:rPr>
              <w:t>施工方案；</w:t>
            </w:r>
          </w:p>
          <w:p>
            <w:pPr>
              <w:pStyle w:val="null3"/>
              <w:ind w:firstLine="640"/>
              <w:jc w:val="both"/>
            </w:pPr>
            <w:r>
              <w:rPr>
                <w:rFonts w:ascii="仿宋_GB2312" w:hAnsi="仿宋_GB2312" w:cs="仿宋_GB2312" w:eastAsia="仿宋_GB2312"/>
                <w:sz w:val="32"/>
              </w:rPr>
              <w:t>8</w:t>
            </w:r>
            <w:r>
              <w:rPr>
                <w:rFonts w:ascii="仿宋_GB2312" w:hAnsi="仿宋_GB2312" w:cs="仿宋_GB2312" w:eastAsia="仿宋_GB2312"/>
                <w:sz w:val="32"/>
              </w:rPr>
              <w:t>.其他相关资料</w:t>
            </w:r>
            <w:r>
              <w:rPr>
                <w:rFonts w:ascii="仿宋_GB2312" w:hAnsi="仿宋_GB2312" w:cs="仿宋_GB2312" w:eastAsia="仿宋_GB2312"/>
                <w:sz w:val="32"/>
              </w:rPr>
              <w:t>。</w:t>
            </w:r>
          </w:p>
          <w:p>
            <w:pPr>
              <w:pStyle w:val="null3"/>
              <w:jc w:val="both"/>
            </w:pPr>
            <w:r>
              <w:rPr>
                <w:rFonts w:ascii="仿宋_GB2312" w:hAnsi="仿宋_GB2312" w:cs="仿宋_GB2312" w:eastAsia="仿宋_GB2312"/>
                <w:sz w:val="32"/>
              </w:rPr>
              <w:t>三</w:t>
            </w:r>
            <w:r>
              <w:rPr>
                <w:rFonts w:ascii="仿宋_GB2312" w:hAnsi="仿宋_GB2312" w:cs="仿宋_GB2312" w:eastAsia="仿宋_GB2312"/>
                <w:sz w:val="32"/>
              </w:rPr>
              <w:t>、需要说明的内容</w:t>
            </w:r>
          </w:p>
          <w:p>
            <w:pPr>
              <w:pStyle w:val="null3"/>
              <w:ind w:firstLine="640"/>
              <w:jc w:val="both"/>
            </w:pPr>
            <w:r>
              <w:rPr>
                <w:rFonts w:ascii="仿宋_GB2312" w:hAnsi="仿宋_GB2312" w:cs="仿宋_GB2312" w:eastAsia="仿宋_GB2312"/>
                <w:sz w:val="32"/>
              </w:rPr>
              <w:t>1.</w:t>
            </w:r>
            <w:r>
              <w:rPr>
                <w:rFonts w:ascii="仿宋_GB2312" w:hAnsi="仿宋_GB2312" w:cs="仿宋_GB2312" w:eastAsia="仿宋_GB2312"/>
                <w:sz w:val="32"/>
              </w:rPr>
              <w:t>本工程工程量清单仅描述主要特征，</w:t>
            </w:r>
            <w:r>
              <w:rPr>
                <w:rFonts w:ascii="仿宋_GB2312" w:hAnsi="仿宋_GB2312" w:cs="仿宋_GB2312" w:eastAsia="仿宋_GB2312"/>
                <w:sz w:val="32"/>
              </w:rPr>
              <w:t>清单描述不完整、但</w:t>
            </w:r>
            <w:r>
              <w:rPr>
                <w:rFonts w:ascii="仿宋_GB2312" w:hAnsi="仿宋_GB2312" w:cs="仿宋_GB2312" w:eastAsia="仿宋_GB2312"/>
                <w:sz w:val="32"/>
              </w:rPr>
              <w:t>图纸明确标识的以图纸为准进行报价，描述不完整的视为已包含在总价中。</w:t>
            </w:r>
          </w:p>
          <w:p>
            <w:pPr>
              <w:pStyle w:val="null3"/>
              <w:spacing w:after="120"/>
              <w:ind w:firstLine="640"/>
              <w:jc w:val="both"/>
            </w:pPr>
            <w:r>
              <w:rPr>
                <w:rFonts w:ascii="仿宋_GB2312" w:hAnsi="仿宋_GB2312" w:cs="仿宋_GB2312" w:eastAsia="仿宋_GB2312"/>
                <w:sz w:val="32"/>
              </w:rPr>
              <w:t>2.混凝土暂按预拌混凝土考虑。</w:t>
            </w:r>
          </w:p>
          <w:p>
            <w:pPr>
              <w:pStyle w:val="null3"/>
              <w:jc w:val="both"/>
            </w:pPr>
            <w:r>
              <w:rPr>
                <w:rFonts w:ascii="仿宋_GB2312" w:hAnsi="仿宋_GB2312" w:cs="仿宋_GB2312" w:eastAsia="仿宋_GB2312"/>
                <w:sz w:val="32"/>
              </w:rPr>
              <w:t xml:space="preserve">    </w:t>
            </w:r>
            <w:r>
              <w:rPr>
                <w:rFonts w:ascii="仿宋_GB2312" w:hAnsi="仿宋_GB2312" w:cs="仿宋_GB2312" w:eastAsia="仿宋_GB2312"/>
                <w:sz w:val="32"/>
              </w:rPr>
              <w:t>3.现场内原有土堆需外运，暂定工程量3200m³，最终工程量以现场实测及签证确认数据为准。</w:t>
            </w:r>
          </w:p>
          <w:p>
            <w:pPr>
              <w:pStyle w:val="null3"/>
              <w:jc w:val="both"/>
            </w:pPr>
            <w:r>
              <w:rPr>
                <w:rFonts w:ascii="仿宋_GB2312" w:hAnsi="仿宋_GB2312" w:cs="仿宋_GB2312" w:eastAsia="仿宋_GB2312"/>
                <w:sz w:val="32"/>
              </w:rPr>
              <w:t>四</w:t>
            </w:r>
            <w:r>
              <w:rPr>
                <w:rFonts w:ascii="仿宋_GB2312" w:hAnsi="仿宋_GB2312" w:cs="仿宋_GB2312" w:eastAsia="仿宋_GB2312"/>
                <w:sz w:val="32"/>
              </w:rPr>
              <w:t>、其他说明</w:t>
            </w:r>
          </w:p>
          <w:p>
            <w:pPr>
              <w:pStyle w:val="null3"/>
              <w:ind w:firstLine="640"/>
              <w:jc w:val="both"/>
            </w:pPr>
            <w:r>
              <w:rPr>
                <w:rFonts w:ascii="仿宋_GB2312" w:hAnsi="仿宋_GB2312" w:cs="仿宋_GB2312" w:eastAsia="仿宋_GB2312"/>
                <w:sz w:val="32"/>
              </w:rPr>
              <w:t>1.</w:t>
            </w:r>
            <w:r>
              <w:rPr>
                <w:rFonts w:ascii="仿宋_GB2312" w:hAnsi="仿宋_GB2312" w:cs="仿宋_GB2312" w:eastAsia="仿宋_GB2312"/>
                <w:sz w:val="32"/>
              </w:rPr>
              <w:t>采用广联达计价软件版本</w:t>
            </w:r>
            <w:r>
              <w:rPr>
                <w:rFonts w:ascii="仿宋_GB2312" w:hAnsi="仿宋_GB2312" w:cs="仿宋_GB2312" w:eastAsia="仿宋_GB2312"/>
                <w:sz w:val="32"/>
              </w:rPr>
              <w:t>GCCP7.0(7.5000.23.2)</w:t>
            </w:r>
            <w:r>
              <w:rPr>
                <w:rFonts w:ascii="仿宋_GB2312" w:hAnsi="仿宋_GB2312" w:cs="仿宋_GB2312" w:eastAsia="仿宋_GB2312"/>
                <w:sz w:val="32"/>
              </w:rPr>
              <w:t>。</w:t>
            </w:r>
          </w:p>
          <w:p>
            <w:pPr>
              <w:pStyle w:val="null3"/>
              <w:ind w:firstLine="640"/>
              <w:jc w:val="both"/>
            </w:pPr>
            <w:r>
              <w:rPr>
                <w:rFonts w:ascii="仿宋_GB2312" w:hAnsi="仿宋_GB2312" w:cs="仿宋_GB2312" w:eastAsia="仿宋_GB2312"/>
                <w:sz w:val="32"/>
              </w:rPr>
              <w:t>2.具体详见工程量清单</w:t>
            </w:r>
          </w:p>
          <w:p>
            <w:pPr>
              <w:pStyle w:val="null3"/>
              <w:ind w:firstLine="640"/>
              <w:jc w:val="both"/>
            </w:pPr>
          </w:p>
        </w:tc>
      </w:tr>
    </w:tbl>
    <w:p>
      <w:pPr>
        <w:pStyle w:val="null3"/>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符合国家、行业相关标准及要求，质量达到合格。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1、计划工期：60日历天(计划开、竣工日期以施工合同签订时间为准)；2、付款方式： 合同签订后 ，支付合同价款的 30.00%； 竣工验收合格后 ，支付至合同价款的 70.00%； 待工程决算审计报告双方签字盖章认可后 ，支付至合同价款的 97.00%； 剩余3%缺陷责任期满后付清。</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投标时供应商无需提供纸质版响应文件。成交供应商在领取成交通知书前将纸质版响应文件打印胶装3份、电子版(U盘)文件3份提交至采购代理机构处，以便采购人进行留存备案等工作，成交供应商应保持响应文件纸质版内容与电子版内容完全一致，否则将承担一切法律责任。纸质版响应文件一律采用书籍(胶装)方式装订且单面或双面打印。2、落实政府采购政策需满足的资格要求：（1）《节能产品政府采购实施意见》（财库〔2004〕185号）；（2）《国务院办公厅关于建立政府强制采购节能产品制度的通知》（国办发〔2007〕51号）；（3）《财政部司法部关于政府采购支持监狱企业发展有关问题的通知》（财库〔2014〕68号）；（4）三部门联合发布《关于促进残疾人就业政府采购政策的通知》（财库〔2017〕141号）；（5）《财政部发展改革委生态环境部市场监管总局关于调整优化节能产品、环境标志产品政府采购执行机制的通知》（财库〔2019〕9号）；（6）陕西省财政厅关于印发《陕西省中小企业政府采购信用融资办法》 （陕财办采〔2018〕23号）；（7）《陕西省财政厅关于加快推进我省中小企业政府采购信用融资工作的通知》（陕财办采〔2020〕15号）；（8）《政府采购促进中小企业发展管理办法》（财库〔2020〕46号）；（9）《关于进一步加大政府采购支持中小企业力度的通知》（财库〔2022〕19号）；（10）《财政部 农业农村部 国家乡村振兴局关于运用政府采购政策支持乡村产业振兴的通知》（财库〔2021〕19号）；（11）陕西省财政厅《关于进一步加强政府绿色采购有关问题的通知》（陕财办〔2021〕29号）；（12）《关于促进政府采购公平竞争优化营商环境的通知》（财库〔2019〕38号）；（13）《陕西省财政厅关于进一步落实政府采购支持中小企业相关政策的通知》（陕财办采〔2023〕3号）；（14）《陕西省财政厅关于进一步优化政府采购营商环境有关事项的通知》（陕财办采〔2023〕4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供应商资格要求.docx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开标前近三个月内基本开户银行开具的资信证明或2024年至今任意一年经审计的财务报告（财务报告须符合《财政部关于注册会计师行业统一监管平台上线运行的通知》财办[2022]32号文件要求，成立时间至提交磋商响应文件截止时间不足一年的可提供成立后任意时段的财务报表）。</w:t>
            </w:r>
          </w:p>
        </w:tc>
        <w:tc>
          <w:tcPr>
            <w:tcW w:type="dxa" w:w="1661"/>
          </w:tcPr>
          <w:p>
            <w:pPr>
              <w:pStyle w:val="null3"/>
            </w:pPr>
            <w:r>
              <w:rPr>
                <w:rFonts w:ascii="仿宋_GB2312" w:hAnsi="仿宋_GB2312" w:cs="仿宋_GB2312" w:eastAsia="仿宋_GB2312"/>
              </w:rPr>
              <w:t>供应商资格要求.docx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供应商资格要求.docx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营业执照或其他要求</w:t>
            </w:r>
          </w:p>
        </w:tc>
        <w:tc>
          <w:tcPr>
            <w:tcW w:type="dxa" w:w="3322"/>
          </w:tcPr>
          <w:p>
            <w:pPr>
              <w:pStyle w:val="null3"/>
            </w:pPr>
            <w:r>
              <w:rPr>
                <w:rFonts w:ascii="仿宋_GB2312" w:hAnsi="仿宋_GB2312" w:cs="仿宋_GB2312" w:eastAsia="仿宋_GB2312"/>
              </w:rPr>
              <w:t>具有独立承担民事责任能力的法人、其他组织或自然人，提供合法有效年报合格的统一社会信用代码营业执照或事业单位法人证书等国家规定的相关证明，自然人参与的提供其身份证明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法定代表人身份证明书或授权委托书</w:t>
            </w:r>
          </w:p>
        </w:tc>
        <w:tc>
          <w:tcPr>
            <w:tcW w:type="dxa" w:w="3322"/>
          </w:tcPr>
          <w:p>
            <w:pPr>
              <w:pStyle w:val="null3"/>
            </w:pPr>
            <w:r>
              <w:rPr>
                <w:rFonts w:ascii="仿宋_GB2312" w:hAnsi="仿宋_GB2312" w:cs="仿宋_GB2312" w:eastAsia="仿宋_GB2312"/>
              </w:rPr>
              <w:t>法定代表人参加投标只须提供法定代表人身份证明书（附法定代表人身份证复印件或扫描件）；被授权人参加投标只须提供法定代表人授权委托书（附法定代表人、被授权人身份证复印件或扫描件）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资质和专业要求</w:t>
            </w:r>
          </w:p>
        </w:tc>
        <w:tc>
          <w:tcPr>
            <w:tcW w:type="dxa" w:w="3322"/>
          </w:tcPr>
          <w:p>
            <w:pPr>
              <w:pStyle w:val="null3"/>
            </w:pPr>
            <w:r>
              <w:rPr>
                <w:rFonts w:ascii="仿宋_GB2312" w:hAnsi="仿宋_GB2312" w:cs="仿宋_GB2312" w:eastAsia="仿宋_GB2312"/>
              </w:rPr>
              <w:t>具备建筑工程施工总承包三级及以上资质</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安全生产许可证要求</w:t>
            </w:r>
          </w:p>
        </w:tc>
        <w:tc>
          <w:tcPr>
            <w:tcW w:type="dxa" w:w="3322"/>
          </w:tcPr>
          <w:p>
            <w:pPr>
              <w:pStyle w:val="null3"/>
            </w:pPr>
            <w:r>
              <w:rPr>
                <w:rFonts w:ascii="仿宋_GB2312" w:hAnsi="仿宋_GB2312" w:cs="仿宋_GB2312" w:eastAsia="仿宋_GB2312"/>
              </w:rPr>
              <w:t>具有建设行政主管部门核发有效的安全生产许可证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拟派项目经理资质和专业要求</w:t>
            </w:r>
          </w:p>
        </w:tc>
        <w:tc>
          <w:tcPr>
            <w:tcW w:type="dxa" w:w="3322"/>
          </w:tcPr>
          <w:p>
            <w:pPr>
              <w:pStyle w:val="null3"/>
            </w:pPr>
            <w:r>
              <w:rPr>
                <w:rFonts w:ascii="仿宋_GB2312" w:hAnsi="仿宋_GB2312" w:cs="仿宋_GB2312" w:eastAsia="仿宋_GB2312"/>
              </w:rPr>
              <w:t>拟派项目经理须具备建筑工程注册建造师二级及以上资格和有效的安全生产考核证书，须提供项目经理无在建工程的相关证明材料或承诺书</w:t>
            </w:r>
          </w:p>
        </w:tc>
        <w:tc>
          <w:tcPr>
            <w:tcW w:type="dxa" w:w="1661"/>
          </w:tcPr>
          <w:p>
            <w:pPr>
              <w:pStyle w:val="null3"/>
            </w:pPr>
            <w:r>
              <w:rPr>
                <w:rFonts w:ascii="仿宋_GB2312" w:hAnsi="仿宋_GB2312" w:cs="仿宋_GB2312" w:eastAsia="仿宋_GB2312"/>
              </w:rPr>
              <w:t>项目组织机构.docx 供应商资格要求.docx 项目管理机构组成表.pdf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财务状况要求</w:t>
            </w:r>
          </w:p>
        </w:tc>
        <w:tc>
          <w:tcPr>
            <w:tcW w:type="dxa" w:w="3322"/>
          </w:tcPr>
          <w:p>
            <w:pPr>
              <w:pStyle w:val="null3"/>
            </w:pPr>
            <w:r>
              <w:rPr>
                <w:rFonts w:ascii="仿宋_GB2312" w:hAnsi="仿宋_GB2312" w:cs="仿宋_GB2312" w:eastAsia="仿宋_GB2312"/>
              </w:rPr>
              <w:t>提供开标前近三个月内基本开户银行开具的资信证明或2024年至今任意一年经审计的财务报告（财务报告须符合《财政部关于注册会计师行业统一监管平台上线运行的通知》财办[2022]32号文件要求，成立时间至提交磋商响应文件截止时间不足一年的可提供成立后任意时段的财务报表）</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缴纳税收的要求</w:t>
            </w:r>
          </w:p>
        </w:tc>
        <w:tc>
          <w:tcPr>
            <w:tcW w:type="dxa" w:w="3322"/>
          </w:tcPr>
          <w:p>
            <w:pPr>
              <w:pStyle w:val="null3"/>
            </w:pPr>
            <w:r>
              <w:rPr>
                <w:rFonts w:ascii="仿宋_GB2312" w:hAnsi="仿宋_GB2312" w:cs="仿宋_GB2312" w:eastAsia="仿宋_GB2312"/>
              </w:rPr>
              <w:t>提供依法缴纳税收的良好记录（提供磋商响应文件递交截止时间前六个月内任意一个月份的缴纳凭据复印件或扫描件。依法免税或开标前一年内零申报的供应商应提供相关证明文件）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缴纳社会保障资金的要求</w:t>
            </w:r>
          </w:p>
        </w:tc>
        <w:tc>
          <w:tcPr>
            <w:tcW w:type="dxa" w:w="3322"/>
          </w:tcPr>
          <w:p>
            <w:pPr>
              <w:pStyle w:val="null3"/>
            </w:pPr>
            <w:r>
              <w:rPr>
                <w:rFonts w:ascii="仿宋_GB2312" w:hAnsi="仿宋_GB2312" w:cs="仿宋_GB2312" w:eastAsia="仿宋_GB2312"/>
              </w:rPr>
              <w:t>提供依法缴纳社会保障资金的良好记录（提供磋商响应文件递交截止时间前六个月内任意一个月份的缴纳凭据复印件或扫描件。依法不需要缴纳社会保障资金的供应商应提供相关证明文件）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截止日前不得为“信用中国”网站（www.creditchina.gov.cn）中列入失信被执行人、重大税收违法失信主体和政府采购严重违法失信行为记录名单的供应商；不得为“中国政府采购网”（www.ccgp.gov.cn）政府采购严重违法失信行为信息记录名单中被财政部门禁止参加政府采购活动的供应商。（最终以采购代理机构开标现场查询结果为准）</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无重大违法记录的要求</w:t>
            </w:r>
          </w:p>
        </w:tc>
        <w:tc>
          <w:tcPr>
            <w:tcW w:type="dxa" w:w="3322"/>
          </w:tcPr>
          <w:p>
            <w:pPr>
              <w:pStyle w:val="null3"/>
            </w:pPr>
            <w:r>
              <w:rPr>
                <w:rFonts w:ascii="仿宋_GB2312" w:hAnsi="仿宋_GB2312" w:cs="仿宋_GB2312" w:eastAsia="仿宋_GB2312"/>
              </w:rPr>
              <w:t>提供近三年内在经营活动中无重大违法记录的书面声明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磋商保证金要求</w:t>
            </w:r>
          </w:p>
        </w:tc>
        <w:tc>
          <w:tcPr>
            <w:tcW w:type="dxa" w:w="3322"/>
          </w:tcPr>
          <w:p>
            <w:pPr>
              <w:pStyle w:val="null3"/>
            </w:pPr>
            <w:r>
              <w:rPr>
                <w:rFonts w:ascii="仿宋_GB2312" w:hAnsi="仿宋_GB2312" w:cs="仿宋_GB2312" w:eastAsia="仿宋_GB2312"/>
              </w:rPr>
              <w:t>提供磋商保证金银行转账凭证及基本存款账户信息证明资料或金融机构、担保机构出具的保函复印件或扫描件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单位负责人为同一人或者存在直接控股、管理关系的不同供应商，不得参加同一合同项下的政府采购活动的要求</w:t>
            </w:r>
          </w:p>
        </w:tc>
        <w:tc>
          <w:tcPr>
            <w:tcW w:type="dxa" w:w="3322"/>
          </w:tcPr>
          <w:p>
            <w:pPr>
              <w:pStyle w:val="null3"/>
            </w:pPr>
            <w:r>
              <w:rPr>
                <w:rFonts w:ascii="仿宋_GB2312" w:hAnsi="仿宋_GB2312" w:cs="仿宋_GB2312" w:eastAsia="仿宋_GB2312"/>
              </w:rPr>
              <w:t>提供单位负责人为同一人或者存在直接控股、管理关系的不同供应商，不得参加同一合同项下的政府采购活动的书面声明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具有履行合同所必需的设备和专业技术能力的要求</w:t>
            </w:r>
          </w:p>
        </w:tc>
        <w:tc>
          <w:tcPr>
            <w:tcW w:type="dxa" w:w="3322"/>
          </w:tcPr>
          <w:p>
            <w:pPr>
              <w:pStyle w:val="null3"/>
            </w:pPr>
            <w:r>
              <w:rPr>
                <w:rFonts w:ascii="仿宋_GB2312" w:hAnsi="仿宋_GB2312" w:cs="仿宋_GB2312" w:eastAsia="仿宋_GB2312"/>
              </w:rPr>
              <w:t>提供具有履行本合同所必需的设备和专业技术能力的说明及承诺</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14</w:t>
            </w:r>
          </w:p>
        </w:tc>
        <w:tc>
          <w:tcPr>
            <w:tcW w:type="dxa" w:w="2492"/>
          </w:tcPr>
          <w:p>
            <w:pPr>
              <w:pStyle w:val="null3"/>
            </w:pPr>
            <w:r>
              <w:rPr>
                <w:rFonts w:ascii="仿宋_GB2312" w:hAnsi="仿宋_GB2312" w:cs="仿宋_GB2312" w:eastAsia="仿宋_GB2312"/>
              </w:rPr>
              <w:t>面向中小企业采购政策落实情况</w:t>
            </w:r>
          </w:p>
        </w:tc>
        <w:tc>
          <w:tcPr>
            <w:tcW w:type="dxa" w:w="3322"/>
          </w:tcPr>
          <w:p>
            <w:pPr>
              <w:pStyle w:val="null3"/>
            </w:pPr>
            <w:r>
              <w:rPr>
                <w:rFonts w:ascii="仿宋_GB2312" w:hAnsi="仿宋_GB2312" w:cs="仿宋_GB2312" w:eastAsia="仿宋_GB2312"/>
              </w:rPr>
              <w:t>本项目专门面向中小企业采购，供应商须提供《中小企业声明函》</w:t>
            </w:r>
          </w:p>
        </w:tc>
        <w:tc>
          <w:tcPr>
            <w:tcW w:type="dxa" w:w="1661"/>
          </w:tcPr>
          <w:p>
            <w:pPr>
              <w:pStyle w:val="null3"/>
            </w:pPr>
            <w:r>
              <w:rPr>
                <w:rFonts w:ascii="仿宋_GB2312" w:hAnsi="仿宋_GB2312" w:cs="仿宋_GB2312" w:eastAsia="仿宋_GB2312"/>
              </w:rPr>
              <w:t>供应商资格要求.docx 中小企业声明函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已标价工程量清单.docx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技术响应.docx 项目组织机构.docx 已标价工程量清单 已标价工程量清单.docx 中小企业声明函 承诺书.docx 近年完成的类似项目情况表.docx 响应文件封面 供应商资格要求.docx 其他应说明的事项.docx 残疾人福利性单位声明函 报价函 标的清单 项目管理机构组成表.pdf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已标价工程量清单.docx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计划工期</w:t>
            </w:r>
          </w:p>
        </w:tc>
        <w:tc>
          <w:tcPr>
            <w:tcW w:type="dxa" w:w="3322"/>
          </w:tcPr>
          <w:p>
            <w:pPr>
              <w:pStyle w:val="null3"/>
            </w:pPr>
            <w:r>
              <w:rPr>
                <w:rFonts w:ascii="仿宋_GB2312" w:hAnsi="仿宋_GB2312" w:cs="仿宋_GB2312" w:eastAsia="仿宋_GB2312"/>
              </w:rPr>
              <w:t>符合或优于磋商文件要求</w:t>
            </w:r>
          </w:p>
        </w:tc>
        <w:tc>
          <w:tcPr>
            <w:tcW w:type="dxa" w:w="1661"/>
          </w:tcPr>
          <w:p>
            <w:pPr>
              <w:pStyle w:val="null3"/>
            </w:pPr>
            <w:r>
              <w:rPr>
                <w:rFonts w:ascii="仿宋_GB2312" w:hAnsi="仿宋_GB2312" w:cs="仿宋_GB2312" w:eastAsia="仿宋_GB2312"/>
              </w:rPr>
              <w:t>技术响应.docx 报价函 承诺书.docx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磋商报价不得高于本项目最高限价</w:t>
            </w:r>
          </w:p>
        </w:tc>
        <w:tc>
          <w:tcPr>
            <w:tcW w:type="dxa" w:w="1661"/>
          </w:tcPr>
          <w:p>
            <w:pPr>
              <w:pStyle w:val="null3"/>
            </w:pPr>
            <w:r>
              <w:rPr>
                <w:rFonts w:ascii="仿宋_GB2312" w:hAnsi="仿宋_GB2312" w:cs="仿宋_GB2312" w:eastAsia="仿宋_GB2312"/>
              </w:rPr>
              <w:t>承诺书.docx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响应文件有效性</w:t>
            </w:r>
          </w:p>
        </w:tc>
        <w:tc>
          <w:tcPr>
            <w:tcW w:type="dxa" w:w="3322"/>
          </w:tcPr>
          <w:p>
            <w:pPr>
              <w:pStyle w:val="null3"/>
            </w:pPr>
            <w:r>
              <w:rPr>
                <w:rFonts w:ascii="仿宋_GB2312" w:hAnsi="仿宋_GB2312" w:cs="仿宋_GB2312" w:eastAsia="仿宋_GB2312"/>
              </w:rPr>
              <w:t>响应文件的签署、加盖印章合格、有效</w:t>
            </w:r>
          </w:p>
        </w:tc>
        <w:tc>
          <w:tcPr>
            <w:tcW w:type="dxa" w:w="1661"/>
          </w:tcPr>
          <w:p>
            <w:pPr>
              <w:pStyle w:val="null3"/>
            </w:pPr>
            <w:r>
              <w:rPr>
                <w:rFonts w:ascii="仿宋_GB2312" w:hAnsi="仿宋_GB2312" w:cs="仿宋_GB2312" w:eastAsia="仿宋_GB2312"/>
              </w:rPr>
              <w:t>技术响应.docx 项目组织机构.docx 已标价工程量清单 已标价工程量清单.docx 中小企业声明函 承诺书.docx 近年完成的类似项目情况表.docx 响应文件封面 供应商资格要求.docx 其他应说明的事项.docx 残疾人福利性单位声明函 报价函 标的清单 项目管理机构组成表.pdf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符合或优于磋商文件要求</w:t>
            </w:r>
          </w:p>
        </w:tc>
        <w:tc>
          <w:tcPr>
            <w:tcW w:type="dxa" w:w="1661"/>
          </w:tcPr>
          <w:p>
            <w:pPr>
              <w:pStyle w:val="null3"/>
            </w:pPr>
            <w:r>
              <w:rPr>
                <w:rFonts w:ascii="仿宋_GB2312" w:hAnsi="仿宋_GB2312" w:cs="仿宋_GB2312" w:eastAsia="仿宋_GB2312"/>
              </w:rPr>
              <w:t>承诺书.docx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响应文件含有采购人不能接受的附加条件，按无效响应处理</w:t>
            </w:r>
          </w:p>
        </w:tc>
        <w:tc>
          <w:tcPr>
            <w:tcW w:type="dxa" w:w="3322"/>
          </w:tcPr>
          <w:p>
            <w:pPr>
              <w:pStyle w:val="null3"/>
            </w:pPr>
            <w:r>
              <w:rPr>
                <w:rFonts w:ascii="仿宋_GB2312" w:hAnsi="仿宋_GB2312" w:cs="仿宋_GB2312" w:eastAsia="仿宋_GB2312"/>
              </w:rPr>
              <w:t>响应文件含有采购人不能接受的附加条件，按无效响应处理</w:t>
            </w:r>
          </w:p>
        </w:tc>
        <w:tc>
          <w:tcPr>
            <w:tcW w:type="dxa" w:w="1661"/>
          </w:tcPr>
          <w:p>
            <w:pPr>
              <w:pStyle w:val="null3"/>
            </w:pPr>
            <w:r>
              <w:rPr>
                <w:rFonts w:ascii="仿宋_GB2312" w:hAnsi="仿宋_GB2312" w:cs="仿宋_GB2312" w:eastAsia="仿宋_GB2312"/>
              </w:rPr>
              <w:t>技术响应.docx 项目组织机构.docx 已标价工程量清单 已标价工程量清单.docx 中小企业声明函 承诺书.docx 近年完成的类似项目情况表.docx 响应文件封面 供应商资格要求.docx 其他应说明的事项.docx 残疾人福利性单位声明函 报价函 标的清单 项目管理机构组成表.pdf 响应函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无其他磋商文件或法律法规明确规定响应无效的事项</w:t>
            </w:r>
          </w:p>
        </w:tc>
        <w:tc>
          <w:tcPr>
            <w:tcW w:type="dxa" w:w="3322"/>
          </w:tcPr>
          <w:p>
            <w:pPr>
              <w:pStyle w:val="null3"/>
            </w:pPr>
            <w:r>
              <w:rPr>
                <w:rFonts w:ascii="仿宋_GB2312" w:hAnsi="仿宋_GB2312" w:cs="仿宋_GB2312" w:eastAsia="仿宋_GB2312"/>
              </w:rPr>
              <w:t>无其他磋商文件或法律法规明确规定响应无效的事项</w:t>
            </w:r>
          </w:p>
        </w:tc>
        <w:tc>
          <w:tcPr>
            <w:tcW w:type="dxa" w:w="1661"/>
          </w:tcPr>
          <w:p>
            <w:pPr>
              <w:pStyle w:val="null3"/>
            </w:pPr>
            <w:r>
              <w:rPr>
                <w:rFonts w:ascii="仿宋_GB2312" w:hAnsi="仿宋_GB2312" w:cs="仿宋_GB2312" w:eastAsia="仿宋_GB2312"/>
              </w:rPr>
              <w:t>技术响应.docx 项目组织机构.docx 已标价工程量清单 已标价工程量清单.docx 中小企业声明函 承诺书.docx 近年完成的类似项目情况表.docx 响应文件封面 供应商资格要求.docx 其他应说明的事项.docx 残疾人福利性单位声明函 报价函 标的清单 项目管理机构组成表.pdf 响应函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技术部分</w:t>
            </w:r>
          </w:p>
        </w:tc>
        <w:tc>
          <w:tcPr>
            <w:tcW w:type="dxa" w:w="2492"/>
          </w:tcPr>
          <w:p>
            <w:pPr>
              <w:pStyle w:val="null3"/>
            </w:pPr>
            <w:r>
              <w:rPr>
                <w:rFonts w:ascii="仿宋_GB2312" w:hAnsi="仿宋_GB2312" w:cs="仿宋_GB2312" w:eastAsia="仿宋_GB2312"/>
              </w:rPr>
              <w:t>提供针对本项目的施工组织设计，至少应包括：①确保工程质量的技术组织措施；②确保安全生产的技术组织措施；③确保文明施工及环境保护的技术组织措施；④确保工期的技术组织措施及施工进度表(横道图或网络图)；⑤施工方案；⑥施工机械配备和材料投入计划及劳动力安排计划；⑦新技术、新产品、新工艺、新材料应用。包含但不限于上述全部内容，方案详细，清晰有利于项目实施的每项得8分。（如有缺陷或不足在此分数基础上进行扣分），以上7项中： （1）每有1项缺失或不切实符合项目需求的扣8分； （2）每有1项内容存在缺陷或不足扣5分； （3）每有1项总体内容完备但存在部分瑕疵扣2分。</w:t>
            </w:r>
          </w:p>
        </w:tc>
        <w:tc>
          <w:tcPr>
            <w:tcW w:type="dxa" w:w="831"/>
          </w:tcPr>
          <w:p>
            <w:pPr>
              <w:pStyle w:val="null3"/>
              <w:jc w:val="right"/>
            </w:pPr>
            <w:r>
              <w:rPr>
                <w:rFonts w:ascii="仿宋_GB2312" w:hAnsi="仿宋_GB2312" w:cs="仿宋_GB2312" w:eastAsia="仿宋_GB2312"/>
              </w:rPr>
              <w:t>56.0000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技术响应.docx</w:t>
            </w:r>
          </w:p>
        </w:tc>
      </w:tr>
      <w:tr>
        <w:tc>
          <w:tcPr>
            <w:tcW w:type="dxa" w:w="831"/>
            <w:vMerge/>
          </w:tcPr>
          <w:p/>
        </w:tc>
        <w:tc>
          <w:tcPr>
            <w:tcW w:type="dxa" w:w="1661"/>
          </w:tcPr>
          <w:p>
            <w:pPr>
              <w:pStyle w:val="null3"/>
            </w:pPr>
            <w:r>
              <w:rPr>
                <w:rFonts w:ascii="仿宋_GB2312" w:hAnsi="仿宋_GB2312" w:cs="仿宋_GB2312" w:eastAsia="仿宋_GB2312"/>
              </w:rPr>
              <w:t>项目组织机构</w:t>
            </w:r>
          </w:p>
        </w:tc>
        <w:tc>
          <w:tcPr>
            <w:tcW w:type="dxa" w:w="2492"/>
          </w:tcPr>
          <w:p>
            <w:pPr>
              <w:pStyle w:val="null3"/>
            </w:pPr>
            <w:r>
              <w:rPr>
                <w:rFonts w:ascii="仿宋_GB2312" w:hAnsi="仿宋_GB2312" w:cs="仿宋_GB2312" w:eastAsia="仿宋_GB2312"/>
              </w:rPr>
              <w:t>1、项目经理具有中级职称的得2分，高级及以上职称得3分。 2、具有五大员（质量员、安全员、施工员、材料员、资料员）上岗证书（安全员须具有安全生产考核合格证书）的一项得1分，最高得5分。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项目管理机构组成表.pdf</w:t>
            </w:r>
          </w:p>
          <w:p>
            <w:pPr>
              <w:pStyle w:val="null3"/>
            </w:pPr>
            <w:r>
              <w:rPr>
                <w:rFonts w:ascii="仿宋_GB2312" w:hAnsi="仿宋_GB2312" w:cs="仿宋_GB2312" w:eastAsia="仿宋_GB2312"/>
              </w:rPr>
              <w:t>项目组织机构.docx</w:t>
            </w:r>
          </w:p>
        </w:tc>
      </w:tr>
      <w:tr>
        <w:tc>
          <w:tcPr>
            <w:tcW w:type="dxa" w:w="831"/>
            <w:vMerge/>
          </w:tcPr>
          <w:p/>
        </w:tc>
        <w:tc>
          <w:tcPr>
            <w:tcW w:type="dxa" w:w="1661"/>
          </w:tcPr>
          <w:p>
            <w:pPr>
              <w:pStyle w:val="null3"/>
            </w:pPr>
            <w:r>
              <w:rPr>
                <w:rFonts w:ascii="仿宋_GB2312" w:hAnsi="仿宋_GB2312" w:cs="仿宋_GB2312" w:eastAsia="仿宋_GB2312"/>
              </w:rPr>
              <w:t>企业类似业绩</w:t>
            </w:r>
          </w:p>
        </w:tc>
        <w:tc>
          <w:tcPr>
            <w:tcW w:type="dxa" w:w="2492"/>
          </w:tcPr>
          <w:p>
            <w:pPr>
              <w:pStyle w:val="null3"/>
            </w:pPr>
            <w:r>
              <w:rPr>
                <w:rFonts w:ascii="仿宋_GB2312" w:hAnsi="仿宋_GB2312" w:cs="仿宋_GB2312" w:eastAsia="仿宋_GB2312"/>
              </w:rPr>
              <w:t>2023年5月至今完成的类似业绩，一项得2分，最多得6分。 注：1.须附类似项目业绩的成交（中标）通知书或合同或竣工验收证明材料复印件或扫描件，并加盖公章； 2. 以提供证明资料的落款时间为准。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近年完成的类似项目情况表.docx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已标价工程量清单.docx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经资格审查合格及符合性审查合格的磋商响应文件，其磋商报价有效；将满足磋商文件要求且最后报价最低的供应商的价格作为磋商基准价，其价格分为满分（30分）； 其他供应商磋商报价得分=(磋商基准价／最后磋商报价)×30%×100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已标价工程量清单.docx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详见附件：项目管理机构组成表.pdf</w:t>
      </w:r>
    </w:p>
    <w:p>
      <w:pPr>
        <w:pStyle w:val="null3"/>
        <w:ind w:firstLine="960"/>
      </w:pPr>
      <w:r>
        <w:rPr>
          <w:rFonts w:ascii="仿宋_GB2312" w:hAnsi="仿宋_GB2312" w:cs="仿宋_GB2312" w:eastAsia="仿宋_GB2312"/>
        </w:rPr>
        <w:t>详见附件：项目组织机构.docx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详见附件：近年完成的类似项目情况表.docx</w:t>
      </w:r>
    </w:p>
    <w:p>
      <w:pPr>
        <w:pStyle w:val="null3"/>
        <w:ind w:firstLine="960"/>
      </w:pPr>
      <w:r>
        <w:rPr>
          <w:rFonts w:ascii="仿宋_GB2312" w:hAnsi="仿宋_GB2312" w:cs="仿宋_GB2312" w:eastAsia="仿宋_GB2312"/>
        </w:rPr>
        <w:t>详见附件：技术响应.docx</w:t>
      </w:r>
    </w:p>
    <w:p>
      <w:pPr>
        <w:pStyle w:val="null3"/>
        <w:ind w:firstLine="960"/>
      </w:pPr>
      <w:r>
        <w:rPr>
          <w:rFonts w:ascii="仿宋_GB2312" w:hAnsi="仿宋_GB2312" w:cs="仿宋_GB2312" w:eastAsia="仿宋_GB2312"/>
        </w:rPr>
        <w:t>详见附件：其他应说明的事项.docx</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详见附件：已标价工程量清单.docx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