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5CBEA">
      <w:pPr>
        <w:pStyle w:val="4"/>
        <w:jc w:val="center"/>
        <w:outlineLvl w:val="1"/>
        <w:rPr>
          <w:color w:val="auto"/>
          <w:highlight w:val="none"/>
        </w:rPr>
      </w:pPr>
      <w:r>
        <w:rPr>
          <w:b/>
          <w:color w:val="auto"/>
          <w:sz w:val="36"/>
          <w:highlight w:val="none"/>
        </w:rPr>
        <w:t>拟签订采购合同文本</w:t>
      </w:r>
    </w:p>
    <w:p w14:paraId="40B8A7FD">
      <w:pPr>
        <w:tabs>
          <w:tab w:val="left" w:pos="735"/>
        </w:tabs>
        <w:autoSpaceDE w:val="0"/>
        <w:autoSpaceDN w:val="0"/>
        <w:adjustRightInd w:val="0"/>
        <w:snapToGrid w:val="0"/>
        <w:spacing w:before="312" w:beforeLines="100" w:line="360" w:lineRule="auto"/>
        <w:rPr>
          <w:rFonts w:hint="default" w:ascii="宋体" w:hAnsi="宋体" w:eastAsia="宋体" w:cs="宋体"/>
          <w:b/>
          <w:bCs/>
          <w:color w:val="auto"/>
          <w:szCs w:val="21"/>
          <w:highlight w:val="none"/>
          <w:u w:val="single"/>
          <w:lang w:val="en-US" w:eastAsia="zh-CN"/>
        </w:rPr>
      </w:pPr>
      <w:r>
        <w:rPr>
          <w:color w:val="auto"/>
          <w:highlight w:val="none"/>
        </w:rPr>
        <w:t xml:space="preserve"> </w:t>
      </w:r>
      <w:r>
        <w:rPr>
          <w:rFonts w:hint="eastAsia" w:ascii="宋体" w:hAnsi="宋体" w:cs="宋体"/>
          <w:b/>
          <w:bCs/>
          <w:color w:val="auto"/>
          <w:szCs w:val="21"/>
          <w:highlight w:val="none"/>
          <w:lang w:val="zh-CN"/>
        </w:rPr>
        <w:t>甲方：</w:t>
      </w:r>
      <w:r>
        <w:rPr>
          <w:rFonts w:hint="eastAsia" w:ascii="宋体" w:hAnsi="宋体" w:cs="宋体"/>
          <w:bCs/>
          <w:color w:val="auto"/>
          <w:szCs w:val="21"/>
          <w:highlight w:val="none"/>
          <w:u w:val="single"/>
          <w:lang w:val="zh-CN"/>
        </w:rPr>
        <w:t xml:space="preserve">（前款所称采购人）     </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 xml:space="preserve"> </w:t>
      </w:r>
      <w:r>
        <w:rPr>
          <w:rFonts w:hint="eastAsia" w:ascii="宋体" w:hAnsi="宋体" w:cs="宋体"/>
          <w:bCs/>
          <w:color w:val="auto"/>
          <w:szCs w:val="21"/>
          <w:highlight w:val="none"/>
          <w:lang w:val="zh-CN"/>
        </w:rPr>
        <w:t>住所：</w:t>
      </w:r>
      <w:r>
        <w:rPr>
          <w:rFonts w:hint="eastAsia" w:ascii="宋体" w:hAnsi="宋体" w:cs="宋体"/>
          <w:bCs/>
          <w:color w:val="auto"/>
          <w:szCs w:val="21"/>
          <w:highlight w:val="none"/>
          <w:u w:val="single"/>
          <w:lang w:val="en-US" w:eastAsia="zh-CN"/>
        </w:rPr>
        <w:t xml:space="preserve">                         </w:t>
      </w:r>
    </w:p>
    <w:p w14:paraId="5F32BB9B">
      <w:pPr>
        <w:tabs>
          <w:tab w:val="left" w:pos="735"/>
        </w:tabs>
        <w:autoSpaceDE w:val="0"/>
        <w:autoSpaceDN w:val="0"/>
        <w:adjustRightInd w:val="0"/>
        <w:snapToGrid w:val="0"/>
        <w:spacing w:line="360" w:lineRule="auto"/>
        <w:rPr>
          <w:rFonts w:hint="default" w:ascii="宋体" w:hAnsi="宋体" w:eastAsia="宋体" w:cs="宋体"/>
          <w:bCs/>
          <w:color w:val="auto"/>
          <w:szCs w:val="21"/>
          <w:highlight w:val="none"/>
          <w:u w:val="single"/>
          <w:lang w:val="en-US" w:eastAsia="zh-CN"/>
        </w:rPr>
      </w:pPr>
      <w:r>
        <w:rPr>
          <w:rFonts w:hint="eastAsia" w:ascii="宋体" w:hAnsi="宋体" w:cs="宋体"/>
          <w:b/>
          <w:bCs/>
          <w:color w:val="auto"/>
          <w:szCs w:val="21"/>
          <w:highlight w:val="none"/>
          <w:lang w:val="zh-CN"/>
        </w:rPr>
        <w:t>乙方：</w:t>
      </w:r>
      <w:r>
        <w:rPr>
          <w:rFonts w:hint="eastAsia" w:ascii="宋体" w:hAnsi="宋体" w:cs="宋体"/>
          <w:bCs/>
          <w:color w:val="auto"/>
          <w:szCs w:val="21"/>
          <w:highlight w:val="none"/>
          <w:u w:val="single"/>
          <w:lang w:val="zh-CN"/>
        </w:rPr>
        <w:t>（前款所称</w:t>
      </w:r>
      <w:r>
        <w:rPr>
          <w:rFonts w:hint="eastAsia" w:ascii="宋体" w:hAnsi="宋体" w:cs="宋体"/>
          <w:bCs/>
          <w:color w:val="auto"/>
          <w:szCs w:val="21"/>
          <w:highlight w:val="none"/>
          <w:u w:val="single"/>
        </w:rPr>
        <w:t>成交供应商</w:t>
      </w:r>
      <w:r>
        <w:rPr>
          <w:rFonts w:hint="eastAsia" w:ascii="宋体" w:hAnsi="宋体" w:cs="宋体"/>
          <w:bCs/>
          <w:color w:val="auto"/>
          <w:szCs w:val="21"/>
          <w:highlight w:val="none"/>
          <w:u w:val="single"/>
          <w:lang w:val="zh-CN"/>
        </w:rPr>
        <w:t xml:space="preserve">）    </w:t>
      </w:r>
      <w:r>
        <w:rPr>
          <w:rFonts w:hint="eastAsia" w:ascii="宋体" w:hAnsi="宋体" w:cs="宋体"/>
          <w:bCs/>
          <w:color w:val="auto"/>
          <w:szCs w:val="21"/>
          <w:highlight w:val="none"/>
          <w:lang w:val="zh-CN"/>
        </w:rPr>
        <w:t xml:space="preserve"> 住所：</w:t>
      </w:r>
      <w:r>
        <w:rPr>
          <w:rFonts w:hint="eastAsia" w:ascii="宋体" w:hAnsi="宋体" w:cs="宋体"/>
          <w:bCs/>
          <w:color w:val="auto"/>
          <w:szCs w:val="21"/>
          <w:highlight w:val="none"/>
          <w:u w:val="single"/>
          <w:lang w:val="en-US" w:eastAsia="zh-CN"/>
        </w:rPr>
        <w:t xml:space="preserve">                         </w:t>
      </w:r>
    </w:p>
    <w:p w14:paraId="7BE911A3">
      <w:pPr>
        <w:adjustRightInd w:val="0"/>
        <w:snapToGrid w:val="0"/>
        <w:spacing w:line="360" w:lineRule="auto"/>
        <w:ind w:firstLine="420" w:firstLineChars="200"/>
        <w:rPr>
          <w:rFonts w:hint="eastAsia" w:ascii="宋体" w:hAnsi="宋体" w:cs="宋体"/>
          <w:color w:val="auto"/>
          <w:szCs w:val="21"/>
          <w:highlight w:val="none"/>
        </w:rPr>
      </w:pPr>
      <w:bookmarkStart w:id="0" w:name="_Toc19515384"/>
      <w:r>
        <w:rPr>
          <w:rFonts w:hint="eastAsia" w:ascii="宋体" w:hAnsi="宋体" w:cs="宋体"/>
          <w:color w:val="auto"/>
          <w:szCs w:val="21"/>
          <w:highlight w:val="none"/>
        </w:rPr>
        <w:t>一、合同内容（标的、数量、质量等）:</w:t>
      </w:r>
      <w:bookmarkEnd w:id="0"/>
    </w:p>
    <w:p w14:paraId="056623F3">
      <w:pPr>
        <w:adjustRightInd w:val="0"/>
        <w:snapToGrid w:val="0"/>
        <w:spacing w:line="360" w:lineRule="auto"/>
        <w:ind w:firstLine="420" w:firstLineChars="200"/>
        <w:rPr>
          <w:rFonts w:hint="eastAsia" w:ascii="宋体" w:hAnsi="宋体" w:cs="宋体"/>
          <w:color w:val="auto"/>
          <w:szCs w:val="21"/>
          <w:highlight w:val="none"/>
        </w:rPr>
      </w:pPr>
      <w:bookmarkStart w:id="1" w:name="_Toc19515385"/>
      <w:r>
        <w:rPr>
          <w:rFonts w:hint="eastAsia" w:ascii="宋体" w:hAnsi="宋体" w:cs="宋体"/>
          <w:color w:val="auto"/>
          <w:szCs w:val="21"/>
          <w:highlight w:val="none"/>
        </w:rPr>
        <w:t>二、合同价款</w:t>
      </w:r>
      <w:bookmarkEnd w:id="1"/>
    </w:p>
    <w:p w14:paraId="3B4F7427">
      <w:pPr>
        <w:adjustRightInd w:val="0"/>
        <w:snapToGrid w:val="0"/>
        <w:spacing w:line="360" w:lineRule="auto"/>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rPr>
        <w:t>1、合同总价：</w:t>
      </w:r>
      <w:r>
        <w:rPr>
          <w:rFonts w:hint="eastAsia" w:ascii="宋体" w:hAnsi="宋体" w:cs="宋体"/>
          <w:color w:val="auto"/>
          <w:szCs w:val="21"/>
          <w:highlight w:val="none"/>
          <w:u w:val="none"/>
          <w:lang w:val="en-US" w:eastAsia="zh-CN"/>
        </w:rPr>
        <w:t xml:space="preserve"> 450000.00元</w:t>
      </w:r>
      <w:r>
        <w:rPr>
          <w:rFonts w:hint="eastAsia" w:ascii="宋体" w:hAnsi="宋体" w:cs="宋体"/>
          <w:color w:val="auto"/>
          <w:szCs w:val="21"/>
          <w:highlight w:val="none"/>
          <w:u w:val="none"/>
          <w:lang w:val="en-US" w:eastAsia="zh-CN"/>
        </w:rPr>
        <w:t>（以服务期内实际工程清单量结算）</w:t>
      </w:r>
      <w:r>
        <w:rPr>
          <w:rFonts w:hint="eastAsia" w:ascii="宋体" w:hAnsi="宋体" w:cs="宋体"/>
          <w:color w:val="auto"/>
          <w:szCs w:val="21"/>
          <w:highlight w:val="none"/>
          <w:u w:val="none"/>
          <w:lang w:val="en-US" w:eastAsia="zh-CN"/>
        </w:rPr>
        <w:t>。</w:t>
      </w:r>
    </w:p>
    <w:p w14:paraId="5AFD7118">
      <w:pPr>
        <w:adjustRightInd w:val="0"/>
        <w:snapToGrid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2、合同总价包括：</w:t>
      </w:r>
      <w:r>
        <w:rPr>
          <w:rFonts w:hint="eastAsia" w:ascii="宋体" w:hAnsi="宋体" w:cs="宋体"/>
          <w:color w:val="auto"/>
          <w:szCs w:val="21"/>
          <w:highlight w:val="none"/>
          <w:lang w:val="en-US" w:eastAsia="zh-CN"/>
        </w:rPr>
        <w:t>本项目报价清单但不限于所列内容。</w:t>
      </w:r>
    </w:p>
    <w:p w14:paraId="34326AA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3、合同为固定</w:t>
      </w:r>
      <w:r>
        <w:rPr>
          <w:rFonts w:hint="eastAsia" w:ascii="宋体" w:hAnsi="宋体" w:cs="宋体"/>
          <w:color w:val="auto"/>
          <w:szCs w:val="21"/>
          <w:highlight w:val="none"/>
          <w:lang w:val="en-US" w:eastAsia="zh-CN"/>
        </w:rPr>
        <w:t>清单单价</w:t>
      </w:r>
      <w:r>
        <w:rPr>
          <w:rFonts w:hint="eastAsia" w:ascii="宋体" w:hAnsi="宋体" w:cs="宋体"/>
          <w:color w:val="auto"/>
          <w:szCs w:val="21"/>
          <w:highlight w:val="none"/>
        </w:rPr>
        <w:t>合同，</w:t>
      </w:r>
      <w:r>
        <w:rPr>
          <w:rFonts w:hint="eastAsia" w:ascii="宋体" w:hAnsi="宋体" w:cs="宋体"/>
          <w:color w:val="auto"/>
          <w:szCs w:val="21"/>
          <w:highlight w:val="none"/>
          <w:lang w:val="en-US" w:eastAsia="zh-CN"/>
        </w:rPr>
        <w:t>最终以甲方认定审核后的清单量据实结算</w:t>
      </w:r>
      <w:r>
        <w:rPr>
          <w:rFonts w:hint="eastAsia" w:ascii="宋体" w:hAnsi="宋体" w:cs="宋体"/>
          <w:color w:val="auto"/>
          <w:szCs w:val="21"/>
          <w:highlight w:val="none"/>
        </w:rPr>
        <w:t>。</w:t>
      </w:r>
    </w:p>
    <w:p w14:paraId="44C74CEA">
      <w:pPr>
        <w:adjustRightInd w:val="0"/>
        <w:snapToGrid w:val="0"/>
        <w:spacing w:line="360" w:lineRule="auto"/>
        <w:ind w:firstLine="420" w:firstLineChars="200"/>
        <w:rPr>
          <w:rFonts w:hint="eastAsia" w:ascii="宋体" w:hAnsi="宋体" w:cs="宋体"/>
          <w:color w:val="auto"/>
          <w:szCs w:val="21"/>
          <w:highlight w:val="none"/>
        </w:rPr>
      </w:pPr>
      <w:bookmarkStart w:id="2" w:name="_Toc19515386"/>
      <w:r>
        <w:rPr>
          <w:rFonts w:hint="eastAsia" w:ascii="宋体" w:hAnsi="宋体" w:cs="宋体"/>
          <w:color w:val="auto"/>
          <w:szCs w:val="21"/>
          <w:highlight w:val="none"/>
        </w:rPr>
        <w:t>三、合同结算</w:t>
      </w:r>
      <w:bookmarkEnd w:id="2"/>
    </w:p>
    <w:p w14:paraId="1035241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1、付款比例：</w:t>
      </w:r>
    </w:p>
    <w:p w14:paraId="13CE4E4B">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每满三个月根据实际产生的维修量及审</w:t>
      </w:r>
      <w:r>
        <w:rPr>
          <w:rFonts w:hint="eastAsia" w:ascii="宋体" w:hAnsi="宋体" w:cs="宋体"/>
          <w:color w:val="auto"/>
          <w:szCs w:val="21"/>
          <w:highlight w:val="none"/>
          <w:lang w:val="en-US" w:eastAsia="zh-CN"/>
        </w:rPr>
        <w:t>定</w:t>
      </w:r>
      <w:r>
        <w:rPr>
          <w:rFonts w:hint="eastAsia" w:ascii="宋体" w:hAnsi="宋体" w:cs="宋体"/>
          <w:color w:val="auto"/>
          <w:szCs w:val="21"/>
          <w:highlight w:val="none"/>
        </w:rPr>
        <w:t>情况支付该时间段的维修费用。</w:t>
      </w:r>
    </w:p>
    <w:p w14:paraId="2653317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（1）按季度付款，每季度</w:t>
      </w:r>
      <w:r>
        <w:rPr>
          <w:rFonts w:hint="eastAsia" w:ascii="宋体" w:hAnsi="宋体" w:cs="宋体"/>
          <w:color w:val="auto"/>
          <w:szCs w:val="21"/>
          <w:highlight w:val="none"/>
          <w:lang w:val="en-US" w:eastAsia="zh-CN"/>
        </w:rPr>
        <w:t>零星维修</w:t>
      </w:r>
      <w:r>
        <w:rPr>
          <w:rFonts w:hint="eastAsia" w:ascii="宋体" w:hAnsi="宋体" w:cs="宋体"/>
          <w:color w:val="auto"/>
          <w:szCs w:val="21"/>
          <w:highlight w:val="none"/>
        </w:rPr>
        <w:t>满意度调查，调查结果平均分达到</w:t>
      </w:r>
      <w:r>
        <w:rPr>
          <w:rFonts w:hint="eastAsia" w:ascii="宋体" w:hAnsi="宋体" w:cs="宋体"/>
          <w:color w:val="auto"/>
          <w:szCs w:val="21"/>
          <w:highlight w:val="none"/>
          <w:lang w:val="en-US" w:eastAsia="zh-CN"/>
        </w:rPr>
        <w:t>80</w:t>
      </w:r>
      <w:r>
        <w:rPr>
          <w:rFonts w:hint="eastAsia" w:ascii="宋体" w:hAnsi="宋体" w:cs="宋体"/>
          <w:color w:val="auto"/>
          <w:szCs w:val="21"/>
          <w:highlight w:val="none"/>
        </w:rPr>
        <w:t>分以上同时检查结果都合格</w:t>
      </w:r>
      <w:r>
        <w:rPr>
          <w:rFonts w:hint="eastAsia" w:ascii="宋体" w:hAnsi="宋体" w:cs="宋体"/>
          <w:color w:val="auto"/>
          <w:szCs w:val="21"/>
          <w:highlight w:val="none"/>
          <w:lang w:val="en-US" w:eastAsia="zh-CN"/>
        </w:rPr>
        <w:t>时，由甲方</w:t>
      </w:r>
      <w:r>
        <w:rPr>
          <w:rFonts w:hint="eastAsia" w:ascii="宋体" w:hAnsi="宋体" w:cs="宋体"/>
          <w:color w:val="auto"/>
          <w:szCs w:val="21"/>
          <w:highlight w:val="none"/>
        </w:rPr>
        <w:t>付季度工程款</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否则</w:t>
      </w:r>
      <w:bookmarkStart w:id="3" w:name="OLE_LINK2"/>
      <w:r>
        <w:rPr>
          <w:rFonts w:hint="eastAsia" w:ascii="宋体" w:hAnsi="宋体" w:cs="宋体"/>
          <w:color w:val="auto"/>
          <w:szCs w:val="21"/>
          <w:highlight w:val="none"/>
          <w:lang w:val="en-US" w:eastAsia="zh-CN"/>
        </w:rPr>
        <w:t>甲方可根据考核标准直接扣减相应款项</w:t>
      </w:r>
      <w:bookmarkEnd w:id="3"/>
      <w:r>
        <w:rPr>
          <w:rFonts w:hint="eastAsia" w:ascii="宋体" w:hAnsi="宋体" w:cs="宋体"/>
          <w:color w:val="auto"/>
          <w:szCs w:val="21"/>
          <w:highlight w:val="none"/>
        </w:rPr>
        <w:t>。</w:t>
      </w:r>
    </w:p>
    <w:p w14:paraId="54194C1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（2）年终或合同结束</w:t>
      </w:r>
      <w:r>
        <w:rPr>
          <w:rFonts w:hint="eastAsia" w:ascii="宋体" w:hAnsi="宋体" w:cs="宋体"/>
          <w:color w:val="auto"/>
          <w:szCs w:val="21"/>
          <w:highlight w:val="none"/>
          <w:lang w:val="en-US" w:eastAsia="zh-CN"/>
        </w:rPr>
        <w:t>零星维修</w:t>
      </w:r>
      <w:r>
        <w:rPr>
          <w:rFonts w:hint="eastAsia" w:ascii="宋体" w:hAnsi="宋体" w:cs="宋体"/>
          <w:color w:val="auto"/>
          <w:szCs w:val="21"/>
          <w:highlight w:val="none"/>
        </w:rPr>
        <w:t>质量考核平均分达到</w:t>
      </w:r>
      <w:r>
        <w:rPr>
          <w:rFonts w:hint="eastAsia" w:ascii="宋体" w:hAnsi="宋体" w:cs="宋体"/>
          <w:color w:val="auto"/>
          <w:szCs w:val="21"/>
          <w:highlight w:val="none"/>
          <w:lang w:val="en-US" w:eastAsia="zh-CN"/>
        </w:rPr>
        <w:t>80</w:t>
      </w:r>
      <w:r>
        <w:rPr>
          <w:rFonts w:hint="eastAsia" w:ascii="宋体" w:hAnsi="宋体" w:cs="宋体"/>
          <w:color w:val="auto"/>
          <w:szCs w:val="21"/>
          <w:highlight w:val="none"/>
        </w:rPr>
        <w:t>分以上，且未发生任何安全责任事故，甲方向乙方付清未结款项</w:t>
      </w:r>
      <w:bookmarkStart w:id="4" w:name="OLE_LINK1"/>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否则甲方可根据考核标准直接扣减相应款项</w:t>
      </w:r>
      <w:bookmarkEnd w:id="4"/>
      <w:r>
        <w:rPr>
          <w:rFonts w:hint="eastAsia" w:ascii="宋体" w:hAnsi="宋体" w:cs="宋体"/>
          <w:color w:val="auto"/>
          <w:szCs w:val="21"/>
          <w:highlight w:val="none"/>
        </w:rPr>
        <w:t>。</w:t>
      </w:r>
    </w:p>
    <w:p w14:paraId="735466B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（3）甲方付款前，乙方需按照甲方要求提供发票，否则甲方有权拒付费用且不承担任何责任。</w:t>
      </w:r>
    </w:p>
    <w:p w14:paraId="6EF47823">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2、结算方式：银行转账。</w:t>
      </w:r>
      <w:r>
        <w:rPr>
          <w:rFonts w:hint="eastAsia" w:ascii="宋体" w:hAnsi="宋体" w:cs="宋体"/>
          <w:color w:val="auto"/>
          <w:szCs w:val="21"/>
          <w:highlight w:val="none"/>
          <w:lang w:val="en-US" w:eastAsia="zh-CN"/>
        </w:rPr>
        <w:t>乙方账户信息如下：</w:t>
      </w:r>
    </w:p>
    <w:p w14:paraId="75066BF6">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乙方账户名：</w:t>
      </w:r>
      <w:r>
        <w:rPr>
          <w:rFonts w:hint="eastAsia" w:ascii="宋体" w:hAnsi="宋体" w:cs="宋体"/>
          <w:color w:val="auto"/>
          <w:szCs w:val="21"/>
          <w:highlight w:val="none"/>
          <w:lang w:val="en-US" w:eastAsia="zh-CN"/>
        </w:rPr>
        <w:t xml:space="preserve">                      </w:t>
      </w:r>
    </w:p>
    <w:p w14:paraId="71A36495">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 xml:space="preserve">账      号： </w:t>
      </w:r>
      <w:r>
        <w:rPr>
          <w:rFonts w:hint="eastAsia" w:ascii="宋体" w:hAnsi="宋体" w:cs="宋体"/>
          <w:color w:val="auto"/>
          <w:szCs w:val="21"/>
          <w:highlight w:val="none"/>
          <w:lang w:val="en-US" w:eastAsia="zh-CN"/>
        </w:rPr>
        <w:t xml:space="preserve">                     </w:t>
      </w:r>
    </w:p>
    <w:p w14:paraId="1CA3B2C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  户  行：</w:t>
      </w:r>
      <w:r>
        <w:rPr>
          <w:rFonts w:hint="eastAsia" w:ascii="宋体" w:hAnsi="宋体" w:cs="宋体"/>
          <w:color w:val="auto"/>
          <w:szCs w:val="21"/>
          <w:highlight w:val="none"/>
          <w:lang w:val="en-US" w:eastAsia="zh-CN"/>
        </w:rPr>
        <w:t xml:space="preserve">                      </w:t>
      </w:r>
    </w:p>
    <w:p w14:paraId="1D62720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3、结算单位：由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甲方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负责结算，乙方开具全额发票交</w:t>
      </w:r>
      <w:r>
        <w:rPr>
          <w:rFonts w:hint="eastAsia" w:ascii="宋体" w:hAnsi="宋体" w:cs="宋体"/>
          <w:color w:val="auto"/>
          <w:szCs w:val="21"/>
          <w:highlight w:val="none"/>
          <w:lang w:val="en-US" w:eastAsia="zh-CN"/>
        </w:rPr>
        <w:t>甲方</w:t>
      </w:r>
      <w:r>
        <w:rPr>
          <w:rFonts w:hint="eastAsia" w:ascii="宋体" w:hAnsi="宋体" w:cs="宋体"/>
          <w:color w:val="auto"/>
          <w:szCs w:val="21"/>
          <w:highlight w:val="none"/>
        </w:rPr>
        <w:t>。</w:t>
      </w:r>
    </w:p>
    <w:p w14:paraId="571B37BD">
      <w:pPr>
        <w:adjustRightInd w:val="0"/>
        <w:snapToGrid w:val="0"/>
        <w:spacing w:line="360" w:lineRule="auto"/>
        <w:ind w:firstLine="422" w:firstLineChars="200"/>
        <w:rPr>
          <w:rFonts w:hint="eastAsia" w:ascii="宋体" w:hAnsi="宋体" w:cs="宋体"/>
          <w:color w:val="auto"/>
          <w:szCs w:val="21"/>
          <w:highlight w:val="none"/>
        </w:rPr>
      </w:pPr>
      <w:r>
        <w:rPr>
          <w:rFonts w:hint="eastAsia" w:ascii="宋体" w:hAnsi="宋体" w:eastAsia="宋体" w:cs="宋体"/>
          <w:b/>
          <w:bCs/>
          <w:color w:val="auto"/>
          <w:szCs w:val="21"/>
          <w:highlight w:val="none"/>
          <w:lang w:val="en-US" w:eastAsia="zh-CN"/>
        </w:rPr>
        <w:t>4、合同签订后，自甲方书面通知</w:t>
      </w:r>
      <w:r>
        <w:rPr>
          <w:rFonts w:hint="eastAsia" w:ascii="宋体" w:hAnsi="宋体" w:cs="宋体"/>
          <w:b/>
          <w:bCs/>
          <w:color w:val="auto"/>
          <w:szCs w:val="21"/>
          <w:highlight w:val="none"/>
          <w:lang w:val="en-US" w:eastAsia="zh-CN"/>
        </w:rPr>
        <w:t>乙方</w:t>
      </w:r>
      <w:r>
        <w:rPr>
          <w:rFonts w:hint="eastAsia" w:ascii="宋体" w:hAnsi="宋体" w:eastAsia="宋体" w:cs="宋体"/>
          <w:b/>
          <w:bCs/>
          <w:color w:val="auto"/>
          <w:szCs w:val="21"/>
          <w:highlight w:val="none"/>
          <w:lang w:val="en-US" w:eastAsia="zh-CN"/>
        </w:rPr>
        <w:t>之日起一年，或本项目合同最终结算金额达到最高执行总价，以上两个条件任何一个条件先满足合同终止</w:t>
      </w:r>
      <w:r>
        <w:rPr>
          <w:rFonts w:hint="eastAsia"/>
          <w:b/>
          <w:bCs/>
          <w:color w:val="auto"/>
          <w:highlight w:val="none"/>
          <w:lang w:eastAsia="zh-CN"/>
        </w:rPr>
        <w:t>。</w:t>
      </w:r>
    </w:p>
    <w:p w14:paraId="2A38F9E4">
      <w:pPr>
        <w:adjustRightInd w:val="0"/>
        <w:snapToGrid w:val="0"/>
        <w:spacing w:line="360" w:lineRule="auto"/>
        <w:ind w:firstLine="420" w:firstLineChars="200"/>
        <w:rPr>
          <w:rFonts w:hint="eastAsia" w:ascii="宋体" w:hAnsi="宋体" w:cs="宋体"/>
          <w:color w:val="auto"/>
          <w:szCs w:val="21"/>
          <w:highlight w:val="none"/>
        </w:rPr>
      </w:pPr>
      <w:bookmarkStart w:id="5" w:name="_Toc19515387"/>
      <w:r>
        <w:rPr>
          <w:rFonts w:hint="eastAsia" w:ascii="宋体" w:hAnsi="宋体" w:cs="宋体"/>
          <w:color w:val="auto"/>
          <w:szCs w:val="21"/>
          <w:highlight w:val="none"/>
        </w:rPr>
        <w:t>四、履行期限、地点及方式:</w:t>
      </w:r>
      <w:bookmarkEnd w:id="5"/>
    </w:p>
    <w:p w14:paraId="7D94C017">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1、履行期限：合同有效期为一年，在合同有效期内，如果甲方按照合同</w:t>
      </w:r>
      <w:r>
        <w:rPr>
          <w:rFonts w:hint="eastAsia" w:ascii="宋体" w:hAnsi="宋体" w:cs="宋体"/>
          <w:color w:val="auto"/>
          <w:szCs w:val="21"/>
          <w:highlight w:val="none"/>
          <w:lang w:val="en-US" w:eastAsia="zh-CN"/>
        </w:rPr>
        <w:t>清单</w:t>
      </w:r>
      <w:r>
        <w:rPr>
          <w:rFonts w:hint="eastAsia" w:ascii="宋体" w:hAnsi="宋体" w:cs="宋体"/>
          <w:color w:val="auto"/>
          <w:szCs w:val="21"/>
          <w:highlight w:val="none"/>
        </w:rPr>
        <w:t>项</w:t>
      </w:r>
      <w:r>
        <w:rPr>
          <w:rFonts w:hint="eastAsia" w:ascii="宋体" w:hAnsi="宋体" w:cs="宋体"/>
          <w:color w:val="auto"/>
          <w:szCs w:val="21"/>
          <w:highlight w:val="none"/>
          <w:lang w:val="en-US" w:eastAsia="zh-CN"/>
        </w:rPr>
        <w:t>实施服务</w:t>
      </w:r>
      <w:r>
        <w:rPr>
          <w:rFonts w:hint="eastAsia" w:ascii="宋体" w:hAnsi="宋体" w:cs="宋体"/>
          <w:color w:val="auto"/>
          <w:szCs w:val="21"/>
          <w:highlight w:val="none"/>
        </w:rPr>
        <w:t>，当金额</w:t>
      </w:r>
      <w:r>
        <w:rPr>
          <w:rFonts w:hint="eastAsia" w:ascii="宋体" w:hAnsi="宋体" w:cs="宋体"/>
          <w:color w:val="auto"/>
          <w:szCs w:val="21"/>
          <w:highlight w:val="none"/>
          <w:lang w:val="en-US" w:eastAsia="zh-CN"/>
        </w:rPr>
        <w:t>达到合同总</w:t>
      </w:r>
      <w:r>
        <w:rPr>
          <w:rFonts w:hint="eastAsia" w:ascii="宋体" w:hAnsi="宋体" w:cs="宋体"/>
          <w:color w:val="auto"/>
          <w:szCs w:val="21"/>
          <w:highlight w:val="none"/>
        </w:rPr>
        <w:t>预算金额</w:t>
      </w:r>
      <w:r>
        <w:rPr>
          <w:rFonts w:hint="eastAsia" w:ascii="宋体" w:hAnsi="宋体" w:cs="宋体"/>
          <w:color w:val="auto"/>
          <w:szCs w:val="21"/>
          <w:highlight w:val="none"/>
          <w:lang w:eastAsia="zh-CN"/>
        </w:rPr>
        <w:t>（肆拾伍万元整）</w:t>
      </w:r>
      <w:r>
        <w:rPr>
          <w:rFonts w:hint="eastAsia" w:ascii="宋体" w:hAnsi="宋体" w:cs="宋体"/>
          <w:color w:val="auto"/>
          <w:szCs w:val="21"/>
          <w:highlight w:val="none"/>
        </w:rPr>
        <w:t>后，合同自动终止</w:t>
      </w:r>
      <w:r>
        <w:rPr>
          <w:rFonts w:hint="eastAsia" w:ascii="宋体" w:hAnsi="宋体" w:cs="宋体"/>
          <w:color w:val="auto"/>
          <w:szCs w:val="21"/>
          <w:highlight w:val="none"/>
          <w:lang w:eastAsia="zh-CN"/>
        </w:rPr>
        <w:t>。</w:t>
      </w:r>
    </w:p>
    <w:p w14:paraId="1603E86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2、地点：</w:t>
      </w:r>
      <w:r>
        <w:rPr>
          <w:rFonts w:hint="eastAsia" w:ascii="宋体" w:hAnsi="宋体" w:cs="宋体"/>
          <w:color w:val="auto"/>
          <w:szCs w:val="21"/>
          <w:highlight w:val="none"/>
          <w:lang w:val="en-US" w:eastAsia="zh-CN"/>
        </w:rPr>
        <w:t>甲方</w:t>
      </w:r>
      <w:r>
        <w:rPr>
          <w:rFonts w:hint="eastAsia" w:ascii="宋体" w:hAnsi="宋体" w:cs="宋体"/>
          <w:color w:val="auto"/>
          <w:szCs w:val="21"/>
          <w:highlight w:val="none"/>
        </w:rPr>
        <w:t>指定地点</w:t>
      </w:r>
    </w:p>
    <w:p w14:paraId="0DC6035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3、方式：</w:t>
      </w:r>
      <w:r>
        <w:rPr>
          <w:rFonts w:hint="eastAsia" w:ascii="宋体" w:hAnsi="宋体" w:cs="宋体"/>
          <w:color w:val="auto"/>
          <w:szCs w:val="21"/>
          <w:highlight w:val="none"/>
          <w:lang w:val="en-US" w:eastAsia="zh-CN"/>
        </w:rPr>
        <w:t>甲方</w:t>
      </w:r>
      <w:r>
        <w:rPr>
          <w:rFonts w:hint="eastAsia" w:ascii="宋体" w:hAnsi="宋体" w:cs="宋体"/>
          <w:color w:val="auto"/>
          <w:szCs w:val="21"/>
          <w:highlight w:val="none"/>
        </w:rPr>
        <w:t>指定方式</w:t>
      </w:r>
    </w:p>
    <w:p w14:paraId="00FD3AB8">
      <w:pPr>
        <w:adjustRightInd w:val="0"/>
        <w:snapToGrid w:val="0"/>
        <w:spacing w:line="360" w:lineRule="auto"/>
        <w:ind w:firstLine="420" w:firstLineChars="200"/>
        <w:rPr>
          <w:rFonts w:hint="eastAsia" w:ascii="宋体" w:hAnsi="宋体" w:eastAsia="宋体" w:cs="宋体"/>
          <w:color w:val="auto"/>
          <w:szCs w:val="21"/>
          <w:highlight w:val="none"/>
          <w:lang w:val="en-US" w:eastAsia="zh-CN"/>
        </w:rPr>
      </w:pPr>
      <w:bookmarkStart w:id="6" w:name="_Toc19515390"/>
      <w:r>
        <w:rPr>
          <w:rFonts w:hint="eastAsia" w:ascii="宋体" w:hAnsi="宋体" w:cs="宋体"/>
          <w:color w:val="auto"/>
          <w:szCs w:val="21"/>
          <w:highlight w:val="none"/>
        </w:rPr>
        <w:t>五、服务</w:t>
      </w:r>
      <w:bookmarkEnd w:id="6"/>
      <w:r>
        <w:rPr>
          <w:rFonts w:hint="eastAsia" w:ascii="宋体" w:hAnsi="宋体" w:cs="宋体"/>
          <w:color w:val="auto"/>
          <w:szCs w:val="21"/>
          <w:highlight w:val="none"/>
          <w:lang w:val="en-US" w:eastAsia="zh-CN"/>
        </w:rPr>
        <w:t>要求</w:t>
      </w:r>
    </w:p>
    <w:p w14:paraId="551BC820">
      <w:pPr>
        <w:adjustRightInd w:val="0"/>
        <w:snapToGrid w:val="0"/>
        <w:spacing w:line="360" w:lineRule="auto"/>
        <w:ind w:firstLine="420" w:firstLineChars="200"/>
        <w:rPr>
          <w:rFonts w:hint="eastAsia" w:ascii="宋体" w:hAnsi="宋体" w:cs="宋体"/>
          <w:color w:val="auto"/>
          <w:szCs w:val="21"/>
          <w:highlight w:val="none"/>
        </w:rPr>
      </w:pPr>
      <w:bookmarkStart w:id="7" w:name="_Toc19515391"/>
      <w:r>
        <w:rPr>
          <w:rFonts w:hint="eastAsia" w:ascii="宋体" w:hAnsi="宋体" w:cs="宋体"/>
          <w:color w:val="auto"/>
          <w:szCs w:val="21"/>
          <w:highlight w:val="none"/>
        </w:rPr>
        <w:t>1.该项目常驻维修人员不得少于</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人（不含管理人员</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6人中需</w:t>
      </w:r>
      <w:r>
        <w:rPr>
          <w:rFonts w:hint="eastAsia" w:ascii="宋体" w:hAnsi="宋体" w:cs="宋体"/>
          <w:color w:val="auto"/>
          <w:szCs w:val="21"/>
          <w:highlight w:val="none"/>
        </w:rPr>
        <w:t>含电焊工一名）。在进驻项目前一周，乙方须将各岗位配置人员的身份证、上岗证、专业技术证书或职业技能资格证书在甲方备案</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服务期间乙方作业人员应自带所需工具</w:t>
      </w:r>
      <w:r>
        <w:rPr>
          <w:rFonts w:hint="eastAsia" w:ascii="宋体" w:hAnsi="宋体" w:cs="宋体"/>
          <w:color w:val="auto"/>
          <w:szCs w:val="21"/>
          <w:highlight w:val="none"/>
        </w:rPr>
        <w:t>。</w:t>
      </w:r>
    </w:p>
    <w:p w14:paraId="4A2C379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2.在乙方服务过程中，如因人员劳动效率不高，达不到招标文件中的质量要求，乙方应无条件增加服务人员或时间，以确保服务质量要求。否则，</w:t>
      </w:r>
      <w:r>
        <w:rPr>
          <w:rFonts w:hint="eastAsia" w:ascii="宋体" w:hAnsi="宋体" w:cs="宋体"/>
          <w:color w:val="auto"/>
          <w:szCs w:val="21"/>
          <w:highlight w:val="none"/>
          <w:lang w:val="en-US" w:eastAsia="zh-CN"/>
        </w:rPr>
        <w:t>视为乙方根本违约，</w:t>
      </w:r>
      <w:r>
        <w:rPr>
          <w:rFonts w:hint="eastAsia" w:ascii="宋体" w:hAnsi="宋体" w:cs="宋体"/>
          <w:color w:val="auto"/>
          <w:szCs w:val="21"/>
          <w:highlight w:val="none"/>
        </w:rPr>
        <w:t>甲方将按照当</w:t>
      </w:r>
      <w:r>
        <w:rPr>
          <w:rFonts w:hint="eastAsia" w:ascii="宋体" w:hAnsi="宋体" w:cs="宋体"/>
          <w:color w:val="auto"/>
          <w:szCs w:val="21"/>
          <w:highlight w:val="none"/>
          <w:lang w:val="en-US" w:eastAsia="zh-CN"/>
        </w:rPr>
        <w:t>季</w:t>
      </w:r>
      <w:r>
        <w:rPr>
          <w:rFonts w:hint="eastAsia" w:ascii="宋体" w:hAnsi="宋体" w:cs="宋体"/>
          <w:color w:val="auto"/>
          <w:szCs w:val="21"/>
          <w:highlight w:val="none"/>
        </w:rPr>
        <w:t>服务费的80%支付，情节严重的，甲方有权单方终止合同</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并要求乙方赔偿甲方所受损失</w:t>
      </w:r>
      <w:r>
        <w:rPr>
          <w:rFonts w:hint="eastAsia" w:ascii="宋体" w:hAnsi="宋体" w:cs="宋体"/>
          <w:color w:val="auto"/>
          <w:szCs w:val="21"/>
          <w:highlight w:val="none"/>
        </w:rPr>
        <w:t>。</w:t>
      </w:r>
    </w:p>
    <w:p w14:paraId="13FA3B3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（1）派驻的项目经理需责任心强，具有一定的工作经验和业绩，具有一定的沟通协调能力和文字表达能力</w:t>
      </w:r>
      <w:r>
        <w:rPr>
          <w:rFonts w:hint="eastAsia" w:ascii="宋体" w:hAnsi="宋体" w:cs="宋体"/>
          <w:color w:val="auto"/>
          <w:szCs w:val="21"/>
          <w:highlight w:val="none"/>
          <w:lang w:eastAsia="zh-CN"/>
        </w:rPr>
        <w:t>，</w:t>
      </w:r>
      <w:r>
        <w:rPr>
          <w:rFonts w:hint="eastAsia" w:ascii="宋体" w:hAnsi="宋体" w:cs="宋体"/>
          <w:color w:val="auto"/>
          <w:szCs w:val="21"/>
          <w:highlight w:val="none"/>
        </w:rPr>
        <w:t>一般情况下所派驻的项目经理不得随意更换，如必须更换，必须征得甲方书面同意。</w:t>
      </w:r>
    </w:p>
    <w:p w14:paraId="0F82F628">
      <w:pPr>
        <w:adjustRightInd w:val="0"/>
        <w:snapToGrid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2）新的管理团队上岗前必须通过专业培训，更换的管理人员必须提前三天到岗办理交接手续，员工必须一周内到岗，并充分听取甲方意见，否则，旧的管理团队不得离开岗位。项目经理的主管副总每月必须保证至少有一天在本院工作。</w:t>
      </w:r>
    </w:p>
    <w:p w14:paraId="7D218DC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（3）派驻的从业人员，</w:t>
      </w:r>
      <w:r>
        <w:rPr>
          <w:rFonts w:hint="eastAsia" w:ascii="宋体" w:hAnsi="宋体" w:cs="宋体"/>
          <w:color w:val="auto"/>
          <w:szCs w:val="21"/>
          <w:highlight w:val="none"/>
          <w:lang w:val="en-US" w:eastAsia="zh-CN"/>
        </w:rPr>
        <w:t>法定工作年龄</w:t>
      </w:r>
      <w:r>
        <w:rPr>
          <w:rFonts w:hint="eastAsia" w:ascii="宋体" w:hAnsi="宋体" w:cs="宋体"/>
          <w:color w:val="auto"/>
          <w:szCs w:val="21"/>
          <w:highlight w:val="none"/>
        </w:rPr>
        <w:t>，身体健康。</w:t>
      </w:r>
    </w:p>
    <w:p w14:paraId="188C10C4">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乙方须对作业人员进行安全生产作业培训，保证作业人员的人身安全。</w:t>
      </w:r>
    </w:p>
    <w:p w14:paraId="7FC0C026">
      <w:pPr>
        <w:adjustRightInd w:val="0"/>
        <w:snapToGrid w:val="0"/>
        <w:spacing w:line="360" w:lineRule="auto"/>
        <w:ind w:firstLine="420" w:firstLineChars="200"/>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（5）本合同服务期内，乙方作业人员的人身安全由乙方公司全权负责。若发生乙方作业人员的人身或财产损失的，由乙方全权负责，与甲方无关。</w:t>
      </w:r>
    </w:p>
    <w:p w14:paraId="612932C6">
      <w:pPr>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乙方及其工作人员应遵守和严格执行甲方规章制度和安保规定，不应因乙方作业人员责任出现失窃或其他安全事故。甲方支付的费用中已包含安全措施费等相关费用，乙方作业人员给甲方或任何第三方造成人身或财产损失的，</w:t>
      </w:r>
      <w:r>
        <w:rPr>
          <w:rFonts w:hint="eastAsia" w:ascii="宋体" w:hAnsi="宋体" w:cs="宋体"/>
          <w:color w:val="auto"/>
          <w:szCs w:val="21"/>
          <w:highlight w:val="none"/>
          <w:lang w:val="en-US" w:eastAsia="zh-CN"/>
        </w:rPr>
        <w:t>或第三方人员对乙方人员造成人身或财产损失的，</w:t>
      </w:r>
      <w:r>
        <w:rPr>
          <w:rFonts w:hint="eastAsia" w:ascii="宋体" w:hAnsi="宋体" w:eastAsia="宋体" w:cs="宋体"/>
          <w:color w:val="auto"/>
          <w:szCs w:val="21"/>
          <w:highlight w:val="none"/>
          <w:lang w:val="en-US" w:eastAsia="zh-CN"/>
        </w:rPr>
        <w:t>乙方应全额赔偿。甲方因此遭遇索赔的，有权向乙方追偿。</w:t>
      </w:r>
    </w:p>
    <w:p w14:paraId="1536FCA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服务质量考核</w:t>
      </w:r>
    </w:p>
    <w:p w14:paraId="0C8A1A8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每月甲方根据乙方具体的维修工作量、工作内容、服务态度对乙方的服务进行考核，具体有现场巡查考核、工作汇报考核、电话回访护士长考核、满意度调查等综合评分考核方式。</w:t>
      </w:r>
    </w:p>
    <w:p w14:paraId="07943F6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乙方必须于每月10日前向甲方提供当月各岗位服务人员名单和作业人员分布表，以备检查和抽查使用。</w:t>
      </w:r>
    </w:p>
    <w:p w14:paraId="0A58447C">
      <w:pPr>
        <w:adjustRightInd w:val="0"/>
        <w:snapToGrid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3</w:t>
      </w:r>
      <w:r>
        <w:rPr>
          <w:rFonts w:hint="eastAsia" w:ascii="宋体" w:hAnsi="宋体" w:cs="宋体"/>
          <w:color w:val="auto"/>
          <w:szCs w:val="21"/>
          <w:highlight w:val="none"/>
          <w:lang w:eastAsia="zh-CN"/>
        </w:rPr>
        <w:t>）</w:t>
      </w:r>
      <w:r>
        <w:rPr>
          <w:rFonts w:hint="eastAsia" w:ascii="宋体" w:hAnsi="宋体" w:cs="宋体"/>
          <w:color w:val="auto"/>
          <w:szCs w:val="21"/>
          <w:highlight w:val="none"/>
        </w:rPr>
        <w:t>经综合考核，乙方连续三个月考核不合格，</w:t>
      </w:r>
      <w:r>
        <w:rPr>
          <w:rFonts w:hint="eastAsia" w:ascii="宋体" w:hAnsi="宋体" w:cs="宋体"/>
          <w:color w:val="auto"/>
          <w:szCs w:val="21"/>
          <w:highlight w:val="none"/>
          <w:lang w:val="en-US" w:eastAsia="zh-CN"/>
        </w:rPr>
        <w:t>视为乙方根本违约，</w:t>
      </w:r>
      <w:r>
        <w:rPr>
          <w:rFonts w:hint="eastAsia" w:ascii="宋体" w:hAnsi="宋体" w:cs="宋体"/>
          <w:color w:val="auto"/>
          <w:szCs w:val="21"/>
          <w:highlight w:val="none"/>
        </w:rPr>
        <w:t>甲方随时终止合同</w:t>
      </w:r>
      <w:r>
        <w:rPr>
          <w:rFonts w:hint="eastAsia" w:ascii="宋体" w:hAnsi="宋体" w:cs="宋体"/>
          <w:color w:val="auto"/>
          <w:szCs w:val="21"/>
          <w:highlight w:val="none"/>
          <w:lang w:eastAsia="zh-CN"/>
        </w:rPr>
        <w:t>，</w:t>
      </w:r>
      <w:bookmarkStart w:id="8" w:name="OLE_LINK3"/>
      <w:r>
        <w:rPr>
          <w:rFonts w:hint="eastAsia" w:ascii="宋体" w:hAnsi="宋体" w:cs="宋体"/>
          <w:color w:val="auto"/>
          <w:szCs w:val="21"/>
          <w:highlight w:val="none"/>
          <w:lang w:val="en-US" w:eastAsia="zh-CN"/>
        </w:rPr>
        <w:t>并要求乙方支付甲方已付价款【15】%的违约金</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违约金不足以弥补甲方损失的，由乙方另行支付。</w:t>
      </w:r>
    </w:p>
    <w:bookmarkEnd w:id="8"/>
    <w:p w14:paraId="025B8E6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项目服务范围包括：</w:t>
      </w:r>
    </w:p>
    <w:p w14:paraId="6621884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日常</w:t>
      </w:r>
      <w:r>
        <w:rPr>
          <w:rFonts w:hint="eastAsia" w:ascii="宋体" w:hAnsi="宋体" w:cs="宋体"/>
          <w:color w:val="auto"/>
          <w:szCs w:val="21"/>
          <w:highlight w:val="none"/>
        </w:rPr>
        <w:t>维修及巡检工作</w:t>
      </w:r>
      <w:r>
        <w:rPr>
          <w:rFonts w:hint="eastAsia" w:ascii="宋体" w:hAnsi="宋体" w:cs="宋体"/>
          <w:color w:val="auto"/>
          <w:szCs w:val="21"/>
          <w:highlight w:val="none"/>
          <w:lang w:eastAsia="zh-CN"/>
        </w:rPr>
        <w:t>、</w:t>
      </w:r>
      <w:r>
        <w:rPr>
          <w:rFonts w:hint="eastAsia" w:ascii="宋体" w:hAnsi="宋体" w:cs="宋体"/>
          <w:color w:val="auto"/>
          <w:szCs w:val="21"/>
          <w:highlight w:val="none"/>
        </w:rPr>
        <w:t>零星用工</w:t>
      </w:r>
      <w:r>
        <w:rPr>
          <w:rFonts w:hint="eastAsia" w:ascii="宋体" w:hAnsi="宋体" w:cs="宋体"/>
          <w:color w:val="auto"/>
          <w:szCs w:val="21"/>
          <w:highlight w:val="none"/>
          <w:lang w:eastAsia="zh-CN"/>
        </w:rPr>
        <w:t>、医院小型维修项目</w:t>
      </w:r>
      <w:r>
        <w:rPr>
          <w:rFonts w:hint="eastAsia" w:ascii="宋体" w:hAnsi="宋体" w:cs="宋体"/>
          <w:color w:val="auto"/>
          <w:szCs w:val="21"/>
          <w:highlight w:val="none"/>
        </w:rPr>
        <w:t>。</w:t>
      </w:r>
    </w:p>
    <w:p w14:paraId="3946784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1.总体要求</w:t>
      </w:r>
    </w:p>
    <w:p w14:paraId="0B6785A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通过标准化、专业化、规范化的服务，确保医院构筑物正常使用，保持房屋建筑物设施完好，维护医院的医疗秩序。同时通过强化风险管理，实行“养修并重，预防为主”的方针，有效地提高构筑物的使用寿命。</w:t>
      </w:r>
    </w:p>
    <w:p w14:paraId="38233A4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.服务时间 </w:t>
      </w:r>
    </w:p>
    <w:p w14:paraId="0714856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医院医疗工作的特殊性，决</w:t>
      </w:r>
      <w:r>
        <w:rPr>
          <w:rFonts w:hint="eastAsia" w:ascii="宋体" w:hAnsi="宋体" w:cs="宋体"/>
          <w:color w:val="auto"/>
          <w:szCs w:val="21"/>
          <w:highlight w:val="none"/>
        </w:rPr>
        <w:t>定着部分工作必须</w:t>
      </w:r>
      <w:r>
        <w:rPr>
          <w:rFonts w:hint="eastAsia" w:ascii="宋体" w:hAnsi="宋体" w:cs="宋体"/>
          <w:color w:val="auto"/>
          <w:szCs w:val="21"/>
          <w:highlight w:val="none"/>
          <w:lang w:val="en-US" w:eastAsia="zh-CN"/>
        </w:rPr>
        <w:t>全年全天</w:t>
      </w:r>
      <w:r>
        <w:rPr>
          <w:rFonts w:hint="eastAsia" w:ascii="宋体" w:hAnsi="宋体" w:cs="宋体"/>
          <w:color w:val="auto"/>
          <w:szCs w:val="21"/>
          <w:highlight w:val="none"/>
        </w:rPr>
        <w:t>工作制，为医院医疗工作提供保障，所以要有24小时值班制度。需要有值班人员</w:t>
      </w:r>
      <w:r>
        <w:rPr>
          <w:rFonts w:hint="eastAsia" w:ascii="宋体" w:hAnsi="宋体" w:cs="宋体"/>
          <w:color w:val="auto"/>
          <w:szCs w:val="21"/>
          <w:highlight w:val="none"/>
          <w:lang w:val="en-US" w:eastAsia="zh-CN"/>
        </w:rPr>
        <w:t>在岗</w:t>
      </w:r>
      <w:r>
        <w:rPr>
          <w:rFonts w:hint="eastAsia" w:ascii="宋体" w:hAnsi="宋体" w:cs="宋体"/>
          <w:color w:val="auto"/>
          <w:szCs w:val="21"/>
          <w:highlight w:val="none"/>
        </w:rPr>
        <w:t>，确保医院维修工作。</w:t>
      </w:r>
    </w:p>
    <w:p w14:paraId="0141000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.服务方式</w:t>
      </w:r>
    </w:p>
    <w:p w14:paraId="2BB6AC90">
      <w:pPr>
        <w:adjustRightInd w:val="0"/>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本项目采取</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包工包料形式</w:t>
      </w:r>
      <w:r>
        <w:rPr>
          <w:rFonts w:hint="eastAsia" w:ascii="宋体" w:hAnsi="宋体" w:cs="宋体"/>
          <w:color w:val="auto"/>
          <w:szCs w:val="21"/>
          <w:highlight w:val="none"/>
          <w:lang w:eastAsia="zh-CN"/>
        </w:rPr>
        <w:t>。</w:t>
      </w:r>
    </w:p>
    <w:p w14:paraId="593EF97F">
      <w:pPr>
        <w:adjustRightInd w:val="0"/>
        <w:snapToGrid w:val="0"/>
        <w:spacing w:line="360" w:lineRule="auto"/>
        <w:ind w:firstLine="420" w:firstLineChars="200"/>
        <w:rPr>
          <w:rFonts w:hint="eastAsia" w:ascii="宋体" w:hAnsi="宋体" w:eastAsia="宋体" w:cs="宋体"/>
          <w:b/>
          <w:bCs/>
          <w:color w:val="auto"/>
          <w:szCs w:val="21"/>
          <w:highlight w:val="none"/>
          <w:lang w:eastAsia="zh-CN"/>
        </w:rPr>
      </w:pPr>
      <w:r>
        <w:rPr>
          <w:rFonts w:hint="eastAsia" w:ascii="宋体" w:hAnsi="宋体" w:cs="宋体"/>
          <w:color w:val="auto"/>
          <w:szCs w:val="21"/>
          <w:highlight w:val="none"/>
        </w:rPr>
        <w:t>报价明细表列出的项目，合同期内不再调整人工费和材料费</w:t>
      </w:r>
      <w:r>
        <w:rPr>
          <w:rFonts w:hint="eastAsia" w:ascii="宋体" w:hAnsi="宋体" w:cs="宋体"/>
          <w:color w:val="auto"/>
          <w:szCs w:val="21"/>
          <w:highlight w:val="none"/>
          <w:lang w:eastAsia="zh-CN"/>
        </w:rPr>
        <w:t>。</w:t>
      </w:r>
      <w:r>
        <w:rPr>
          <w:rFonts w:hint="eastAsia" w:ascii="宋体" w:hAnsi="宋体" w:cs="宋体"/>
          <w:b/>
          <w:bCs/>
          <w:color w:val="auto"/>
          <w:szCs w:val="21"/>
          <w:highlight w:val="none"/>
          <w:lang w:val="en-US" w:eastAsia="zh-CN"/>
        </w:rPr>
        <w:t>在实际服务过程中若出现现有</w:t>
      </w:r>
      <w:r>
        <w:rPr>
          <w:rFonts w:hint="eastAsia" w:ascii="宋体" w:hAnsi="宋体" w:cs="宋体"/>
          <w:b/>
          <w:bCs/>
          <w:color w:val="auto"/>
          <w:szCs w:val="21"/>
          <w:highlight w:val="none"/>
          <w:lang w:eastAsia="zh-CN"/>
        </w:rPr>
        <w:t>表单中未列项目，根据</w:t>
      </w:r>
      <w:r>
        <w:rPr>
          <w:rFonts w:hint="eastAsia" w:ascii="宋体" w:hAnsi="宋体" w:cs="宋体"/>
          <w:b/>
          <w:bCs/>
          <w:color w:val="auto"/>
          <w:szCs w:val="21"/>
          <w:highlight w:val="none"/>
          <w:lang w:val="en-US" w:eastAsia="zh-CN"/>
        </w:rPr>
        <w:t>实际</w:t>
      </w:r>
      <w:r>
        <w:rPr>
          <w:rFonts w:hint="eastAsia" w:ascii="宋体" w:hAnsi="宋体" w:cs="宋体"/>
          <w:b/>
          <w:bCs/>
          <w:color w:val="auto"/>
          <w:szCs w:val="21"/>
          <w:highlight w:val="none"/>
          <w:lang w:eastAsia="zh-CN"/>
        </w:rPr>
        <w:t>维修内容和实际用工量</w:t>
      </w:r>
      <w:r>
        <w:rPr>
          <w:rFonts w:hint="eastAsia" w:ascii="宋体" w:hAnsi="宋体" w:cs="宋体"/>
          <w:b/>
          <w:bCs/>
          <w:color w:val="auto"/>
          <w:szCs w:val="21"/>
          <w:highlight w:val="none"/>
          <w:lang w:val="en-US" w:eastAsia="zh-CN"/>
        </w:rPr>
        <w:t>情况</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lang w:val="en-US" w:eastAsia="zh-CN"/>
        </w:rPr>
        <w:t>甲方确认的综合单价*</w:t>
      </w:r>
      <w:r>
        <w:rPr>
          <w:rFonts w:hint="eastAsia" w:ascii="宋体" w:hAnsi="宋体" w:cs="宋体"/>
          <w:b/>
          <w:bCs/>
          <w:color w:val="auto"/>
          <w:szCs w:val="21"/>
          <w:highlight w:val="none"/>
          <w:u w:val="single"/>
          <w:lang w:val="en-US" w:eastAsia="zh-CN"/>
        </w:rPr>
        <w:t xml:space="preserve">     </w:t>
      </w:r>
      <w:r>
        <w:rPr>
          <w:rFonts w:hint="eastAsia" w:ascii="宋体" w:hAnsi="宋体" w:cs="宋体"/>
          <w:b/>
          <w:bCs/>
          <w:color w:val="auto"/>
          <w:szCs w:val="21"/>
          <w:highlight w:val="none"/>
          <w:lang w:val="en-US" w:eastAsia="zh-CN"/>
        </w:rPr>
        <w:t>%，最终结算金额</w:t>
      </w:r>
      <w:r>
        <w:rPr>
          <w:rFonts w:hint="eastAsia" w:ascii="宋体" w:hAnsi="宋体" w:cs="宋体"/>
          <w:b/>
          <w:bCs/>
          <w:color w:val="auto"/>
          <w:szCs w:val="21"/>
          <w:highlight w:val="none"/>
          <w:lang w:eastAsia="zh-CN"/>
        </w:rPr>
        <w:t>以甲方总务部管理人员和使用科室签字工单为准。</w:t>
      </w:r>
    </w:p>
    <w:p w14:paraId="176EC0D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.服务人员要求</w:t>
      </w:r>
    </w:p>
    <w:p w14:paraId="27679628">
      <w:pPr>
        <w:adjustRightInd w:val="0"/>
        <w:snapToGrid w:val="0"/>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本项目服务须配备相关管理人员，包括现场管理人员、专业技术及操作人员，项目经理应取得建筑工程贰级及以上建造师注册证书，掌握基本的建筑法律法规。专业技术、操作人员有资格证书的需要提供证书。投标文件中确定的项目负责人（项目经理）具有</w:t>
      </w:r>
      <w:r>
        <w:rPr>
          <w:rFonts w:hint="eastAsia" w:ascii="宋体" w:hAnsi="宋体" w:cs="宋体"/>
          <w:color w:val="auto"/>
          <w:szCs w:val="21"/>
          <w:highlight w:val="none"/>
          <w:lang w:eastAsia="zh-CN"/>
        </w:rPr>
        <w:t>建安</w:t>
      </w:r>
      <w:r>
        <w:rPr>
          <w:rFonts w:hint="eastAsia" w:ascii="宋体" w:hAnsi="宋体" w:cs="宋体"/>
          <w:color w:val="auto"/>
          <w:szCs w:val="21"/>
          <w:highlight w:val="none"/>
        </w:rPr>
        <w:t>B类证书，证书须齐全且在有效期内。</w:t>
      </w:r>
      <w:r>
        <w:rPr>
          <w:rFonts w:hint="eastAsia" w:ascii="宋体" w:hAnsi="宋体" w:cs="宋体"/>
          <w:color w:val="auto"/>
          <w:szCs w:val="21"/>
          <w:highlight w:val="none"/>
          <w:lang w:val="en-US" w:eastAsia="zh-CN"/>
        </w:rPr>
        <w:t>乙方须对相关人员资质的真实性、有效性负责，否则因此造成的人身损失或财产损失，由乙方负责赔偿。甲方因此遭索赔的，有权向乙方追偿。</w:t>
      </w:r>
    </w:p>
    <w:p w14:paraId="21E771E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为了确保医院医疗工作正常运转，本项目要求</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在医院的维修</w:t>
      </w:r>
      <w:r>
        <w:rPr>
          <w:rFonts w:hint="eastAsia" w:ascii="宋体" w:hAnsi="宋体" w:cs="宋体"/>
          <w:color w:val="auto"/>
          <w:szCs w:val="21"/>
          <w:highlight w:val="none"/>
          <w:lang w:val="en-US" w:eastAsia="zh-CN"/>
        </w:rPr>
        <w:t>工作</w:t>
      </w:r>
      <w:r>
        <w:rPr>
          <w:rFonts w:hint="eastAsia" w:ascii="宋体" w:hAnsi="宋体" w:cs="宋体"/>
          <w:color w:val="auto"/>
          <w:szCs w:val="21"/>
          <w:highlight w:val="none"/>
        </w:rPr>
        <w:t>人员不少于</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人（不含管理人员</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6人中需</w:t>
      </w:r>
      <w:r>
        <w:rPr>
          <w:rFonts w:hint="eastAsia" w:ascii="宋体" w:hAnsi="宋体" w:cs="宋体"/>
          <w:color w:val="auto"/>
          <w:szCs w:val="21"/>
          <w:highlight w:val="none"/>
        </w:rPr>
        <w:t>含电焊工一名）。</w:t>
      </w:r>
    </w:p>
    <w:p w14:paraId="3BE0944E">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本项目不得转包、分包。</w:t>
      </w:r>
    </w:p>
    <w:p w14:paraId="32D749DA">
      <w:pPr>
        <w:adjustRightInd w:val="0"/>
        <w:snapToGrid w:val="0"/>
        <w:spacing w:line="360" w:lineRule="auto"/>
        <w:ind w:firstLine="420" w:firstLineChars="200"/>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5.质量保修期：所有施工质保一年，防水施工质保六年。</w:t>
      </w:r>
    </w:p>
    <w:p w14:paraId="437E92F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六、验收</w:t>
      </w:r>
      <w:bookmarkEnd w:id="7"/>
    </w:p>
    <w:p w14:paraId="7ABFCE0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1、验收：乙方完成服务内容后，向甲方提出验收申请，甲方接到乙方验收申请后组织验收（必要时可聘请相应专家或委托相应部门验收），验收合格后，出具使用验收合格证明。</w:t>
      </w:r>
    </w:p>
    <w:p w14:paraId="0E245B0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、最终验收：最终验收结果作为付款依据，乙方填写验收单，并向甲方提交实施过程中的所有资料，以便甲方日后管理和维护。</w:t>
      </w:r>
    </w:p>
    <w:p w14:paraId="28F0B66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、验收依据：</w:t>
      </w:r>
    </w:p>
    <w:p w14:paraId="166171A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-1、合同文本、合同附件、竞争性磋商文件、成交供应商的响应文件。</w:t>
      </w:r>
    </w:p>
    <w:p w14:paraId="4840FFD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-2、国内相应的标准、规范。</w:t>
      </w:r>
    </w:p>
    <w:p w14:paraId="2E475B0D">
      <w:pPr>
        <w:adjustRightInd w:val="0"/>
        <w:snapToGrid w:val="0"/>
        <w:spacing w:line="360" w:lineRule="auto"/>
        <w:ind w:firstLine="420" w:firstLineChars="200"/>
        <w:rPr>
          <w:rFonts w:hint="eastAsia" w:ascii="宋体" w:hAnsi="宋体" w:cs="宋体"/>
          <w:color w:val="auto"/>
          <w:szCs w:val="21"/>
          <w:highlight w:val="none"/>
        </w:rPr>
      </w:pPr>
      <w:bookmarkStart w:id="9" w:name="_Toc19515392"/>
      <w:r>
        <w:rPr>
          <w:rFonts w:hint="eastAsia" w:ascii="宋体" w:hAnsi="宋体" w:cs="宋体"/>
          <w:color w:val="auto"/>
          <w:szCs w:val="21"/>
          <w:highlight w:val="none"/>
        </w:rPr>
        <w:t>七、违约责任</w:t>
      </w:r>
      <w:bookmarkEnd w:id="9"/>
    </w:p>
    <w:p w14:paraId="4880D12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1、按《中华人民共和国民法典》中的相关条款执行。</w:t>
      </w:r>
    </w:p>
    <w:p w14:paraId="286727F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2、乙方履约延误</w:t>
      </w:r>
    </w:p>
    <w:p w14:paraId="68AE6C9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2-1、如乙方事先未征得甲方同意并得到甲方的谅解而单方面延迟执行合同，将按违约终止合同。</w:t>
      </w:r>
    </w:p>
    <w:p w14:paraId="2CBFAFD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并要求乙方支付甲方已付价款【】%的违约金</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违约金不足以弥补甲方损失的，由乙方另行支付。</w:t>
      </w:r>
      <w:r>
        <w:rPr>
          <w:rFonts w:hint="eastAsia" w:ascii="宋体" w:hAnsi="宋体" w:cs="宋体"/>
          <w:color w:val="auto"/>
          <w:szCs w:val="21"/>
          <w:highlight w:val="none"/>
        </w:rPr>
        <w:t>。</w:t>
      </w:r>
    </w:p>
    <w:p w14:paraId="0D34F6A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3、违约终止合同：未按合同要求提供服务或不能满足技术要求，</w:t>
      </w:r>
      <w:r>
        <w:rPr>
          <w:rFonts w:hint="eastAsia" w:ascii="宋体" w:hAnsi="宋体" w:cs="宋体"/>
          <w:color w:val="auto"/>
          <w:szCs w:val="21"/>
          <w:highlight w:val="none"/>
          <w:lang w:val="en-US" w:eastAsia="zh-CN"/>
        </w:rPr>
        <w:t>乙方应在接到甲方整改通知后【】日内完成整改。乙方拒不整改或整改【】次后仍无法满足甲方要求，视为乙方根本违约，</w:t>
      </w:r>
      <w:r>
        <w:rPr>
          <w:rFonts w:hint="eastAsia" w:ascii="宋体" w:hAnsi="宋体" w:cs="宋体"/>
          <w:color w:val="auto"/>
          <w:szCs w:val="21"/>
          <w:highlight w:val="none"/>
        </w:rPr>
        <w:t>甲方有权终止合同，</w:t>
      </w:r>
      <w:bookmarkStart w:id="10" w:name="OLE_LINK4"/>
      <w:r>
        <w:rPr>
          <w:rFonts w:hint="eastAsia" w:ascii="宋体" w:hAnsi="宋体" w:cs="宋体"/>
          <w:color w:val="auto"/>
          <w:szCs w:val="21"/>
          <w:highlight w:val="none"/>
          <w:lang w:val="en-US" w:eastAsia="zh-CN"/>
        </w:rPr>
        <w:t>并要求乙方支付甲方已付价款【】%的违约金</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违约金不足以弥补甲方损失的，由乙方另行支付。</w:t>
      </w:r>
      <w:bookmarkEnd w:id="10"/>
      <w:r>
        <w:rPr>
          <w:rFonts w:hint="eastAsia" w:ascii="宋体" w:hAnsi="宋体" w:cs="宋体"/>
          <w:color w:val="auto"/>
          <w:szCs w:val="21"/>
          <w:highlight w:val="none"/>
        </w:rPr>
        <w:t>同时按</w:t>
      </w:r>
      <w:r>
        <w:rPr>
          <w:rFonts w:hint="eastAsia" w:ascii="宋体" w:hAnsi="宋体" w:cs="宋体"/>
          <w:color w:val="auto"/>
          <w:szCs w:val="21"/>
          <w:highlight w:val="none"/>
          <w:lang w:eastAsia="zh-CN"/>
        </w:rPr>
        <w:t>《</w:t>
      </w:r>
      <w:r>
        <w:rPr>
          <w:rFonts w:hint="eastAsia" w:ascii="宋体" w:hAnsi="宋体" w:cs="宋体"/>
          <w:color w:val="auto"/>
          <w:szCs w:val="21"/>
          <w:highlight w:val="none"/>
        </w:rPr>
        <w:t>政府采购法</w:t>
      </w:r>
      <w:r>
        <w:rPr>
          <w:rFonts w:hint="eastAsia" w:ascii="宋体" w:hAnsi="宋体" w:cs="宋体"/>
          <w:color w:val="auto"/>
          <w:szCs w:val="21"/>
          <w:highlight w:val="none"/>
          <w:lang w:eastAsia="zh-CN"/>
        </w:rPr>
        <w:t>》</w:t>
      </w:r>
      <w:r>
        <w:rPr>
          <w:rFonts w:hint="eastAsia" w:ascii="宋体" w:hAnsi="宋体" w:cs="宋体"/>
          <w:color w:val="auto"/>
          <w:szCs w:val="21"/>
          <w:highlight w:val="none"/>
        </w:rPr>
        <w:t>的有关规定进行相应的处罚。</w:t>
      </w:r>
    </w:p>
    <w:p w14:paraId="7F7BBDF3">
      <w:pPr>
        <w:adjustRightInd w:val="0"/>
        <w:snapToGrid w:val="0"/>
        <w:spacing w:line="360" w:lineRule="auto"/>
        <w:ind w:firstLine="420" w:firstLineChars="200"/>
        <w:rPr>
          <w:rFonts w:hint="eastAsia" w:ascii="宋体" w:hAnsi="宋体" w:cs="宋体"/>
          <w:color w:val="auto"/>
          <w:szCs w:val="21"/>
          <w:highlight w:val="none"/>
        </w:rPr>
      </w:pPr>
      <w:bookmarkStart w:id="11" w:name="_Toc19515393"/>
      <w:r>
        <w:rPr>
          <w:rFonts w:hint="eastAsia" w:ascii="宋体" w:hAnsi="宋体" w:cs="宋体"/>
          <w:color w:val="auto"/>
          <w:szCs w:val="21"/>
          <w:highlight w:val="none"/>
        </w:rPr>
        <w:t>八、合同组成</w:t>
      </w:r>
      <w:bookmarkEnd w:id="11"/>
    </w:p>
    <w:p w14:paraId="5FE2CE6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1、成交通知书</w:t>
      </w:r>
    </w:p>
    <w:p w14:paraId="73AADB0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2、合同文件</w:t>
      </w:r>
    </w:p>
    <w:p w14:paraId="46B3881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3、国家相关规范及标准</w:t>
      </w:r>
    </w:p>
    <w:p w14:paraId="0BC18B1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4、竞争性磋商文件</w:t>
      </w:r>
    </w:p>
    <w:p w14:paraId="20F5336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5、成交供应商的响应文件</w:t>
      </w:r>
    </w:p>
    <w:p w14:paraId="0F562A90">
      <w:pPr>
        <w:adjustRightInd w:val="0"/>
        <w:snapToGrid w:val="0"/>
        <w:spacing w:line="360" w:lineRule="auto"/>
        <w:ind w:firstLine="420" w:firstLineChars="200"/>
        <w:rPr>
          <w:rFonts w:hint="eastAsia" w:ascii="宋体" w:hAnsi="宋体" w:cs="宋体"/>
          <w:color w:val="auto"/>
          <w:szCs w:val="21"/>
          <w:highlight w:val="none"/>
        </w:rPr>
      </w:pPr>
      <w:bookmarkStart w:id="12" w:name="_Toc19515394"/>
      <w:r>
        <w:rPr>
          <w:rFonts w:hint="eastAsia" w:ascii="宋体" w:hAnsi="宋体" w:cs="宋体"/>
          <w:color w:val="auto"/>
          <w:szCs w:val="21"/>
          <w:highlight w:val="none"/>
        </w:rPr>
        <w:t>九、解决争议的方法</w:t>
      </w:r>
      <w:bookmarkEnd w:id="12"/>
    </w:p>
    <w:p w14:paraId="61948160">
      <w:pPr>
        <w:widowControl/>
        <w:autoSpaceDE w:val="0"/>
        <w:autoSpaceDN w:val="0"/>
        <w:snapToGrid w:val="0"/>
        <w:spacing w:line="360" w:lineRule="auto"/>
        <w:ind w:right="-110"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凡因本合同引起的或与本合同有关的争议，双方应友好协商解决。协商不成时，双方均同意采用以下第（ </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）种争议解决方式：</w:t>
      </w:r>
    </w:p>
    <w:p w14:paraId="1A2528AD">
      <w:pPr>
        <w:widowControl/>
        <w:autoSpaceDE w:val="0"/>
        <w:autoSpaceDN w:val="0"/>
        <w:snapToGrid w:val="0"/>
        <w:spacing w:line="360" w:lineRule="auto"/>
        <w:ind w:right="-110"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（1）、甲、乙双方均同意向（甲方所在地人民法院）提起诉讼。</w:t>
      </w:r>
    </w:p>
    <w:p w14:paraId="1BAF9C58">
      <w:pPr>
        <w:widowControl/>
        <w:autoSpaceDE w:val="0"/>
        <w:autoSpaceDN w:val="0"/>
        <w:snapToGrid w:val="0"/>
        <w:spacing w:line="360" w:lineRule="auto"/>
        <w:ind w:right="-110"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（2）、甲、乙双方均同意向（</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"http://www.baidu.com/s?wd=%E4%BB%B2%E8%A3%81%E5%A7%94%E5%91%98%E4%BC%9A&amp;tn=SE_PcZhidaonwhc_ngpagmjz&amp;rsv_dl=gh_pc_zhidao" \t "_blank" </w:instrText>
      </w:r>
      <w:r>
        <w:rPr>
          <w:rFonts w:hint="eastAsia" w:ascii="宋体" w:hAnsi="宋体" w:cs="宋体"/>
          <w:color w:val="auto"/>
          <w:szCs w:val="21"/>
          <w:highlight w:val="none"/>
        </w:rPr>
        <w:fldChar w:fldCharType="separate"/>
      </w:r>
      <w:r>
        <w:rPr>
          <w:rFonts w:hint="eastAsia" w:ascii="宋体" w:hAnsi="宋体" w:cs="宋体"/>
          <w:color w:val="auto"/>
          <w:kern w:val="0"/>
          <w:szCs w:val="21"/>
          <w:highlight w:val="none"/>
        </w:rPr>
        <w:t>仲裁委员会</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）提起仲裁。</w:t>
      </w:r>
    </w:p>
    <w:p w14:paraId="039D0A17">
      <w:pPr>
        <w:adjustRightInd w:val="0"/>
        <w:snapToGrid w:val="0"/>
        <w:spacing w:line="360" w:lineRule="auto"/>
        <w:ind w:firstLine="420" w:firstLineChars="200"/>
        <w:rPr>
          <w:rFonts w:hint="eastAsia" w:ascii="宋体" w:hAnsi="宋体" w:cs="宋体"/>
          <w:color w:val="auto"/>
          <w:szCs w:val="21"/>
          <w:highlight w:val="none"/>
        </w:rPr>
      </w:pPr>
      <w:bookmarkStart w:id="13" w:name="_Toc19515395"/>
      <w:r>
        <w:rPr>
          <w:rFonts w:hint="eastAsia" w:ascii="宋体" w:hAnsi="宋体" w:cs="宋体"/>
          <w:color w:val="auto"/>
          <w:szCs w:val="21"/>
          <w:highlight w:val="none"/>
        </w:rPr>
        <w:t>十、合同生效及其它</w:t>
      </w:r>
      <w:bookmarkEnd w:id="13"/>
    </w:p>
    <w:p w14:paraId="4EA24EA9">
      <w:pPr>
        <w:widowControl/>
        <w:autoSpaceDE w:val="0"/>
        <w:autoSpaceDN w:val="0"/>
        <w:snapToGrid w:val="0"/>
        <w:spacing w:line="360" w:lineRule="auto"/>
        <w:ind w:right="-110"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1、合同未尽事宜、由甲、乙双方协商，作为合同补充，与原合同具有同等法律效力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本合同附件与本合同具有同等法律效力</w:t>
      </w:r>
      <w:r>
        <w:rPr>
          <w:rFonts w:hint="eastAsia" w:ascii="宋体" w:hAnsi="宋体" w:cs="宋体"/>
          <w:color w:val="auto"/>
          <w:kern w:val="0"/>
          <w:szCs w:val="21"/>
          <w:highlight w:val="none"/>
        </w:rPr>
        <w:t>。</w:t>
      </w:r>
    </w:p>
    <w:p w14:paraId="4923CCF7">
      <w:pPr>
        <w:widowControl/>
        <w:tabs>
          <w:tab w:val="left" w:pos="8391"/>
        </w:tabs>
        <w:autoSpaceDE w:val="0"/>
        <w:autoSpaceDN w:val="0"/>
        <w:snapToGrid w:val="0"/>
        <w:spacing w:line="360" w:lineRule="auto"/>
        <w:ind w:right="-69"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2、 本合同正本一式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份，甲方、乙方双方分别执</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份，</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备案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份。</w:t>
      </w:r>
    </w:p>
    <w:p w14:paraId="1C36D6E5">
      <w:pPr>
        <w:widowControl/>
        <w:tabs>
          <w:tab w:val="left" w:pos="8391"/>
        </w:tabs>
        <w:autoSpaceDE w:val="0"/>
        <w:autoSpaceDN w:val="0"/>
        <w:snapToGrid w:val="0"/>
        <w:spacing w:line="360" w:lineRule="auto"/>
        <w:ind w:right="-69"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3、合同经甲乙双方盖章</w:t>
      </w:r>
      <w:r>
        <w:rPr>
          <w:rFonts w:hint="eastAsia" w:ascii="宋体" w:hAnsi="宋体" w:cs="宋体"/>
          <w:color w:val="auto"/>
          <w:kern w:val="0"/>
          <w:szCs w:val="21"/>
          <w:highlight w:val="none"/>
          <w:lang w:val="en-US" w:eastAsia="zh-CN"/>
        </w:rPr>
        <w:t>并</w:t>
      </w:r>
      <w:r>
        <w:rPr>
          <w:rFonts w:hint="eastAsia" w:ascii="宋体" w:hAnsi="宋体" w:cs="宋体"/>
          <w:color w:val="auto"/>
          <w:kern w:val="0"/>
          <w:szCs w:val="21"/>
          <w:highlight w:val="none"/>
        </w:rPr>
        <w:t>签字后生效，合同签订地点为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0CF68911">
      <w:pPr>
        <w:widowControl/>
        <w:tabs>
          <w:tab w:val="left" w:pos="8391"/>
        </w:tabs>
        <w:autoSpaceDE w:val="0"/>
        <w:autoSpaceDN w:val="0"/>
        <w:snapToGrid w:val="0"/>
        <w:spacing w:line="360" w:lineRule="auto"/>
        <w:ind w:right="-69" w:firstLine="420" w:firstLineChars="200"/>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4、生效时间：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p w14:paraId="57ACBE79">
      <w:pPr>
        <w:widowControl/>
        <w:tabs>
          <w:tab w:val="left" w:pos="8391"/>
        </w:tabs>
        <w:autoSpaceDE w:val="0"/>
        <w:autoSpaceDN w:val="0"/>
        <w:snapToGrid w:val="0"/>
        <w:spacing w:line="360" w:lineRule="auto"/>
        <w:ind w:right="-69" w:firstLine="735" w:firstLineChars="350"/>
        <w:textAlignment w:val="bottom"/>
        <w:rPr>
          <w:rFonts w:hint="eastAsia" w:ascii="宋体" w:hAnsi="宋体" w:cs="宋体"/>
          <w:color w:val="auto"/>
          <w:kern w:val="0"/>
          <w:szCs w:val="21"/>
          <w:highlight w:val="none"/>
        </w:rPr>
      </w:pPr>
    </w:p>
    <w:tbl>
      <w:tblPr>
        <w:tblStyle w:val="2"/>
        <w:tblW w:w="0" w:type="auto"/>
        <w:jc w:val="center"/>
        <w:tblLayout w:type="fixed"/>
        <w:tblCellMar>
          <w:top w:w="0" w:type="dxa"/>
          <w:left w:w="108" w:type="dxa"/>
          <w:bottom w:w="0" w:type="dxa"/>
          <w:right w:w="108" w:type="dxa"/>
        </w:tblCellMar>
      </w:tblPr>
      <w:tblGrid>
        <w:gridCol w:w="4643"/>
        <w:gridCol w:w="4643"/>
      </w:tblGrid>
      <w:tr w14:paraId="55415C19">
        <w:tblPrEx>
          <w:tblCellMar>
            <w:top w:w="0" w:type="dxa"/>
            <w:left w:w="108" w:type="dxa"/>
            <w:bottom w:w="0" w:type="dxa"/>
            <w:right w:w="108" w:type="dxa"/>
          </w:tblCellMar>
        </w:tblPrEx>
        <w:trPr>
          <w:jc w:val="center"/>
        </w:trPr>
        <w:tc>
          <w:tcPr>
            <w:tcW w:w="4643" w:type="dxa"/>
            <w:noWrap w:val="0"/>
            <w:vAlign w:val="top"/>
          </w:tcPr>
          <w:p w14:paraId="1DEC96F3">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甲方名称</w:t>
            </w:r>
            <w:r>
              <w:rPr>
                <w:rFonts w:hint="eastAsia" w:ascii="宋体" w:hAnsi="宋体" w:cs="宋体"/>
                <w:color w:val="auto"/>
                <w:spacing w:val="-20"/>
                <w:kern w:val="0"/>
                <w:szCs w:val="21"/>
                <w:highlight w:val="none"/>
              </w:rPr>
              <w:t>（盖章）</w:t>
            </w:r>
            <w:r>
              <w:rPr>
                <w:rFonts w:hint="eastAsia" w:ascii="宋体" w:hAnsi="宋体" w:cs="宋体"/>
                <w:color w:val="auto"/>
                <w:kern w:val="0"/>
                <w:szCs w:val="21"/>
                <w:highlight w:val="none"/>
              </w:rPr>
              <w:t>:</w:t>
            </w:r>
          </w:p>
          <w:p w14:paraId="1A0F559D">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7CC432D4">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法定</w:t>
            </w:r>
            <w:r>
              <w:rPr>
                <w:rFonts w:hint="eastAsia" w:ascii="宋体" w:hAnsi="宋体" w:cs="宋体"/>
                <w:color w:val="auto"/>
                <w:kern w:val="0"/>
                <w:szCs w:val="21"/>
                <w:highlight w:val="none"/>
              </w:rPr>
              <w:t>代表人</w:t>
            </w:r>
            <w:r>
              <w:rPr>
                <w:rFonts w:hint="eastAsia" w:ascii="宋体" w:hAnsi="宋体" w:cs="宋体"/>
                <w:color w:val="auto"/>
                <w:kern w:val="0"/>
                <w:szCs w:val="21"/>
                <w:highlight w:val="none"/>
                <w:lang w:val="en-US" w:eastAsia="zh-CN"/>
              </w:rPr>
              <w:t>/授权代表</w:t>
            </w:r>
            <w:r>
              <w:rPr>
                <w:rFonts w:hint="eastAsia" w:ascii="宋体" w:hAnsi="宋体" w:cs="宋体"/>
                <w:color w:val="auto"/>
                <w:kern w:val="0"/>
                <w:szCs w:val="21"/>
                <w:highlight w:val="none"/>
              </w:rPr>
              <w:t>（签字）：</w:t>
            </w:r>
          </w:p>
          <w:p w14:paraId="70152E05">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p w14:paraId="3911D5D1">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开户银行：</w:t>
            </w:r>
          </w:p>
          <w:p w14:paraId="4F2D2B94">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账号：</w:t>
            </w:r>
          </w:p>
        </w:tc>
        <w:tc>
          <w:tcPr>
            <w:tcW w:w="4643" w:type="dxa"/>
            <w:noWrap w:val="0"/>
            <w:vAlign w:val="top"/>
          </w:tcPr>
          <w:p w14:paraId="75EC1996">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乙方名称</w:t>
            </w:r>
            <w:r>
              <w:rPr>
                <w:rFonts w:hint="eastAsia" w:ascii="宋体" w:hAnsi="宋体" w:cs="宋体"/>
                <w:color w:val="auto"/>
                <w:spacing w:val="-20"/>
                <w:kern w:val="0"/>
                <w:szCs w:val="21"/>
                <w:highlight w:val="none"/>
              </w:rPr>
              <w:t>（盖章）</w:t>
            </w:r>
            <w:r>
              <w:rPr>
                <w:rFonts w:hint="eastAsia" w:ascii="宋体" w:hAnsi="宋体" w:cs="宋体"/>
                <w:color w:val="auto"/>
                <w:kern w:val="0"/>
                <w:szCs w:val="21"/>
                <w:highlight w:val="none"/>
              </w:rPr>
              <w:t>:</w:t>
            </w:r>
          </w:p>
          <w:p w14:paraId="116614A1">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61025295">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法定</w:t>
            </w:r>
            <w:r>
              <w:rPr>
                <w:rFonts w:hint="eastAsia" w:ascii="宋体" w:hAnsi="宋体" w:cs="宋体"/>
                <w:color w:val="auto"/>
                <w:kern w:val="0"/>
                <w:szCs w:val="21"/>
                <w:highlight w:val="none"/>
              </w:rPr>
              <w:t>代表人</w:t>
            </w:r>
            <w:r>
              <w:rPr>
                <w:rFonts w:hint="eastAsia" w:ascii="宋体" w:hAnsi="宋体" w:cs="宋体"/>
                <w:color w:val="auto"/>
                <w:kern w:val="0"/>
                <w:szCs w:val="21"/>
                <w:highlight w:val="none"/>
                <w:lang w:val="en-US" w:eastAsia="zh-CN"/>
              </w:rPr>
              <w:t>/授权代表</w:t>
            </w:r>
            <w:r>
              <w:rPr>
                <w:rFonts w:hint="eastAsia" w:ascii="宋体" w:hAnsi="宋体" w:cs="宋体"/>
                <w:color w:val="auto"/>
                <w:kern w:val="0"/>
                <w:szCs w:val="21"/>
                <w:highlight w:val="none"/>
              </w:rPr>
              <w:t>（签字）：</w:t>
            </w:r>
          </w:p>
          <w:p w14:paraId="69298FF3">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p w14:paraId="18EA9575">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开户银行：</w:t>
            </w:r>
          </w:p>
          <w:p w14:paraId="7A8141F6">
            <w:pPr>
              <w:widowControl/>
              <w:autoSpaceDE w:val="0"/>
              <w:autoSpaceDN w:val="0"/>
              <w:snapToGrid w:val="0"/>
              <w:spacing w:line="360" w:lineRule="auto"/>
              <w:ind w:right="-154"/>
              <w:textAlignment w:val="bottom"/>
              <w:rPr>
                <w:rFonts w:hint="eastAsia" w:ascii="宋体" w:hAnsi="宋体" w:cs="宋体"/>
                <w:color w:val="auto"/>
                <w:kern w:val="0"/>
                <w:szCs w:val="21"/>
                <w:highlight w:val="none"/>
              </w:rPr>
            </w:pPr>
            <w:r>
              <w:rPr>
                <w:rFonts w:hint="eastAsia" w:ascii="宋体" w:hAnsi="宋体" w:cs="宋体"/>
                <w:color w:val="auto"/>
                <w:kern w:val="0"/>
                <w:szCs w:val="21"/>
                <w:highlight w:val="none"/>
              </w:rPr>
              <w:t>账号：</w:t>
            </w:r>
          </w:p>
        </w:tc>
      </w:tr>
    </w:tbl>
    <w:p w14:paraId="4B6457E6">
      <w:pPr>
        <w:autoSpaceDE w:val="0"/>
        <w:autoSpaceDN w:val="0"/>
        <w:adjustRightInd w:val="0"/>
        <w:spacing w:line="360" w:lineRule="auto"/>
        <w:jc w:val="left"/>
        <w:rPr>
          <w:rFonts w:hint="eastAsia" w:ascii="宋体" w:hAnsi="宋体" w:cs="宋体"/>
          <w:b/>
          <w:bCs/>
          <w:color w:val="auto"/>
          <w:szCs w:val="21"/>
          <w:highlight w:val="none"/>
        </w:rPr>
      </w:pPr>
    </w:p>
    <w:p w14:paraId="5C6273AB">
      <w:pPr>
        <w:rPr>
          <w:rFonts w:hint="eastAsia"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合同附件1：</w:t>
      </w:r>
    </w:p>
    <w:p w14:paraId="5F26A40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每日提交运行维保记录表由</w:t>
      </w:r>
      <w:r>
        <w:rPr>
          <w:rFonts w:hint="eastAsia" w:ascii="宋体" w:hAnsi="宋体" w:cs="宋体"/>
          <w:color w:val="auto"/>
          <w:szCs w:val="21"/>
          <w:highlight w:val="none"/>
          <w:lang w:val="en-US" w:eastAsia="zh-CN"/>
        </w:rPr>
        <w:t>甲方</w:t>
      </w:r>
      <w:r>
        <w:rPr>
          <w:rFonts w:hint="eastAsia" w:ascii="宋体" w:hAnsi="宋体" w:cs="宋体"/>
          <w:color w:val="auto"/>
          <w:szCs w:val="21"/>
          <w:highlight w:val="none"/>
        </w:rPr>
        <w:t>制定的管理人员签字确认。</w:t>
      </w:r>
    </w:p>
    <w:p w14:paraId="05F2262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每月应提交运行维保项目的月度工作汇报及下月工作计划，总结内容应包括人员、制度、工作内容、安全质量、环境、资料档案及存在问题和改进等，工作汇报作为考核内容应真实，作为采购方的月度考核依据，做为季度支付的依据。</w:t>
      </w:r>
    </w:p>
    <w:p w14:paraId="6612356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甲方</w:t>
      </w:r>
      <w:r>
        <w:rPr>
          <w:rFonts w:hint="eastAsia" w:ascii="宋体" w:hAnsi="宋体" w:cs="宋体"/>
          <w:color w:val="auto"/>
          <w:szCs w:val="21"/>
          <w:highlight w:val="none"/>
        </w:rPr>
        <w:t>每月对</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的工作情况考核一次，每季度计算一次支付金额。下表为考核标准表：</w:t>
      </w:r>
    </w:p>
    <w:tbl>
      <w:tblPr>
        <w:tblStyle w:val="2"/>
        <w:tblW w:w="8939"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9"/>
        <w:gridCol w:w="1933"/>
        <w:gridCol w:w="2232"/>
        <w:gridCol w:w="2448"/>
        <w:gridCol w:w="607"/>
        <w:gridCol w:w="820"/>
      </w:tblGrid>
      <w:tr w14:paraId="1325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7512" w:type="dxa"/>
            <w:gridSpan w:val="4"/>
            <w:noWrap w:val="0"/>
            <w:vAlign w:val="center"/>
          </w:tcPr>
          <w:p w14:paraId="6FC7BEBE">
            <w:pPr>
              <w:widowControl/>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考  核  标  准</w:t>
            </w:r>
          </w:p>
        </w:tc>
        <w:tc>
          <w:tcPr>
            <w:tcW w:w="607" w:type="dxa"/>
            <w:noWrap w:val="0"/>
            <w:vAlign w:val="center"/>
          </w:tcPr>
          <w:p w14:paraId="421F5F12">
            <w:pPr>
              <w:widowControl/>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扣分</w:t>
            </w:r>
          </w:p>
        </w:tc>
        <w:tc>
          <w:tcPr>
            <w:tcW w:w="820" w:type="dxa"/>
            <w:noWrap w:val="0"/>
            <w:vAlign w:val="center"/>
          </w:tcPr>
          <w:p w14:paraId="56C9E58E">
            <w:pPr>
              <w:widowControl/>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6B415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atLeast"/>
        </w:trPr>
        <w:tc>
          <w:tcPr>
            <w:tcW w:w="899" w:type="dxa"/>
            <w:vMerge w:val="restart"/>
            <w:noWrap w:val="0"/>
            <w:vAlign w:val="center"/>
          </w:tcPr>
          <w:p w14:paraId="62661FE0">
            <w:pPr>
              <w:widowControl/>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运维人员服务</w:t>
            </w:r>
          </w:p>
          <w:p w14:paraId="29EFC6D5">
            <w:pPr>
              <w:widowControl/>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标准</w:t>
            </w:r>
          </w:p>
        </w:tc>
        <w:tc>
          <w:tcPr>
            <w:tcW w:w="6613" w:type="dxa"/>
            <w:gridSpan w:val="3"/>
            <w:noWrap w:val="0"/>
            <w:vAlign w:val="center"/>
          </w:tcPr>
          <w:p w14:paraId="0D6E7A8B">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人员持证上岗，着装整齐，劳动防护用品穿戴整齐，标识清晰，每次不符扣1分；</w:t>
            </w:r>
          </w:p>
        </w:tc>
        <w:tc>
          <w:tcPr>
            <w:tcW w:w="607" w:type="dxa"/>
            <w:noWrap w:val="0"/>
            <w:vAlign w:val="center"/>
          </w:tcPr>
          <w:p w14:paraId="200F5064">
            <w:pPr>
              <w:widowControl/>
              <w:tabs>
                <w:tab w:val="left" w:pos="361"/>
              </w:tabs>
              <w:snapToGrid w:val="0"/>
              <w:spacing w:line="360" w:lineRule="auto"/>
              <w:ind w:left="-263" w:leftChars="-1001" w:hanging="1839" w:hangingChars="876"/>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473C787A">
            <w:pPr>
              <w:widowControl/>
              <w:tabs>
                <w:tab w:val="left" w:pos="361"/>
              </w:tabs>
              <w:snapToGrid w:val="0"/>
              <w:spacing w:line="360" w:lineRule="auto"/>
              <w:ind w:left="-263" w:leftChars="-1001" w:hanging="1839" w:hangingChars="876"/>
              <w:jc w:val="left"/>
              <w:rPr>
                <w:rFonts w:hint="eastAsia" w:ascii="宋体" w:hAnsi="宋体" w:cs="宋体"/>
                <w:color w:val="auto"/>
                <w:szCs w:val="21"/>
                <w:highlight w:val="none"/>
              </w:rPr>
            </w:pPr>
          </w:p>
        </w:tc>
      </w:tr>
      <w:tr w14:paraId="58DF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center"/>
          </w:tcPr>
          <w:p w14:paraId="75060F56">
            <w:pPr>
              <w:widowControl/>
              <w:numPr>
                <w:ilvl w:val="0"/>
                <w:numId w:val="1"/>
              </w:numPr>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6C4CCB00">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人员言行举止，文明有礼,保持场地整洁，人走场清，保持班房卫生清洁，每次不符扣1分；</w:t>
            </w:r>
          </w:p>
        </w:tc>
        <w:tc>
          <w:tcPr>
            <w:tcW w:w="607" w:type="dxa"/>
            <w:noWrap w:val="0"/>
            <w:vAlign w:val="center"/>
          </w:tcPr>
          <w:p w14:paraId="4016BA53">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42559AE3">
            <w:pPr>
              <w:widowControl/>
              <w:tabs>
                <w:tab w:val="left" w:pos="361"/>
              </w:tabs>
              <w:snapToGrid w:val="0"/>
              <w:spacing w:line="360" w:lineRule="auto"/>
              <w:jc w:val="left"/>
              <w:rPr>
                <w:rFonts w:hint="eastAsia" w:ascii="宋体" w:hAnsi="宋体" w:cs="宋体"/>
                <w:color w:val="auto"/>
                <w:szCs w:val="21"/>
                <w:highlight w:val="none"/>
              </w:rPr>
            </w:pPr>
          </w:p>
        </w:tc>
      </w:tr>
      <w:tr w14:paraId="3E80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899" w:type="dxa"/>
            <w:vMerge w:val="continue"/>
            <w:noWrap w:val="0"/>
            <w:vAlign w:val="center"/>
          </w:tcPr>
          <w:p w14:paraId="3721F7AC">
            <w:pPr>
              <w:widowControl/>
              <w:numPr>
                <w:ilvl w:val="0"/>
                <w:numId w:val="1"/>
              </w:numPr>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4963F53A">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人员应遵守合同约定，不遵守合同约定违规作业，每次不符扣3分；</w:t>
            </w:r>
          </w:p>
        </w:tc>
        <w:tc>
          <w:tcPr>
            <w:tcW w:w="607" w:type="dxa"/>
            <w:noWrap w:val="0"/>
            <w:vAlign w:val="center"/>
          </w:tcPr>
          <w:p w14:paraId="3CBBFBF8">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203B6439">
            <w:pPr>
              <w:widowControl/>
              <w:tabs>
                <w:tab w:val="left" w:pos="361"/>
              </w:tabs>
              <w:snapToGrid w:val="0"/>
              <w:spacing w:line="360" w:lineRule="auto"/>
              <w:jc w:val="left"/>
              <w:rPr>
                <w:rFonts w:hint="eastAsia" w:ascii="宋体" w:hAnsi="宋体" w:cs="宋体"/>
                <w:color w:val="auto"/>
                <w:szCs w:val="21"/>
                <w:highlight w:val="none"/>
              </w:rPr>
            </w:pPr>
          </w:p>
        </w:tc>
      </w:tr>
      <w:tr w14:paraId="26BC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center"/>
          </w:tcPr>
          <w:p w14:paraId="36C7662B">
            <w:pPr>
              <w:widowControl/>
              <w:numPr>
                <w:ilvl w:val="0"/>
                <w:numId w:val="1"/>
              </w:numPr>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1FD647C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4、上班时间不得睡觉或干与工作无关的事，每次不符扣1分；</w:t>
            </w:r>
          </w:p>
        </w:tc>
        <w:tc>
          <w:tcPr>
            <w:tcW w:w="607" w:type="dxa"/>
            <w:noWrap w:val="0"/>
            <w:vAlign w:val="center"/>
          </w:tcPr>
          <w:p w14:paraId="68D36642">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090B430F">
            <w:pPr>
              <w:widowControl/>
              <w:tabs>
                <w:tab w:val="left" w:pos="361"/>
              </w:tabs>
              <w:snapToGrid w:val="0"/>
              <w:spacing w:line="360" w:lineRule="auto"/>
              <w:jc w:val="left"/>
              <w:rPr>
                <w:rFonts w:hint="eastAsia" w:ascii="宋体" w:hAnsi="宋体" w:cs="宋体"/>
                <w:color w:val="auto"/>
                <w:szCs w:val="21"/>
                <w:highlight w:val="none"/>
              </w:rPr>
            </w:pPr>
          </w:p>
        </w:tc>
      </w:tr>
      <w:tr w14:paraId="1D8A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center"/>
          </w:tcPr>
          <w:p w14:paraId="4198E786">
            <w:pPr>
              <w:widowControl/>
              <w:numPr>
                <w:ilvl w:val="0"/>
                <w:numId w:val="1"/>
              </w:numPr>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6CA37CD2">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5、当班不得喝酒及酒后上岗，每次不符扣2分，并辞退该员工；</w:t>
            </w:r>
          </w:p>
        </w:tc>
        <w:tc>
          <w:tcPr>
            <w:tcW w:w="607" w:type="dxa"/>
            <w:noWrap w:val="0"/>
            <w:vAlign w:val="center"/>
          </w:tcPr>
          <w:p w14:paraId="6771395E">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35DE6091">
            <w:pPr>
              <w:widowControl/>
              <w:tabs>
                <w:tab w:val="left" w:pos="361"/>
              </w:tabs>
              <w:snapToGrid w:val="0"/>
              <w:spacing w:line="360" w:lineRule="auto"/>
              <w:jc w:val="left"/>
              <w:rPr>
                <w:rFonts w:hint="eastAsia" w:ascii="宋体" w:hAnsi="宋体" w:cs="宋体"/>
                <w:color w:val="auto"/>
                <w:szCs w:val="21"/>
                <w:highlight w:val="none"/>
              </w:rPr>
            </w:pPr>
          </w:p>
        </w:tc>
      </w:tr>
      <w:tr w14:paraId="7542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center"/>
          </w:tcPr>
          <w:p w14:paraId="163F3C47">
            <w:pPr>
              <w:widowControl/>
              <w:numPr>
                <w:ilvl w:val="0"/>
                <w:numId w:val="1"/>
              </w:numPr>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02B8578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6、用户对维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人员服务态度，质量评价不满意，投诉经核实一次扣2分；</w:t>
            </w:r>
          </w:p>
        </w:tc>
        <w:tc>
          <w:tcPr>
            <w:tcW w:w="607" w:type="dxa"/>
            <w:noWrap w:val="0"/>
            <w:vAlign w:val="center"/>
          </w:tcPr>
          <w:p w14:paraId="0A8ABB0E">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22974BB5">
            <w:pPr>
              <w:widowControl/>
              <w:tabs>
                <w:tab w:val="left" w:pos="361"/>
              </w:tabs>
              <w:snapToGrid w:val="0"/>
              <w:spacing w:line="360" w:lineRule="auto"/>
              <w:jc w:val="left"/>
              <w:rPr>
                <w:rFonts w:hint="eastAsia" w:ascii="宋体" w:hAnsi="宋体" w:cs="宋体"/>
                <w:color w:val="auto"/>
                <w:szCs w:val="21"/>
                <w:highlight w:val="none"/>
              </w:rPr>
            </w:pPr>
          </w:p>
        </w:tc>
      </w:tr>
      <w:tr w14:paraId="3BA6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center"/>
          </w:tcPr>
          <w:p w14:paraId="23D0D3F3">
            <w:pPr>
              <w:widowControl/>
              <w:numPr>
                <w:ilvl w:val="0"/>
                <w:numId w:val="1"/>
              </w:numPr>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535FD45D">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7、安排的工作，应迅速响应，服从工作分配、调动和指挥，每次不符扣1分</w:t>
            </w:r>
            <w:r>
              <w:rPr>
                <w:rFonts w:hint="eastAsia" w:ascii="宋体" w:hAnsi="宋体" w:cs="宋体"/>
                <w:color w:val="auto"/>
                <w:szCs w:val="21"/>
                <w:highlight w:val="none"/>
                <w:lang w:eastAsia="zh-CN"/>
              </w:rPr>
              <w:t>；</w:t>
            </w:r>
          </w:p>
        </w:tc>
        <w:tc>
          <w:tcPr>
            <w:tcW w:w="607" w:type="dxa"/>
            <w:noWrap w:val="0"/>
            <w:vAlign w:val="center"/>
          </w:tcPr>
          <w:p w14:paraId="68542390">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608249B3">
            <w:pPr>
              <w:widowControl/>
              <w:tabs>
                <w:tab w:val="left" w:pos="361"/>
              </w:tabs>
              <w:snapToGrid w:val="0"/>
              <w:spacing w:line="360" w:lineRule="auto"/>
              <w:jc w:val="left"/>
              <w:rPr>
                <w:rFonts w:hint="eastAsia" w:ascii="宋体" w:hAnsi="宋体" w:cs="宋体"/>
                <w:color w:val="auto"/>
                <w:szCs w:val="21"/>
                <w:highlight w:val="none"/>
              </w:rPr>
            </w:pPr>
          </w:p>
        </w:tc>
      </w:tr>
      <w:tr w14:paraId="290B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7" w:hRule="atLeast"/>
        </w:trPr>
        <w:tc>
          <w:tcPr>
            <w:tcW w:w="899" w:type="dxa"/>
            <w:vMerge w:val="continue"/>
            <w:noWrap w:val="0"/>
            <w:vAlign w:val="center"/>
          </w:tcPr>
          <w:p w14:paraId="2FA1938B">
            <w:pPr>
              <w:widowControl/>
              <w:snapToGrid w:val="0"/>
              <w:spacing w:line="360" w:lineRule="auto"/>
              <w:ind w:left="780"/>
              <w:jc w:val="center"/>
              <w:rPr>
                <w:rFonts w:hint="eastAsia" w:ascii="宋体" w:hAnsi="宋体" w:cs="宋体"/>
                <w:color w:val="auto"/>
                <w:szCs w:val="21"/>
                <w:highlight w:val="none"/>
              </w:rPr>
            </w:pPr>
          </w:p>
        </w:tc>
        <w:tc>
          <w:tcPr>
            <w:tcW w:w="6613" w:type="dxa"/>
            <w:gridSpan w:val="3"/>
            <w:noWrap w:val="0"/>
            <w:vAlign w:val="center"/>
          </w:tcPr>
          <w:p w14:paraId="77CA3650">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8、遵守院劳动纪律，每次不符扣1分；</w:t>
            </w:r>
          </w:p>
        </w:tc>
        <w:tc>
          <w:tcPr>
            <w:tcW w:w="607" w:type="dxa"/>
            <w:noWrap w:val="0"/>
            <w:vAlign w:val="center"/>
          </w:tcPr>
          <w:p w14:paraId="2E5CED78">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28E2C613">
            <w:pPr>
              <w:widowControl/>
              <w:tabs>
                <w:tab w:val="left" w:pos="361"/>
              </w:tabs>
              <w:snapToGrid w:val="0"/>
              <w:spacing w:line="360" w:lineRule="auto"/>
              <w:jc w:val="left"/>
              <w:rPr>
                <w:rFonts w:hint="eastAsia" w:ascii="宋体" w:hAnsi="宋体" w:cs="宋体"/>
                <w:color w:val="auto"/>
                <w:szCs w:val="21"/>
                <w:highlight w:val="none"/>
              </w:rPr>
            </w:pPr>
          </w:p>
        </w:tc>
      </w:tr>
      <w:tr w14:paraId="58E9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restart"/>
            <w:noWrap w:val="0"/>
            <w:vAlign w:val="center"/>
          </w:tcPr>
          <w:p w14:paraId="2BBD5F0A">
            <w:pPr>
              <w:widowControl/>
              <w:tabs>
                <w:tab w:val="left" w:pos="797"/>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运维</w:t>
            </w:r>
          </w:p>
          <w:p w14:paraId="61BABEA9">
            <w:pPr>
              <w:widowControl/>
              <w:tabs>
                <w:tab w:val="left" w:pos="797"/>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工作</w:t>
            </w:r>
          </w:p>
          <w:p w14:paraId="658A6655">
            <w:pPr>
              <w:widowControl/>
              <w:tabs>
                <w:tab w:val="left" w:pos="797"/>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质量</w:t>
            </w:r>
          </w:p>
          <w:p w14:paraId="6E58A817">
            <w:pPr>
              <w:tabs>
                <w:tab w:val="left" w:pos="797"/>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标准</w:t>
            </w:r>
          </w:p>
        </w:tc>
        <w:tc>
          <w:tcPr>
            <w:tcW w:w="6613" w:type="dxa"/>
            <w:gridSpan w:val="3"/>
            <w:noWrap w:val="0"/>
            <w:vAlign w:val="center"/>
          </w:tcPr>
          <w:p w14:paraId="064F435A">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人员主动向指定的管理人员反馈维护、维修情况，维护、维修不及时的每次扣1分；</w:t>
            </w:r>
          </w:p>
        </w:tc>
        <w:tc>
          <w:tcPr>
            <w:tcW w:w="607" w:type="dxa"/>
            <w:noWrap w:val="0"/>
            <w:vAlign w:val="center"/>
          </w:tcPr>
          <w:p w14:paraId="52AE9ED5">
            <w:pPr>
              <w:widowControl/>
              <w:tabs>
                <w:tab w:val="left" w:pos="361"/>
              </w:tabs>
              <w:snapToGrid w:val="0"/>
              <w:spacing w:line="360" w:lineRule="auto"/>
              <w:ind w:left="-263" w:leftChars="-1001" w:hanging="1839" w:hangingChars="876"/>
              <w:jc w:val="left"/>
              <w:rPr>
                <w:rFonts w:hint="eastAsia" w:ascii="宋体" w:hAnsi="宋体" w:cs="宋体"/>
                <w:color w:val="auto"/>
                <w:szCs w:val="21"/>
                <w:highlight w:val="none"/>
              </w:rPr>
            </w:pPr>
          </w:p>
        </w:tc>
        <w:tc>
          <w:tcPr>
            <w:tcW w:w="820" w:type="dxa"/>
            <w:noWrap w:val="0"/>
            <w:vAlign w:val="center"/>
          </w:tcPr>
          <w:p w14:paraId="23F4C1D0">
            <w:pPr>
              <w:widowControl/>
              <w:tabs>
                <w:tab w:val="left" w:pos="361"/>
              </w:tabs>
              <w:snapToGrid w:val="0"/>
              <w:spacing w:line="360" w:lineRule="auto"/>
              <w:ind w:left="-263" w:leftChars="-1001" w:hanging="1839" w:hangingChars="876"/>
              <w:jc w:val="left"/>
              <w:rPr>
                <w:rFonts w:hint="eastAsia" w:ascii="宋体" w:hAnsi="宋体" w:cs="宋体"/>
                <w:color w:val="auto"/>
                <w:szCs w:val="21"/>
                <w:highlight w:val="none"/>
              </w:rPr>
            </w:pPr>
          </w:p>
        </w:tc>
      </w:tr>
      <w:tr w14:paraId="64EA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center"/>
          </w:tcPr>
          <w:p w14:paraId="0D34BE5D">
            <w:pPr>
              <w:tabs>
                <w:tab w:val="left" w:pos="797"/>
              </w:tabs>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7BA9FE73">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运行台账建立，资料齐全，采购方每月检查或不定期抽查每次不符扣1分，采购方反馈的问题没有及时整改到位的扣2分；</w:t>
            </w:r>
          </w:p>
        </w:tc>
        <w:tc>
          <w:tcPr>
            <w:tcW w:w="607" w:type="dxa"/>
            <w:noWrap w:val="0"/>
            <w:vAlign w:val="center"/>
          </w:tcPr>
          <w:p w14:paraId="1E010D9E">
            <w:pPr>
              <w:widowControl/>
              <w:tabs>
                <w:tab w:val="left" w:pos="361"/>
              </w:tabs>
              <w:snapToGrid w:val="0"/>
              <w:spacing w:line="360" w:lineRule="auto"/>
              <w:ind w:left="-263" w:leftChars="-1001" w:hanging="1839" w:hangingChars="876"/>
              <w:jc w:val="left"/>
              <w:rPr>
                <w:rFonts w:hint="eastAsia" w:ascii="宋体" w:hAnsi="宋体" w:cs="宋体"/>
                <w:color w:val="auto"/>
                <w:szCs w:val="21"/>
                <w:highlight w:val="none"/>
              </w:rPr>
            </w:pPr>
          </w:p>
        </w:tc>
        <w:tc>
          <w:tcPr>
            <w:tcW w:w="820" w:type="dxa"/>
            <w:noWrap w:val="0"/>
            <w:vAlign w:val="center"/>
          </w:tcPr>
          <w:p w14:paraId="602EEF30">
            <w:pPr>
              <w:widowControl/>
              <w:tabs>
                <w:tab w:val="left" w:pos="361"/>
              </w:tabs>
              <w:snapToGrid w:val="0"/>
              <w:spacing w:line="360" w:lineRule="auto"/>
              <w:ind w:left="-263" w:leftChars="-1001" w:hanging="1839" w:hangingChars="876"/>
              <w:jc w:val="left"/>
              <w:rPr>
                <w:rFonts w:hint="eastAsia" w:ascii="宋体" w:hAnsi="宋体" w:cs="宋体"/>
                <w:color w:val="auto"/>
                <w:szCs w:val="21"/>
                <w:highlight w:val="none"/>
              </w:rPr>
            </w:pPr>
          </w:p>
        </w:tc>
      </w:tr>
      <w:tr w14:paraId="30B4C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99" w:type="dxa"/>
            <w:vMerge w:val="continue"/>
            <w:noWrap w:val="0"/>
            <w:vAlign w:val="center"/>
          </w:tcPr>
          <w:p w14:paraId="245050C8">
            <w:pPr>
              <w:widowControl/>
              <w:tabs>
                <w:tab w:val="left" w:pos="797"/>
              </w:tabs>
              <w:snapToGrid w:val="0"/>
              <w:spacing w:line="360" w:lineRule="auto"/>
              <w:jc w:val="center"/>
              <w:rPr>
                <w:rFonts w:hint="eastAsia" w:ascii="宋体" w:hAnsi="宋体" w:cs="宋体"/>
                <w:color w:val="auto"/>
                <w:szCs w:val="21"/>
                <w:highlight w:val="none"/>
              </w:rPr>
            </w:pPr>
          </w:p>
        </w:tc>
        <w:tc>
          <w:tcPr>
            <w:tcW w:w="6613" w:type="dxa"/>
            <w:gridSpan w:val="3"/>
            <w:noWrap w:val="0"/>
            <w:vAlign w:val="center"/>
          </w:tcPr>
          <w:p w14:paraId="1663987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人员根据维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合同及维护计划约定的</w:t>
            </w:r>
            <w:r>
              <w:rPr>
                <w:rFonts w:hint="eastAsia" w:ascii="宋体" w:hAnsi="宋体" w:cs="宋体"/>
                <w:color w:val="auto"/>
                <w:szCs w:val="21"/>
                <w:highlight w:val="none"/>
                <w:lang w:eastAsia="zh-CN"/>
              </w:rPr>
              <w:t>时间</w:t>
            </w:r>
            <w:r>
              <w:rPr>
                <w:rFonts w:hint="eastAsia" w:ascii="宋体" w:hAnsi="宋体" w:cs="宋体"/>
                <w:color w:val="auto"/>
                <w:szCs w:val="21"/>
                <w:highlight w:val="none"/>
              </w:rPr>
              <w:t>、内容、要求进行巡查、维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、值班巡视等维护工作，每缺1次记录扣3分；</w:t>
            </w:r>
          </w:p>
        </w:tc>
        <w:tc>
          <w:tcPr>
            <w:tcW w:w="607" w:type="dxa"/>
            <w:noWrap w:val="0"/>
            <w:vAlign w:val="center"/>
          </w:tcPr>
          <w:p w14:paraId="17DE8CE1">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7F5DB7BC">
            <w:pPr>
              <w:widowControl/>
              <w:tabs>
                <w:tab w:val="left" w:pos="361"/>
              </w:tabs>
              <w:snapToGrid w:val="0"/>
              <w:spacing w:line="360" w:lineRule="auto"/>
              <w:jc w:val="left"/>
              <w:rPr>
                <w:rFonts w:hint="eastAsia" w:ascii="宋体" w:hAnsi="宋体" w:cs="宋体"/>
                <w:color w:val="auto"/>
                <w:szCs w:val="21"/>
                <w:highlight w:val="none"/>
              </w:rPr>
            </w:pPr>
          </w:p>
        </w:tc>
      </w:tr>
      <w:tr w14:paraId="6459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top"/>
          </w:tcPr>
          <w:p w14:paraId="64301FD0">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3C50BCEA">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4、每班必须严格执行值班、交接班制度，各种台帐记录记不清、不齐、影响正常工作，每次不符扣1分</w:t>
            </w:r>
            <w:r>
              <w:rPr>
                <w:rFonts w:hint="eastAsia" w:ascii="宋体" w:hAnsi="宋体" w:cs="宋体"/>
                <w:color w:val="auto"/>
                <w:szCs w:val="21"/>
                <w:highlight w:val="none"/>
                <w:lang w:eastAsia="zh-CN"/>
              </w:rPr>
              <w:t>；</w:t>
            </w:r>
          </w:p>
        </w:tc>
        <w:tc>
          <w:tcPr>
            <w:tcW w:w="607" w:type="dxa"/>
            <w:noWrap w:val="0"/>
            <w:vAlign w:val="center"/>
          </w:tcPr>
          <w:p w14:paraId="64B87B94">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04AE8C2B">
            <w:pPr>
              <w:widowControl/>
              <w:tabs>
                <w:tab w:val="left" w:pos="361"/>
              </w:tabs>
              <w:snapToGrid w:val="0"/>
              <w:spacing w:line="360" w:lineRule="auto"/>
              <w:jc w:val="left"/>
              <w:rPr>
                <w:rFonts w:hint="eastAsia" w:ascii="宋体" w:hAnsi="宋体" w:cs="宋体"/>
                <w:color w:val="auto"/>
                <w:szCs w:val="21"/>
                <w:highlight w:val="none"/>
              </w:rPr>
            </w:pPr>
          </w:p>
        </w:tc>
      </w:tr>
      <w:tr w14:paraId="18E31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899" w:type="dxa"/>
            <w:vMerge w:val="continue"/>
            <w:noWrap w:val="0"/>
            <w:vAlign w:val="top"/>
          </w:tcPr>
          <w:p w14:paraId="19436CA8">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26D3A3BE">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5、维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单位设24小时紧急救援服务热线电话。电话无人接听1次扣1分</w:t>
            </w:r>
            <w:r>
              <w:rPr>
                <w:rFonts w:hint="eastAsia" w:ascii="宋体" w:hAnsi="宋体" w:cs="宋体"/>
                <w:color w:val="auto"/>
                <w:szCs w:val="21"/>
                <w:highlight w:val="none"/>
                <w:lang w:eastAsia="zh-CN"/>
              </w:rPr>
              <w:t>；</w:t>
            </w:r>
          </w:p>
        </w:tc>
        <w:tc>
          <w:tcPr>
            <w:tcW w:w="607" w:type="dxa"/>
            <w:noWrap w:val="0"/>
            <w:vAlign w:val="center"/>
          </w:tcPr>
          <w:p w14:paraId="62845D3C">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55031B04">
            <w:pPr>
              <w:widowControl/>
              <w:tabs>
                <w:tab w:val="left" w:pos="361"/>
              </w:tabs>
              <w:snapToGrid w:val="0"/>
              <w:spacing w:line="360" w:lineRule="auto"/>
              <w:jc w:val="left"/>
              <w:rPr>
                <w:rFonts w:hint="eastAsia" w:ascii="宋体" w:hAnsi="宋体" w:cs="宋体"/>
                <w:color w:val="auto"/>
                <w:szCs w:val="21"/>
                <w:highlight w:val="none"/>
              </w:rPr>
            </w:pPr>
          </w:p>
        </w:tc>
      </w:tr>
      <w:tr w14:paraId="16F5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8" w:hRule="atLeast"/>
        </w:trPr>
        <w:tc>
          <w:tcPr>
            <w:tcW w:w="899" w:type="dxa"/>
            <w:vMerge w:val="continue"/>
            <w:noWrap w:val="0"/>
            <w:vAlign w:val="top"/>
          </w:tcPr>
          <w:p w14:paraId="2E4D0F56">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2E88DC99">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6、急修、抢修应立即赶赴现场，不超过30分钟，未按规定时间到达现场每次扣2分</w:t>
            </w:r>
            <w:r>
              <w:rPr>
                <w:rFonts w:hint="eastAsia" w:ascii="宋体" w:hAnsi="宋体" w:cs="宋体"/>
                <w:color w:val="auto"/>
                <w:szCs w:val="21"/>
                <w:highlight w:val="none"/>
                <w:lang w:eastAsia="zh-CN"/>
              </w:rPr>
              <w:t>；</w:t>
            </w:r>
          </w:p>
        </w:tc>
        <w:tc>
          <w:tcPr>
            <w:tcW w:w="607" w:type="dxa"/>
            <w:noWrap w:val="0"/>
            <w:vAlign w:val="center"/>
          </w:tcPr>
          <w:p w14:paraId="68F5BEC4">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7A9BABC3">
            <w:pPr>
              <w:widowControl/>
              <w:tabs>
                <w:tab w:val="left" w:pos="361"/>
              </w:tabs>
              <w:snapToGrid w:val="0"/>
              <w:spacing w:line="360" w:lineRule="auto"/>
              <w:jc w:val="left"/>
              <w:rPr>
                <w:rFonts w:hint="eastAsia" w:ascii="宋体" w:hAnsi="宋体" w:cs="宋体"/>
                <w:color w:val="auto"/>
                <w:szCs w:val="21"/>
                <w:highlight w:val="none"/>
              </w:rPr>
            </w:pPr>
          </w:p>
        </w:tc>
      </w:tr>
      <w:tr w14:paraId="03A6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trPr>
        <w:tc>
          <w:tcPr>
            <w:tcW w:w="899" w:type="dxa"/>
            <w:vMerge w:val="continue"/>
            <w:noWrap w:val="0"/>
            <w:vAlign w:val="top"/>
          </w:tcPr>
          <w:p w14:paraId="62EE0C74">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00739DCF">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7、遵守安全操作规程，每次不符合扣2分</w:t>
            </w:r>
            <w:r>
              <w:rPr>
                <w:rFonts w:hint="eastAsia" w:ascii="宋体" w:hAnsi="宋体" w:cs="宋体"/>
                <w:color w:val="auto"/>
                <w:szCs w:val="21"/>
                <w:highlight w:val="none"/>
                <w:lang w:eastAsia="zh-CN"/>
              </w:rPr>
              <w:t>；</w:t>
            </w:r>
          </w:p>
        </w:tc>
        <w:tc>
          <w:tcPr>
            <w:tcW w:w="607" w:type="dxa"/>
            <w:noWrap w:val="0"/>
            <w:vAlign w:val="center"/>
          </w:tcPr>
          <w:p w14:paraId="31C42456">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1114007E">
            <w:pPr>
              <w:widowControl/>
              <w:tabs>
                <w:tab w:val="left" w:pos="361"/>
              </w:tabs>
              <w:snapToGrid w:val="0"/>
              <w:spacing w:line="360" w:lineRule="auto"/>
              <w:jc w:val="left"/>
              <w:rPr>
                <w:rFonts w:hint="eastAsia" w:ascii="宋体" w:hAnsi="宋体" w:cs="宋体"/>
                <w:color w:val="auto"/>
                <w:szCs w:val="21"/>
                <w:highlight w:val="none"/>
              </w:rPr>
            </w:pPr>
          </w:p>
        </w:tc>
      </w:tr>
      <w:tr w14:paraId="3BC0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trPr>
        <w:tc>
          <w:tcPr>
            <w:tcW w:w="899" w:type="dxa"/>
            <w:vMerge w:val="continue"/>
            <w:noWrap w:val="0"/>
            <w:vAlign w:val="top"/>
          </w:tcPr>
          <w:p w14:paraId="537B2BD0">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4DF64297">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8、维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设备维护、故障处理时应在现场设置安全警示牌及安全防范措施。每次不符合扣2分</w:t>
            </w:r>
            <w:r>
              <w:rPr>
                <w:rFonts w:hint="eastAsia" w:ascii="宋体" w:hAnsi="宋体" w:cs="宋体"/>
                <w:color w:val="auto"/>
                <w:szCs w:val="21"/>
                <w:highlight w:val="none"/>
                <w:lang w:eastAsia="zh-CN"/>
              </w:rPr>
              <w:t>；</w:t>
            </w:r>
          </w:p>
        </w:tc>
        <w:tc>
          <w:tcPr>
            <w:tcW w:w="607" w:type="dxa"/>
            <w:noWrap w:val="0"/>
            <w:vAlign w:val="center"/>
          </w:tcPr>
          <w:p w14:paraId="1383701D">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0BEC73A4">
            <w:pPr>
              <w:widowControl/>
              <w:tabs>
                <w:tab w:val="left" w:pos="361"/>
              </w:tabs>
              <w:snapToGrid w:val="0"/>
              <w:spacing w:line="360" w:lineRule="auto"/>
              <w:jc w:val="left"/>
              <w:rPr>
                <w:rFonts w:hint="eastAsia" w:ascii="宋体" w:hAnsi="宋体" w:cs="宋体"/>
                <w:color w:val="auto"/>
                <w:szCs w:val="21"/>
                <w:highlight w:val="none"/>
              </w:rPr>
            </w:pPr>
          </w:p>
        </w:tc>
      </w:tr>
      <w:tr w14:paraId="6D40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rPr>
        <w:tc>
          <w:tcPr>
            <w:tcW w:w="899" w:type="dxa"/>
            <w:vMerge w:val="continue"/>
            <w:noWrap w:val="0"/>
            <w:vAlign w:val="top"/>
          </w:tcPr>
          <w:p w14:paraId="678C78EC">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45C6809A">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9、维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内容和要求不符合合同要求，未经采购方重新认可，每次扣5分</w:t>
            </w:r>
            <w:r>
              <w:rPr>
                <w:rFonts w:hint="eastAsia" w:ascii="宋体" w:hAnsi="宋体" w:cs="宋体"/>
                <w:color w:val="auto"/>
                <w:szCs w:val="21"/>
                <w:highlight w:val="none"/>
                <w:lang w:eastAsia="zh-CN"/>
              </w:rPr>
              <w:t>；</w:t>
            </w:r>
          </w:p>
        </w:tc>
        <w:tc>
          <w:tcPr>
            <w:tcW w:w="607" w:type="dxa"/>
            <w:noWrap w:val="0"/>
            <w:vAlign w:val="center"/>
          </w:tcPr>
          <w:p w14:paraId="36FBF953">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6FA924B3">
            <w:pPr>
              <w:widowControl/>
              <w:tabs>
                <w:tab w:val="left" w:pos="361"/>
              </w:tabs>
              <w:snapToGrid w:val="0"/>
              <w:spacing w:line="360" w:lineRule="auto"/>
              <w:jc w:val="left"/>
              <w:rPr>
                <w:rFonts w:hint="eastAsia" w:ascii="宋体" w:hAnsi="宋体" w:cs="宋体"/>
                <w:color w:val="auto"/>
                <w:szCs w:val="21"/>
                <w:highlight w:val="none"/>
              </w:rPr>
            </w:pPr>
          </w:p>
        </w:tc>
      </w:tr>
      <w:tr w14:paraId="6995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rPr>
        <w:tc>
          <w:tcPr>
            <w:tcW w:w="899" w:type="dxa"/>
            <w:vMerge w:val="continue"/>
            <w:noWrap w:val="0"/>
            <w:vAlign w:val="top"/>
          </w:tcPr>
          <w:p w14:paraId="6F302296">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3DACE857">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10、更换运维人员未得到采购方确认的，每次扣5分</w:t>
            </w:r>
            <w:r>
              <w:rPr>
                <w:rFonts w:hint="eastAsia" w:ascii="宋体" w:hAnsi="宋体" w:cs="宋体"/>
                <w:color w:val="auto"/>
                <w:szCs w:val="21"/>
                <w:highlight w:val="none"/>
                <w:lang w:eastAsia="zh-CN"/>
              </w:rPr>
              <w:t>；</w:t>
            </w:r>
          </w:p>
        </w:tc>
        <w:tc>
          <w:tcPr>
            <w:tcW w:w="607" w:type="dxa"/>
            <w:noWrap w:val="0"/>
            <w:vAlign w:val="center"/>
          </w:tcPr>
          <w:p w14:paraId="5E8DA42B">
            <w:pPr>
              <w:widowControl/>
              <w:tabs>
                <w:tab w:val="left" w:pos="361"/>
              </w:tabs>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　</w:t>
            </w:r>
          </w:p>
        </w:tc>
        <w:tc>
          <w:tcPr>
            <w:tcW w:w="820" w:type="dxa"/>
            <w:noWrap w:val="0"/>
            <w:vAlign w:val="center"/>
          </w:tcPr>
          <w:p w14:paraId="42B8A113">
            <w:pPr>
              <w:widowControl/>
              <w:tabs>
                <w:tab w:val="left" w:pos="361"/>
              </w:tabs>
              <w:snapToGrid w:val="0"/>
              <w:spacing w:line="360" w:lineRule="auto"/>
              <w:jc w:val="left"/>
              <w:rPr>
                <w:rFonts w:hint="eastAsia" w:ascii="宋体" w:hAnsi="宋体" w:cs="宋体"/>
                <w:color w:val="auto"/>
                <w:szCs w:val="21"/>
                <w:highlight w:val="none"/>
              </w:rPr>
            </w:pPr>
          </w:p>
        </w:tc>
      </w:tr>
      <w:tr w14:paraId="1F09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2" w:hRule="atLeast"/>
        </w:trPr>
        <w:tc>
          <w:tcPr>
            <w:tcW w:w="899" w:type="dxa"/>
            <w:vMerge w:val="continue"/>
            <w:noWrap w:val="0"/>
            <w:vAlign w:val="top"/>
          </w:tcPr>
          <w:p w14:paraId="26729F1B">
            <w:pPr>
              <w:widowControl/>
              <w:numPr>
                <w:ilvl w:val="0"/>
                <w:numId w:val="2"/>
              </w:numPr>
              <w:tabs>
                <w:tab w:val="left" w:pos="1290"/>
              </w:tabs>
              <w:snapToGrid w:val="0"/>
              <w:spacing w:line="360" w:lineRule="auto"/>
              <w:jc w:val="left"/>
              <w:rPr>
                <w:rFonts w:hint="eastAsia" w:ascii="宋体" w:hAnsi="宋体" w:cs="宋体"/>
                <w:color w:val="auto"/>
                <w:szCs w:val="21"/>
                <w:highlight w:val="none"/>
              </w:rPr>
            </w:pPr>
          </w:p>
        </w:tc>
        <w:tc>
          <w:tcPr>
            <w:tcW w:w="6613" w:type="dxa"/>
            <w:gridSpan w:val="3"/>
            <w:noWrap w:val="0"/>
            <w:vAlign w:val="center"/>
          </w:tcPr>
          <w:p w14:paraId="4D6DF188">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11、因成交供应商维</w:t>
            </w:r>
            <w:r>
              <w:rPr>
                <w:rFonts w:hint="eastAsia" w:ascii="宋体" w:hAnsi="宋体" w:cs="宋体"/>
                <w:color w:val="auto"/>
                <w:szCs w:val="21"/>
                <w:highlight w:val="none"/>
                <w:lang w:eastAsia="zh-CN"/>
              </w:rPr>
              <w:t>修或</w:t>
            </w:r>
            <w:r>
              <w:rPr>
                <w:rFonts w:hint="eastAsia" w:ascii="宋体" w:hAnsi="宋体" w:cs="宋体"/>
                <w:color w:val="auto"/>
                <w:szCs w:val="21"/>
                <w:highlight w:val="none"/>
              </w:rPr>
              <w:t>维护不当或因成交供应商原因造成大面积停电停水现象、重大事故或重大安全事故隐患，视情况每次扣20分或终止合同。</w:t>
            </w:r>
          </w:p>
        </w:tc>
        <w:tc>
          <w:tcPr>
            <w:tcW w:w="607" w:type="dxa"/>
            <w:noWrap w:val="0"/>
            <w:vAlign w:val="center"/>
          </w:tcPr>
          <w:p w14:paraId="72F3F510">
            <w:pPr>
              <w:widowControl/>
              <w:tabs>
                <w:tab w:val="left" w:pos="361"/>
              </w:tabs>
              <w:snapToGrid w:val="0"/>
              <w:spacing w:line="360" w:lineRule="auto"/>
              <w:jc w:val="left"/>
              <w:rPr>
                <w:rFonts w:hint="eastAsia" w:ascii="宋体" w:hAnsi="宋体" w:cs="宋体"/>
                <w:color w:val="auto"/>
                <w:szCs w:val="21"/>
                <w:highlight w:val="none"/>
              </w:rPr>
            </w:pPr>
          </w:p>
          <w:p w14:paraId="4A1B7CAA">
            <w:pPr>
              <w:widowControl/>
              <w:tabs>
                <w:tab w:val="left" w:pos="361"/>
              </w:tabs>
              <w:snapToGrid w:val="0"/>
              <w:spacing w:line="360" w:lineRule="auto"/>
              <w:jc w:val="left"/>
              <w:rPr>
                <w:rFonts w:hint="eastAsia" w:ascii="宋体" w:hAnsi="宋体" w:cs="宋体"/>
                <w:color w:val="auto"/>
                <w:szCs w:val="21"/>
                <w:highlight w:val="none"/>
              </w:rPr>
            </w:pPr>
          </w:p>
        </w:tc>
        <w:tc>
          <w:tcPr>
            <w:tcW w:w="820" w:type="dxa"/>
            <w:noWrap w:val="0"/>
            <w:vAlign w:val="center"/>
          </w:tcPr>
          <w:p w14:paraId="4BF3B9BD">
            <w:pPr>
              <w:widowControl/>
              <w:tabs>
                <w:tab w:val="left" w:pos="361"/>
              </w:tabs>
              <w:snapToGrid w:val="0"/>
              <w:spacing w:line="360" w:lineRule="auto"/>
              <w:jc w:val="left"/>
              <w:rPr>
                <w:rFonts w:hint="eastAsia" w:ascii="宋体" w:hAnsi="宋体" w:cs="宋体"/>
                <w:color w:val="auto"/>
                <w:szCs w:val="21"/>
                <w:highlight w:val="none"/>
              </w:rPr>
            </w:pPr>
          </w:p>
        </w:tc>
      </w:tr>
      <w:tr w14:paraId="1CC6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2832" w:type="dxa"/>
            <w:gridSpan w:val="2"/>
            <w:noWrap w:val="0"/>
            <w:vAlign w:val="top"/>
          </w:tcPr>
          <w:p w14:paraId="5396DBA2">
            <w:pPr>
              <w:widowControl/>
              <w:snapToGrid w:val="0"/>
              <w:spacing w:line="360" w:lineRule="auto"/>
              <w:ind w:right="480"/>
              <w:rPr>
                <w:rFonts w:hint="eastAsia" w:ascii="宋体" w:hAnsi="宋体" w:cs="宋体"/>
                <w:color w:val="auto"/>
                <w:szCs w:val="21"/>
                <w:highlight w:val="none"/>
              </w:rPr>
            </w:pPr>
            <w:r>
              <w:rPr>
                <w:rFonts w:hint="eastAsia" w:ascii="宋体" w:hAnsi="宋体" w:cs="宋体"/>
                <w:color w:val="auto"/>
                <w:szCs w:val="21"/>
                <w:highlight w:val="none"/>
              </w:rPr>
              <w:t>当月考核总得分：</w:t>
            </w:r>
          </w:p>
        </w:tc>
        <w:tc>
          <w:tcPr>
            <w:tcW w:w="2232" w:type="dxa"/>
            <w:noWrap w:val="0"/>
            <w:vAlign w:val="top"/>
          </w:tcPr>
          <w:p w14:paraId="43BE7C68">
            <w:pPr>
              <w:widowControl/>
              <w:snapToGrid w:val="0"/>
              <w:spacing w:line="360" w:lineRule="auto"/>
              <w:ind w:right="480"/>
              <w:rPr>
                <w:rFonts w:hint="eastAsia" w:ascii="宋体" w:hAnsi="宋体" w:cs="宋体"/>
                <w:color w:val="auto"/>
                <w:szCs w:val="21"/>
                <w:highlight w:val="none"/>
              </w:rPr>
            </w:pPr>
            <w:r>
              <w:rPr>
                <w:rFonts w:hint="eastAsia" w:ascii="宋体" w:hAnsi="宋体" w:cs="宋体"/>
                <w:color w:val="auto"/>
                <w:szCs w:val="21"/>
                <w:highlight w:val="none"/>
              </w:rPr>
              <w:t>考核人:</w:t>
            </w:r>
          </w:p>
        </w:tc>
        <w:tc>
          <w:tcPr>
            <w:tcW w:w="3875" w:type="dxa"/>
            <w:gridSpan w:val="3"/>
            <w:noWrap w:val="0"/>
            <w:vAlign w:val="center"/>
          </w:tcPr>
          <w:p w14:paraId="5EBC1EC6">
            <w:pPr>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签字确认:</w:t>
            </w:r>
          </w:p>
        </w:tc>
      </w:tr>
      <w:tr w14:paraId="22C4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4" w:hRule="atLeast"/>
        </w:trPr>
        <w:tc>
          <w:tcPr>
            <w:tcW w:w="2832" w:type="dxa"/>
            <w:gridSpan w:val="2"/>
            <w:noWrap w:val="0"/>
            <w:vAlign w:val="top"/>
          </w:tcPr>
          <w:p w14:paraId="4DDD2ACB">
            <w:pPr>
              <w:snapToGrid w:val="0"/>
              <w:spacing w:line="360" w:lineRule="auto"/>
              <w:ind w:right="480"/>
              <w:rPr>
                <w:rFonts w:hint="eastAsia" w:ascii="宋体" w:hAnsi="宋体" w:cs="宋体"/>
                <w:color w:val="auto"/>
                <w:szCs w:val="21"/>
                <w:highlight w:val="none"/>
              </w:rPr>
            </w:pPr>
            <w:r>
              <w:rPr>
                <w:rFonts w:hint="eastAsia" w:ascii="宋体" w:hAnsi="宋体" w:cs="宋体"/>
                <w:color w:val="auto"/>
                <w:szCs w:val="21"/>
                <w:highlight w:val="none"/>
              </w:rPr>
              <w:t>意见:</w:t>
            </w:r>
          </w:p>
        </w:tc>
        <w:tc>
          <w:tcPr>
            <w:tcW w:w="6107" w:type="dxa"/>
            <w:gridSpan w:val="4"/>
            <w:noWrap w:val="0"/>
            <w:vAlign w:val="top"/>
          </w:tcPr>
          <w:p w14:paraId="6CAC60DF">
            <w:pPr>
              <w:snapToGrid w:val="0"/>
              <w:spacing w:line="360" w:lineRule="auto"/>
              <w:jc w:val="left"/>
              <w:rPr>
                <w:rFonts w:hint="eastAsia" w:ascii="宋体" w:hAnsi="宋体" w:cs="宋体"/>
                <w:color w:val="auto"/>
                <w:szCs w:val="21"/>
                <w:highlight w:val="none"/>
              </w:rPr>
            </w:pPr>
          </w:p>
        </w:tc>
      </w:tr>
      <w:tr w14:paraId="003A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939" w:type="dxa"/>
            <w:gridSpan w:val="6"/>
            <w:noWrap w:val="0"/>
            <w:vAlign w:val="top"/>
          </w:tcPr>
          <w:p w14:paraId="3F379D77">
            <w:pPr>
              <w:widowControl/>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备注：</w:t>
            </w:r>
          </w:p>
          <w:p w14:paraId="7573C2A0">
            <w:pPr>
              <w:widowControl/>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总分为100分。每月检查考核一次，每季度计平均分，季度考核低于80分,每低于1分扣当季度维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费的10%，低于80分以下年累计出现两次，将通知维</w:t>
            </w:r>
            <w:r>
              <w:rPr>
                <w:rFonts w:hint="eastAsia" w:ascii="宋体" w:hAnsi="宋体" w:cs="宋体"/>
                <w:color w:val="auto"/>
                <w:szCs w:val="21"/>
                <w:highlight w:val="none"/>
                <w:lang w:eastAsia="zh-CN"/>
              </w:rPr>
              <w:t>修</w:t>
            </w:r>
            <w:r>
              <w:rPr>
                <w:rFonts w:hint="eastAsia" w:ascii="宋体" w:hAnsi="宋体" w:cs="宋体"/>
                <w:color w:val="auto"/>
                <w:szCs w:val="21"/>
                <w:highlight w:val="none"/>
              </w:rPr>
              <w:t>单位终止维护合同。</w:t>
            </w:r>
          </w:p>
          <w:p w14:paraId="00CA2619">
            <w:pPr>
              <w:widowControl/>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因</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维</w:t>
            </w:r>
            <w:r>
              <w:rPr>
                <w:rFonts w:hint="eastAsia" w:ascii="宋体" w:hAnsi="宋体" w:cs="宋体"/>
                <w:color w:val="auto"/>
                <w:szCs w:val="21"/>
                <w:highlight w:val="none"/>
                <w:lang w:eastAsia="zh-CN"/>
              </w:rPr>
              <w:t>修或</w:t>
            </w:r>
            <w:r>
              <w:rPr>
                <w:rFonts w:hint="eastAsia" w:ascii="宋体" w:hAnsi="宋体" w:cs="宋体"/>
                <w:color w:val="auto"/>
                <w:szCs w:val="21"/>
                <w:highlight w:val="none"/>
              </w:rPr>
              <w:t>维护不当或因</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原因造成大面积停电停水现象、重大事故或重大安全事故隐患，</w:t>
            </w:r>
            <w:r>
              <w:rPr>
                <w:rFonts w:hint="eastAsia" w:ascii="宋体" w:hAnsi="宋体" w:cs="宋体"/>
                <w:color w:val="auto"/>
                <w:szCs w:val="21"/>
                <w:highlight w:val="none"/>
                <w:lang w:val="en-US" w:eastAsia="zh-CN"/>
              </w:rPr>
              <w:t>甲方</w:t>
            </w:r>
            <w:r>
              <w:rPr>
                <w:rFonts w:hint="eastAsia" w:ascii="宋体" w:hAnsi="宋体" w:cs="宋体"/>
                <w:color w:val="auto"/>
                <w:szCs w:val="21"/>
                <w:highlight w:val="none"/>
              </w:rPr>
              <w:t>有权单方面终止合同，由此产生的人身伤害和财产损坏，</w:t>
            </w:r>
            <w:r>
              <w:rPr>
                <w:rFonts w:hint="eastAsia" w:ascii="宋体" w:hAnsi="宋体" w:cs="宋体"/>
                <w:color w:val="auto"/>
                <w:szCs w:val="21"/>
                <w:highlight w:val="none"/>
                <w:lang w:val="en-US" w:eastAsia="zh-CN"/>
              </w:rPr>
              <w:t>乙方</w:t>
            </w:r>
            <w:r>
              <w:rPr>
                <w:rFonts w:hint="eastAsia" w:ascii="宋体" w:hAnsi="宋体" w:cs="宋体"/>
                <w:color w:val="auto"/>
                <w:szCs w:val="21"/>
                <w:highlight w:val="none"/>
              </w:rPr>
              <w:t>应承担赔偿和修复责任。</w:t>
            </w:r>
          </w:p>
        </w:tc>
      </w:tr>
    </w:tbl>
    <w:p w14:paraId="57090374">
      <w:pPr>
        <w:rPr>
          <w:rFonts w:hint="eastAsia" w:ascii="宋体" w:hAnsi="宋体" w:cs="宋体"/>
          <w:color w:val="auto"/>
          <w:szCs w:val="21"/>
          <w:highlight w:val="none"/>
        </w:rPr>
      </w:pPr>
    </w:p>
    <w:p w14:paraId="3C93BB08">
      <w:pPr>
        <w:rPr>
          <w:rFonts w:hint="eastAsia" w:ascii="宋体" w:hAnsi="宋体" w:cs="宋体"/>
          <w:color w:val="auto"/>
          <w:szCs w:val="21"/>
          <w:highlight w:val="none"/>
        </w:rPr>
      </w:pPr>
      <w:r>
        <w:rPr>
          <w:rFonts w:hint="eastAsia" w:ascii="宋体" w:hAnsi="宋体" w:cs="宋体"/>
          <w:color w:val="auto"/>
          <w:szCs w:val="21"/>
          <w:highlight w:val="none"/>
        </w:rPr>
        <w:br w:type="page"/>
      </w:r>
      <w:r>
        <w:rPr>
          <w:rFonts w:hint="eastAsia" w:ascii="宋体" w:hAnsi="宋体" w:cs="宋体"/>
          <w:color w:val="auto"/>
          <w:szCs w:val="21"/>
          <w:highlight w:val="none"/>
        </w:rPr>
        <w:t>合同附件2：</w:t>
      </w:r>
    </w:p>
    <w:p w14:paraId="79327C8B">
      <w:pPr>
        <w:keepNext w:val="0"/>
        <w:keepLines w:val="0"/>
        <w:pageBreakBefore w:val="0"/>
        <w:widowControl w:val="0"/>
        <w:numPr>
          <w:ilvl w:val="0"/>
          <w:numId w:val="0"/>
        </w:numPr>
        <w:kinsoku/>
        <w:wordWrap/>
        <w:overflowPunct/>
        <w:topLinePunct w:val="0"/>
        <w:autoSpaceDE/>
        <w:autoSpaceDN/>
        <w:bidi w:val="0"/>
        <w:adjustRightInd/>
        <w:snapToGrid/>
        <w:ind w:firstLine="400" w:firstLineChars="200"/>
        <w:jc w:val="left"/>
        <w:textAlignment w:val="auto"/>
        <w:rPr>
          <w:rFonts w:hint="eastAsia" w:ascii="宋体" w:hAnsi="宋体" w:eastAsia="宋体" w:cs="宋体"/>
          <w:b w:val="0"/>
          <w:bCs w:val="0"/>
          <w:color w:val="auto"/>
          <w:kern w:val="0"/>
          <w:sz w:val="20"/>
          <w:szCs w:val="20"/>
          <w:highlight w:val="none"/>
          <w:lang w:val="en-US" w:eastAsia="zh-Hans"/>
        </w:rPr>
      </w:pPr>
      <w:r>
        <w:rPr>
          <w:rFonts w:hint="eastAsia" w:ascii="宋体" w:hAnsi="宋体" w:eastAsia="宋体" w:cs="宋体"/>
          <w:b w:val="0"/>
          <w:bCs w:val="0"/>
          <w:color w:val="auto"/>
          <w:kern w:val="0"/>
          <w:sz w:val="20"/>
          <w:szCs w:val="20"/>
          <w:highlight w:val="none"/>
          <w:lang w:val="en-US" w:eastAsia="zh-CN"/>
        </w:rPr>
        <w:t>（1）</w:t>
      </w:r>
      <w:r>
        <w:rPr>
          <w:rFonts w:hint="eastAsia" w:ascii="宋体" w:hAnsi="宋体" w:eastAsia="宋体" w:cs="宋体"/>
          <w:b w:val="0"/>
          <w:bCs w:val="0"/>
          <w:color w:val="auto"/>
          <w:kern w:val="0"/>
          <w:sz w:val="20"/>
          <w:szCs w:val="20"/>
          <w:highlight w:val="none"/>
          <w:lang w:val="en-US" w:eastAsia="zh-Hans"/>
        </w:rPr>
        <w:t>日常零星维修工作</w:t>
      </w:r>
    </w:p>
    <w:tbl>
      <w:tblPr>
        <w:tblStyle w:val="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226"/>
        <w:gridCol w:w="457"/>
        <w:gridCol w:w="1062"/>
        <w:gridCol w:w="1118"/>
        <w:gridCol w:w="1452"/>
        <w:gridCol w:w="2563"/>
      </w:tblGrid>
      <w:tr w14:paraId="1D11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375" w:type="pct"/>
            <w:noWrap w:val="0"/>
            <w:vAlign w:val="center"/>
          </w:tcPr>
          <w:p w14:paraId="69E22E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类型</w:t>
            </w:r>
          </w:p>
        </w:tc>
        <w:tc>
          <w:tcPr>
            <w:tcW w:w="719" w:type="pct"/>
            <w:noWrap w:val="0"/>
            <w:vAlign w:val="center"/>
          </w:tcPr>
          <w:p w14:paraId="277A69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w:t>
            </w:r>
          </w:p>
        </w:tc>
        <w:tc>
          <w:tcPr>
            <w:tcW w:w="268" w:type="pct"/>
            <w:noWrap w:val="0"/>
            <w:vAlign w:val="center"/>
          </w:tcPr>
          <w:p w14:paraId="2B23F9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w:t>
            </w:r>
          </w:p>
        </w:tc>
        <w:tc>
          <w:tcPr>
            <w:tcW w:w="623" w:type="pct"/>
            <w:noWrap w:val="0"/>
            <w:vAlign w:val="center"/>
          </w:tcPr>
          <w:p w14:paraId="473822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含税</w:t>
            </w:r>
            <w:r>
              <w:rPr>
                <w:rFonts w:hint="eastAsia" w:ascii="宋体" w:hAnsi="宋体" w:eastAsia="宋体" w:cs="宋体"/>
                <w:color w:val="auto"/>
                <w:sz w:val="20"/>
                <w:szCs w:val="20"/>
                <w:highlight w:val="none"/>
              </w:rPr>
              <w:t>综合单价（元）</w:t>
            </w:r>
          </w:p>
        </w:tc>
        <w:tc>
          <w:tcPr>
            <w:tcW w:w="656" w:type="pct"/>
            <w:noWrap w:val="0"/>
            <w:vAlign w:val="center"/>
          </w:tcPr>
          <w:p w14:paraId="7CDC8A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其中</w:t>
            </w:r>
            <w:r>
              <w:rPr>
                <w:rFonts w:hint="eastAsia" w:ascii="宋体" w:hAnsi="宋体" w:eastAsia="宋体" w:cs="宋体"/>
                <w:color w:val="auto"/>
                <w:sz w:val="20"/>
                <w:szCs w:val="20"/>
                <w:highlight w:val="none"/>
              </w:rPr>
              <w:t>主材</w:t>
            </w:r>
            <w:r>
              <w:rPr>
                <w:rFonts w:hint="eastAsia" w:ascii="宋体" w:hAnsi="宋体" w:eastAsia="宋体" w:cs="宋体"/>
                <w:color w:val="auto"/>
                <w:sz w:val="20"/>
                <w:szCs w:val="20"/>
                <w:highlight w:val="none"/>
                <w:lang w:val="en-US" w:eastAsia="zh-CN"/>
              </w:rPr>
              <w:t>含税</w:t>
            </w:r>
            <w:r>
              <w:rPr>
                <w:rFonts w:hint="eastAsia" w:ascii="宋体" w:hAnsi="宋体" w:eastAsia="宋体" w:cs="宋体"/>
                <w:color w:val="auto"/>
                <w:sz w:val="20"/>
                <w:szCs w:val="20"/>
                <w:highlight w:val="none"/>
              </w:rPr>
              <w:t>价格（元）</w:t>
            </w:r>
          </w:p>
        </w:tc>
        <w:tc>
          <w:tcPr>
            <w:tcW w:w="852" w:type="pct"/>
            <w:noWrap w:val="0"/>
            <w:vAlign w:val="center"/>
          </w:tcPr>
          <w:p w14:paraId="029B84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cs="宋体"/>
                <w:color w:val="auto"/>
                <w:sz w:val="20"/>
                <w:szCs w:val="20"/>
                <w:highlight w:val="none"/>
                <w:lang w:eastAsia="zh-CN"/>
              </w:rPr>
              <w:t>主材品牌</w:t>
            </w:r>
          </w:p>
        </w:tc>
        <w:tc>
          <w:tcPr>
            <w:tcW w:w="1503" w:type="pct"/>
            <w:noWrap w:val="0"/>
            <w:vAlign w:val="center"/>
          </w:tcPr>
          <w:p w14:paraId="0F732E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备注</w:t>
            </w:r>
          </w:p>
        </w:tc>
      </w:tr>
      <w:tr w14:paraId="43A7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375" w:type="pct"/>
            <w:vMerge w:val="restart"/>
            <w:noWrap w:val="0"/>
            <w:vAlign w:val="center"/>
          </w:tcPr>
          <w:p w14:paraId="4D5AEA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拆除类</w:t>
            </w:r>
          </w:p>
        </w:tc>
        <w:tc>
          <w:tcPr>
            <w:tcW w:w="719" w:type="pct"/>
            <w:noWrap w:val="0"/>
            <w:vAlign w:val="center"/>
          </w:tcPr>
          <w:p w14:paraId="515ADFF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破除混凝土路面</w:t>
            </w:r>
          </w:p>
        </w:tc>
        <w:tc>
          <w:tcPr>
            <w:tcW w:w="268" w:type="pct"/>
            <w:noWrap w:val="0"/>
            <w:vAlign w:val="center"/>
          </w:tcPr>
          <w:p w14:paraId="14880CB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7972B0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520A190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A6F4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p>
        </w:tc>
        <w:tc>
          <w:tcPr>
            <w:tcW w:w="1503" w:type="pct"/>
            <w:noWrap w:val="0"/>
            <w:vAlign w:val="center"/>
          </w:tcPr>
          <w:p w14:paraId="400D32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含拆除约15-25cm厚C25混凝土、30cm3:7灰土</w:t>
            </w:r>
          </w:p>
        </w:tc>
      </w:tr>
      <w:tr w14:paraId="3007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375" w:type="pct"/>
            <w:vMerge w:val="continue"/>
            <w:noWrap w:val="0"/>
            <w:vAlign w:val="center"/>
          </w:tcPr>
          <w:p w14:paraId="0A08CD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C308E2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拆除人行道砖</w:t>
            </w:r>
          </w:p>
        </w:tc>
        <w:tc>
          <w:tcPr>
            <w:tcW w:w="268" w:type="pct"/>
            <w:noWrap w:val="0"/>
            <w:vAlign w:val="center"/>
          </w:tcPr>
          <w:p w14:paraId="49EE5E4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4643C34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5CB8B69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4BDD117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16335D3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含拆除人行道砖、10cm厚砂灰垫层</w:t>
            </w:r>
          </w:p>
        </w:tc>
      </w:tr>
      <w:tr w14:paraId="0F18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75" w:type="pct"/>
            <w:vMerge w:val="continue"/>
            <w:noWrap w:val="0"/>
            <w:vAlign w:val="center"/>
          </w:tcPr>
          <w:p w14:paraId="3C539A8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77452BD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拆除瓷砖地面</w:t>
            </w:r>
          </w:p>
        </w:tc>
        <w:tc>
          <w:tcPr>
            <w:tcW w:w="268" w:type="pct"/>
            <w:noWrap w:val="0"/>
            <w:vAlign w:val="center"/>
          </w:tcPr>
          <w:p w14:paraId="614D90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8777F0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189A3B3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D6D56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7BAFBD9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含拆除各种规格瓷砖、水泥砂浆垫层</w:t>
            </w:r>
          </w:p>
        </w:tc>
      </w:tr>
      <w:tr w14:paraId="0C03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375" w:type="pct"/>
            <w:vMerge w:val="continue"/>
            <w:noWrap w:val="0"/>
            <w:vAlign w:val="center"/>
          </w:tcPr>
          <w:p w14:paraId="1FB6FA3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808F52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拆除塑胶地板</w:t>
            </w:r>
          </w:p>
        </w:tc>
        <w:tc>
          <w:tcPr>
            <w:tcW w:w="268" w:type="pct"/>
            <w:noWrap w:val="0"/>
            <w:vAlign w:val="center"/>
          </w:tcPr>
          <w:p w14:paraId="40790CB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4F6A19B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FCDF97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2CC4389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19FB32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含拆除各种规格瓷砖、水泥自流平</w:t>
            </w:r>
          </w:p>
        </w:tc>
      </w:tr>
      <w:tr w14:paraId="26EC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375" w:type="pct"/>
            <w:vMerge w:val="continue"/>
            <w:noWrap w:val="0"/>
            <w:vAlign w:val="center"/>
          </w:tcPr>
          <w:p w14:paraId="27241C8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5AA0DD1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拆除砖墙</w:t>
            </w:r>
          </w:p>
        </w:tc>
        <w:tc>
          <w:tcPr>
            <w:tcW w:w="268" w:type="pct"/>
            <w:noWrap w:val="0"/>
            <w:vAlign w:val="center"/>
          </w:tcPr>
          <w:p w14:paraId="647CA1D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3</w:t>
            </w:r>
          </w:p>
        </w:tc>
        <w:tc>
          <w:tcPr>
            <w:tcW w:w="623" w:type="pct"/>
            <w:noWrap w:val="0"/>
            <w:vAlign w:val="center"/>
          </w:tcPr>
          <w:p w14:paraId="32E9A60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4C1898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51C3F7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CD8E6E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所有规格材质砖墙</w:t>
            </w:r>
          </w:p>
        </w:tc>
      </w:tr>
      <w:tr w14:paraId="666B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noWrap w:val="0"/>
            <w:vAlign w:val="center"/>
          </w:tcPr>
          <w:p w14:paraId="76D912E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F8268C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拆除大理石地砖</w:t>
            </w:r>
          </w:p>
        </w:tc>
        <w:tc>
          <w:tcPr>
            <w:tcW w:w="268" w:type="pct"/>
            <w:noWrap w:val="0"/>
            <w:vAlign w:val="center"/>
          </w:tcPr>
          <w:p w14:paraId="553E6DB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81DAB9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E6D646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9D2BE9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07D5E6C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含拆除各种规格大理石地砖、水泥砂浆垫层</w:t>
            </w:r>
          </w:p>
        </w:tc>
      </w:tr>
      <w:tr w14:paraId="67AB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noWrap w:val="0"/>
            <w:vAlign w:val="center"/>
          </w:tcPr>
          <w:p w14:paraId="5245610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23419E7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拆除干挂大理石墙砖</w:t>
            </w:r>
          </w:p>
        </w:tc>
        <w:tc>
          <w:tcPr>
            <w:tcW w:w="268" w:type="pct"/>
            <w:noWrap w:val="0"/>
            <w:vAlign w:val="center"/>
          </w:tcPr>
          <w:p w14:paraId="7D5AB8F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7D81D89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CC57D4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585E3B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3FDB128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566D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375" w:type="pct"/>
            <w:vMerge w:val="continue"/>
            <w:noWrap w:val="0"/>
            <w:vAlign w:val="center"/>
          </w:tcPr>
          <w:p w14:paraId="632FDF6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346FDDD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拆除墙面瓷砖</w:t>
            </w:r>
          </w:p>
        </w:tc>
        <w:tc>
          <w:tcPr>
            <w:tcW w:w="268" w:type="pct"/>
            <w:noWrap w:val="0"/>
            <w:vAlign w:val="center"/>
          </w:tcPr>
          <w:p w14:paraId="61D6090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4E2FF40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5FD5BF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A9C539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0535E0E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含拆除各种规格瓷砖、水泥砂浆垫层</w:t>
            </w:r>
          </w:p>
        </w:tc>
      </w:tr>
      <w:tr w14:paraId="2E49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75" w:type="pct"/>
            <w:vMerge w:val="continue"/>
            <w:noWrap w:val="0"/>
            <w:vAlign w:val="center"/>
          </w:tcPr>
          <w:p w14:paraId="75B8F4F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02DD84A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拆除纸面石膏板隔墙面层</w:t>
            </w:r>
          </w:p>
        </w:tc>
        <w:tc>
          <w:tcPr>
            <w:tcW w:w="268" w:type="pct"/>
            <w:noWrap w:val="0"/>
            <w:vAlign w:val="center"/>
          </w:tcPr>
          <w:p w14:paraId="1B98823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0D994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0DFCA9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EB6B2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EB4E8A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5976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noWrap w:val="0"/>
            <w:vAlign w:val="center"/>
          </w:tcPr>
          <w:p w14:paraId="2242E47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736A4C1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拆除纸面石膏板隔墙</w:t>
            </w:r>
          </w:p>
        </w:tc>
        <w:tc>
          <w:tcPr>
            <w:tcW w:w="268" w:type="pct"/>
            <w:noWrap w:val="0"/>
            <w:vAlign w:val="center"/>
          </w:tcPr>
          <w:p w14:paraId="1657C3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32E22C7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1DFAB54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4778CD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0B6FFE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含龙骨、吊杆</w:t>
            </w:r>
          </w:p>
        </w:tc>
      </w:tr>
      <w:tr w14:paraId="719B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noWrap w:val="0"/>
            <w:vAlign w:val="center"/>
          </w:tcPr>
          <w:p w14:paraId="7702A50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3F7280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拆除石膏板吊顶</w:t>
            </w:r>
          </w:p>
        </w:tc>
        <w:tc>
          <w:tcPr>
            <w:tcW w:w="268" w:type="pct"/>
            <w:noWrap w:val="0"/>
            <w:vAlign w:val="center"/>
          </w:tcPr>
          <w:p w14:paraId="05CD4A0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414B78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16B64BF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141607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013F771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含龙骨、吊杆</w:t>
            </w:r>
          </w:p>
        </w:tc>
      </w:tr>
      <w:tr w14:paraId="16D8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noWrap w:val="0"/>
            <w:vAlign w:val="center"/>
          </w:tcPr>
          <w:p w14:paraId="5D05482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7C20FDB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拆除各种规格的铝扣板、矿棉板吊顶</w:t>
            </w:r>
          </w:p>
        </w:tc>
        <w:tc>
          <w:tcPr>
            <w:tcW w:w="268" w:type="pct"/>
            <w:noWrap w:val="0"/>
            <w:vAlign w:val="center"/>
          </w:tcPr>
          <w:p w14:paraId="6259514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72DEA52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860FE8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87BD95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48901B0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含龙骨、吊杆</w:t>
            </w:r>
          </w:p>
        </w:tc>
      </w:tr>
      <w:tr w14:paraId="187DF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75" w:type="pct"/>
            <w:vMerge w:val="continue"/>
            <w:noWrap w:val="0"/>
            <w:vAlign w:val="center"/>
          </w:tcPr>
          <w:p w14:paraId="2F7D6E3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5D4705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铲除乳胶漆墙面和石膏腻子</w:t>
            </w:r>
          </w:p>
        </w:tc>
        <w:tc>
          <w:tcPr>
            <w:tcW w:w="268" w:type="pct"/>
            <w:noWrap w:val="0"/>
            <w:vAlign w:val="center"/>
          </w:tcPr>
          <w:p w14:paraId="5627329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B1F4AD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996C3C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ADBAF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2C8E07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4889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75" w:type="pct"/>
            <w:vMerge w:val="continue"/>
            <w:shd w:val="clear" w:color="auto" w:fill="auto"/>
            <w:noWrap w:val="0"/>
            <w:vAlign w:val="center"/>
          </w:tcPr>
          <w:p w14:paraId="142ECD4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719" w:type="pct"/>
            <w:shd w:val="clear" w:color="auto" w:fill="auto"/>
            <w:noWrap w:val="0"/>
            <w:vAlign w:val="center"/>
          </w:tcPr>
          <w:p w14:paraId="6C4B859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拆除铝塑板墙面</w:t>
            </w:r>
          </w:p>
        </w:tc>
        <w:tc>
          <w:tcPr>
            <w:tcW w:w="268" w:type="pct"/>
            <w:shd w:val="clear" w:color="auto" w:fill="auto"/>
            <w:noWrap w:val="0"/>
            <w:vAlign w:val="center"/>
          </w:tcPr>
          <w:p w14:paraId="473D606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shd w:val="clear" w:color="auto" w:fill="auto"/>
            <w:noWrap w:val="0"/>
            <w:vAlign w:val="center"/>
          </w:tcPr>
          <w:p w14:paraId="2306B6E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656" w:type="pct"/>
            <w:shd w:val="clear" w:color="auto" w:fill="auto"/>
            <w:noWrap w:val="0"/>
            <w:vAlign w:val="top"/>
          </w:tcPr>
          <w:p w14:paraId="7CA6775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852" w:type="pct"/>
            <w:shd w:val="clear" w:color="auto" w:fill="auto"/>
            <w:noWrap w:val="0"/>
            <w:vAlign w:val="center"/>
          </w:tcPr>
          <w:p w14:paraId="13477F2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shd w:val="clear" w:color="auto" w:fill="auto"/>
            <w:noWrap w:val="0"/>
            <w:vAlign w:val="center"/>
          </w:tcPr>
          <w:p w14:paraId="7900EAE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含铝塑板和木工板</w:t>
            </w:r>
          </w:p>
        </w:tc>
      </w:tr>
      <w:tr w14:paraId="6881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75" w:type="pct"/>
            <w:vMerge w:val="continue"/>
            <w:shd w:val="clear" w:color="auto" w:fill="auto"/>
            <w:noWrap w:val="0"/>
            <w:vAlign w:val="center"/>
          </w:tcPr>
          <w:p w14:paraId="1A59AC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719" w:type="pct"/>
            <w:shd w:val="clear" w:color="auto" w:fill="auto"/>
            <w:noWrap w:val="0"/>
            <w:vAlign w:val="center"/>
          </w:tcPr>
          <w:p w14:paraId="2858C09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拆除木门</w:t>
            </w:r>
          </w:p>
        </w:tc>
        <w:tc>
          <w:tcPr>
            <w:tcW w:w="268" w:type="pct"/>
            <w:shd w:val="clear" w:color="auto" w:fill="auto"/>
            <w:noWrap w:val="0"/>
            <w:vAlign w:val="center"/>
          </w:tcPr>
          <w:p w14:paraId="5128BC7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樘</w:t>
            </w:r>
          </w:p>
        </w:tc>
        <w:tc>
          <w:tcPr>
            <w:tcW w:w="623" w:type="pct"/>
            <w:shd w:val="clear" w:color="auto" w:fill="auto"/>
            <w:noWrap w:val="0"/>
            <w:vAlign w:val="center"/>
          </w:tcPr>
          <w:p w14:paraId="2933900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656" w:type="pct"/>
            <w:shd w:val="clear" w:color="auto" w:fill="auto"/>
            <w:noWrap w:val="0"/>
            <w:vAlign w:val="top"/>
          </w:tcPr>
          <w:p w14:paraId="3BAB7CD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852" w:type="pct"/>
            <w:shd w:val="clear" w:color="auto" w:fill="auto"/>
            <w:noWrap w:val="0"/>
            <w:vAlign w:val="center"/>
          </w:tcPr>
          <w:p w14:paraId="446C4EE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1503" w:type="pct"/>
            <w:shd w:val="clear" w:color="auto" w:fill="auto"/>
            <w:noWrap w:val="0"/>
            <w:vAlign w:val="center"/>
          </w:tcPr>
          <w:p w14:paraId="6ED56A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r>
      <w:tr w14:paraId="1ED9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75" w:type="pct"/>
            <w:vMerge w:val="continue"/>
            <w:shd w:val="clear" w:color="auto" w:fill="auto"/>
            <w:noWrap w:val="0"/>
            <w:vAlign w:val="center"/>
          </w:tcPr>
          <w:p w14:paraId="2A1583F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719" w:type="pct"/>
            <w:shd w:val="clear" w:color="auto" w:fill="auto"/>
            <w:noWrap w:val="0"/>
            <w:vAlign w:val="center"/>
          </w:tcPr>
          <w:p w14:paraId="08D16CA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拆除塑钢窗或木窗</w:t>
            </w:r>
          </w:p>
        </w:tc>
        <w:tc>
          <w:tcPr>
            <w:tcW w:w="268" w:type="pct"/>
            <w:shd w:val="clear" w:color="auto" w:fill="auto"/>
            <w:noWrap w:val="0"/>
            <w:vAlign w:val="center"/>
          </w:tcPr>
          <w:p w14:paraId="5E72DF0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樘</w:t>
            </w:r>
          </w:p>
        </w:tc>
        <w:tc>
          <w:tcPr>
            <w:tcW w:w="623" w:type="pct"/>
            <w:shd w:val="clear" w:color="auto" w:fill="auto"/>
            <w:noWrap w:val="0"/>
            <w:vAlign w:val="center"/>
          </w:tcPr>
          <w:p w14:paraId="73A3E06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656" w:type="pct"/>
            <w:shd w:val="clear" w:color="auto" w:fill="auto"/>
            <w:noWrap w:val="0"/>
            <w:vAlign w:val="top"/>
          </w:tcPr>
          <w:p w14:paraId="312D1FE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852" w:type="pct"/>
            <w:shd w:val="clear" w:color="auto" w:fill="auto"/>
            <w:noWrap w:val="0"/>
            <w:vAlign w:val="center"/>
          </w:tcPr>
          <w:p w14:paraId="707365D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1503" w:type="pct"/>
            <w:shd w:val="clear" w:color="auto" w:fill="auto"/>
            <w:noWrap w:val="0"/>
            <w:vAlign w:val="center"/>
          </w:tcPr>
          <w:p w14:paraId="71B60DD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r>
      <w:tr w14:paraId="39DB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75" w:type="pct"/>
            <w:vMerge w:val="restart"/>
            <w:noWrap w:val="0"/>
            <w:vAlign w:val="center"/>
          </w:tcPr>
          <w:p w14:paraId="232DBD3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新作类</w:t>
            </w:r>
          </w:p>
        </w:tc>
        <w:tc>
          <w:tcPr>
            <w:tcW w:w="719" w:type="pct"/>
            <w:vMerge w:val="restart"/>
            <w:noWrap w:val="0"/>
            <w:vAlign w:val="center"/>
          </w:tcPr>
          <w:p w14:paraId="01FEACF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新做钢制防火门</w:t>
            </w:r>
          </w:p>
        </w:tc>
        <w:tc>
          <w:tcPr>
            <w:tcW w:w="268" w:type="pct"/>
            <w:vMerge w:val="restart"/>
            <w:noWrap w:val="0"/>
            <w:vAlign w:val="center"/>
          </w:tcPr>
          <w:p w14:paraId="3A9B9D1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B695E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6DAA66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23A636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11A5A80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rPr>
            </w:pPr>
            <w:r>
              <w:rPr>
                <w:rFonts w:hint="eastAsia" w:ascii="宋体" w:hAnsi="宋体" w:eastAsia="宋体" w:cs="宋体"/>
                <w:color w:val="auto"/>
                <w:sz w:val="20"/>
                <w:szCs w:val="20"/>
                <w:highlight w:val="none"/>
                <w:lang w:val="en-US" w:eastAsia="zh-CN"/>
              </w:rPr>
              <w:t>甲级，含五金件、门套</w:t>
            </w:r>
          </w:p>
        </w:tc>
      </w:tr>
      <w:tr w14:paraId="5633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375" w:type="pct"/>
            <w:vMerge w:val="continue"/>
            <w:noWrap w:val="0"/>
            <w:vAlign w:val="center"/>
          </w:tcPr>
          <w:p w14:paraId="4639B1C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vMerge w:val="continue"/>
            <w:noWrap w:val="0"/>
            <w:vAlign w:val="center"/>
          </w:tcPr>
          <w:p w14:paraId="51C7064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268" w:type="pct"/>
            <w:vMerge w:val="continue"/>
            <w:noWrap w:val="0"/>
            <w:vAlign w:val="center"/>
          </w:tcPr>
          <w:p w14:paraId="39A3A35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623" w:type="pct"/>
            <w:noWrap w:val="0"/>
            <w:vAlign w:val="center"/>
          </w:tcPr>
          <w:p w14:paraId="277E252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E1FC8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47235D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23C0989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乙级，含五金件、门套</w:t>
            </w:r>
          </w:p>
        </w:tc>
      </w:tr>
      <w:tr w14:paraId="406A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375" w:type="pct"/>
            <w:vMerge w:val="continue"/>
            <w:noWrap w:val="0"/>
            <w:vAlign w:val="center"/>
          </w:tcPr>
          <w:p w14:paraId="2182FF0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vMerge w:val="restart"/>
            <w:noWrap w:val="0"/>
            <w:vAlign w:val="center"/>
          </w:tcPr>
          <w:p w14:paraId="5F1A4AD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新作木质防火门</w:t>
            </w:r>
          </w:p>
        </w:tc>
        <w:tc>
          <w:tcPr>
            <w:tcW w:w="268" w:type="pct"/>
            <w:vMerge w:val="restart"/>
            <w:noWrap w:val="0"/>
            <w:vAlign w:val="center"/>
          </w:tcPr>
          <w:p w14:paraId="4512B7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155AA44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184644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F415A7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0D9A842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甲级，含五金件、门套</w:t>
            </w:r>
          </w:p>
        </w:tc>
      </w:tr>
      <w:tr w14:paraId="3B68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375" w:type="pct"/>
            <w:vMerge w:val="continue"/>
            <w:noWrap w:val="0"/>
            <w:vAlign w:val="center"/>
          </w:tcPr>
          <w:p w14:paraId="23A1A0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vMerge w:val="continue"/>
            <w:noWrap w:val="0"/>
            <w:vAlign w:val="center"/>
          </w:tcPr>
          <w:p w14:paraId="31F80F7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268" w:type="pct"/>
            <w:vMerge w:val="continue"/>
            <w:noWrap w:val="0"/>
            <w:vAlign w:val="center"/>
          </w:tcPr>
          <w:p w14:paraId="1CBB19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623" w:type="pct"/>
            <w:noWrap w:val="0"/>
            <w:vAlign w:val="center"/>
          </w:tcPr>
          <w:p w14:paraId="1311BF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392B026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620B38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13A566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乙级，含五金件、门套</w:t>
            </w:r>
          </w:p>
        </w:tc>
      </w:tr>
      <w:tr w14:paraId="61E2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375" w:type="pct"/>
            <w:vMerge w:val="continue"/>
            <w:noWrap w:val="0"/>
            <w:vAlign w:val="center"/>
          </w:tcPr>
          <w:p w14:paraId="6979502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9E8184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新作木门</w:t>
            </w:r>
          </w:p>
        </w:tc>
        <w:tc>
          <w:tcPr>
            <w:tcW w:w="268" w:type="pct"/>
            <w:noWrap w:val="0"/>
            <w:vAlign w:val="center"/>
          </w:tcPr>
          <w:p w14:paraId="0C1EB04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690FE5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F57FB3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516064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0BC6DD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含五金件、门套</w:t>
            </w:r>
          </w:p>
        </w:tc>
      </w:tr>
      <w:tr w14:paraId="5D74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75" w:type="pct"/>
            <w:vMerge w:val="continue"/>
            <w:noWrap w:val="0"/>
            <w:vAlign w:val="center"/>
          </w:tcPr>
          <w:p w14:paraId="7314AC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5167A2E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新作铝合金窗</w:t>
            </w:r>
          </w:p>
        </w:tc>
        <w:tc>
          <w:tcPr>
            <w:tcW w:w="268" w:type="pct"/>
            <w:noWrap w:val="0"/>
            <w:vAlign w:val="center"/>
          </w:tcPr>
          <w:p w14:paraId="41EC552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D68AE2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E7536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0A88F3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48D0098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中空钢化夹胶玻璃、含五金件</w:t>
            </w:r>
          </w:p>
        </w:tc>
      </w:tr>
      <w:tr w14:paraId="38A1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75" w:type="pct"/>
            <w:vMerge w:val="continue"/>
            <w:noWrap w:val="0"/>
            <w:vAlign w:val="center"/>
          </w:tcPr>
          <w:p w14:paraId="1CBFF4A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340EAFD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窗玻璃更换</w:t>
            </w:r>
          </w:p>
        </w:tc>
        <w:tc>
          <w:tcPr>
            <w:tcW w:w="268" w:type="pct"/>
            <w:noWrap w:val="0"/>
            <w:vAlign w:val="center"/>
          </w:tcPr>
          <w:p w14:paraId="335B7E8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008B071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3BB15DE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81A921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4D5BCF3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中空钢化夹胶玻璃</w:t>
            </w:r>
          </w:p>
        </w:tc>
      </w:tr>
      <w:tr w14:paraId="4BF6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375" w:type="pct"/>
            <w:vMerge w:val="continue"/>
            <w:noWrap w:val="0"/>
            <w:vAlign w:val="center"/>
          </w:tcPr>
          <w:p w14:paraId="4033ADE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D234BF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塑胶地板</w:t>
            </w:r>
          </w:p>
        </w:tc>
        <w:tc>
          <w:tcPr>
            <w:tcW w:w="268" w:type="pct"/>
            <w:noWrap w:val="0"/>
            <w:vAlign w:val="center"/>
          </w:tcPr>
          <w:p w14:paraId="1AB4C58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15CFD7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51B39B4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9F150C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74BBFAC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含自流平</w:t>
            </w:r>
          </w:p>
        </w:tc>
      </w:tr>
      <w:tr w14:paraId="5F80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375" w:type="pct"/>
            <w:vMerge w:val="continue"/>
            <w:noWrap w:val="0"/>
            <w:vAlign w:val="center"/>
          </w:tcPr>
          <w:p w14:paraId="508466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97CCED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新作墙板</w:t>
            </w:r>
          </w:p>
        </w:tc>
        <w:tc>
          <w:tcPr>
            <w:tcW w:w="268" w:type="pct"/>
            <w:noWrap w:val="0"/>
            <w:vAlign w:val="center"/>
          </w:tcPr>
          <w:p w14:paraId="6E144F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F1183C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55BC87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20BCD01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p>
        </w:tc>
        <w:tc>
          <w:tcPr>
            <w:tcW w:w="1503" w:type="pct"/>
            <w:noWrap w:val="0"/>
            <w:vAlign w:val="center"/>
          </w:tcPr>
          <w:p w14:paraId="1BA7B63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eastAsia="zh-CN"/>
              </w:rPr>
              <w:t>含钢制地脚线</w:t>
            </w:r>
          </w:p>
        </w:tc>
      </w:tr>
      <w:tr w14:paraId="776D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375" w:type="pct"/>
            <w:vMerge w:val="continue"/>
            <w:noWrap w:val="0"/>
            <w:vAlign w:val="center"/>
          </w:tcPr>
          <w:p w14:paraId="1F95024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378C879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隔墙开窗做铝合金窗</w:t>
            </w:r>
          </w:p>
        </w:tc>
        <w:tc>
          <w:tcPr>
            <w:tcW w:w="268" w:type="pct"/>
            <w:noWrap w:val="0"/>
            <w:vAlign w:val="center"/>
          </w:tcPr>
          <w:p w14:paraId="1C70CA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9E9F9D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02A4DC2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7F7245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76A0317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中空钢化夹胶玻璃、含五金件、窗套</w:t>
            </w:r>
          </w:p>
        </w:tc>
      </w:tr>
      <w:tr w14:paraId="58BD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375" w:type="pct"/>
            <w:vMerge w:val="continue"/>
            <w:noWrap w:val="0"/>
            <w:vAlign w:val="center"/>
          </w:tcPr>
          <w:p w14:paraId="1D45D22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3C33B8F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新作钢化玻璃门</w:t>
            </w:r>
          </w:p>
        </w:tc>
        <w:tc>
          <w:tcPr>
            <w:tcW w:w="268" w:type="pct"/>
            <w:noWrap w:val="0"/>
            <w:vAlign w:val="center"/>
          </w:tcPr>
          <w:p w14:paraId="3EF202A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72ED574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62E590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C92B93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09BC0E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中空钢化夹胶玻璃、含门套、五金件</w:t>
            </w:r>
          </w:p>
        </w:tc>
      </w:tr>
      <w:tr w14:paraId="1FC7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75" w:type="pct"/>
            <w:vMerge w:val="continue"/>
            <w:noWrap w:val="0"/>
            <w:vAlign w:val="center"/>
          </w:tcPr>
          <w:p w14:paraId="3E46995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4C268E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新作金刚网纱窗</w:t>
            </w:r>
          </w:p>
        </w:tc>
        <w:tc>
          <w:tcPr>
            <w:tcW w:w="268" w:type="pct"/>
            <w:noWrap w:val="0"/>
            <w:vAlign w:val="center"/>
          </w:tcPr>
          <w:p w14:paraId="5D0D4C6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3069AD9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9F92A0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C8CF2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0C8840D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304不锈钢，11目、80丝</w:t>
            </w:r>
          </w:p>
        </w:tc>
      </w:tr>
      <w:tr w14:paraId="0083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375" w:type="pct"/>
            <w:vMerge w:val="continue"/>
            <w:noWrap w:val="0"/>
            <w:vAlign w:val="center"/>
          </w:tcPr>
          <w:p w14:paraId="6BF0E9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29560E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灯具采购及安装</w:t>
            </w:r>
          </w:p>
        </w:tc>
        <w:tc>
          <w:tcPr>
            <w:tcW w:w="268" w:type="pct"/>
            <w:noWrap w:val="0"/>
            <w:vAlign w:val="center"/>
          </w:tcPr>
          <w:p w14:paraId="6E52E0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183269C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9F0121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BB08C3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A7D979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600x600含开孔及修复</w:t>
            </w:r>
          </w:p>
        </w:tc>
      </w:tr>
      <w:tr w14:paraId="053D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375" w:type="pct"/>
            <w:vMerge w:val="continue"/>
            <w:noWrap w:val="0"/>
            <w:vAlign w:val="center"/>
          </w:tcPr>
          <w:p w14:paraId="1B49960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453C98B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灯具采购及安装</w:t>
            </w:r>
          </w:p>
        </w:tc>
        <w:tc>
          <w:tcPr>
            <w:tcW w:w="268" w:type="pct"/>
            <w:noWrap w:val="0"/>
            <w:vAlign w:val="center"/>
          </w:tcPr>
          <w:p w14:paraId="09AF4B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7B764F4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1CCD9B9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6B2F16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71AF6A0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300x1200含开孔及修复</w:t>
            </w:r>
          </w:p>
        </w:tc>
      </w:tr>
      <w:tr w14:paraId="0E6B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375" w:type="pct"/>
            <w:vMerge w:val="continue"/>
            <w:noWrap w:val="0"/>
            <w:vAlign w:val="center"/>
          </w:tcPr>
          <w:p w14:paraId="0B6435F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76738A5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空调控制开关移位</w:t>
            </w:r>
          </w:p>
        </w:tc>
        <w:tc>
          <w:tcPr>
            <w:tcW w:w="268" w:type="pct"/>
            <w:noWrap w:val="0"/>
            <w:vAlign w:val="center"/>
          </w:tcPr>
          <w:p w14:paraId="63A02F8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3717049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51CD33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974A8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431493E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573E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375" w:type="pct"/>
            <w:vMerge w:val="continue"/>
            <w:noWrap w:val="0"/>
            <w:vAlign w:val="center"/>
          </w:tcPr>
          <w:p w14:paraId="11D7B79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0DDE59F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空调风口移位</w:t>
            </w:r>
          </w:p>
        </w:tc>
        <w:tc>
          <w:tcPr>
            <w:tcW w:w="268" w:type="pct"/>
            <w:noWrap w:val="0"/>
            <w:vAlign w:val="center"/>
          </w:tcPr>
          <w:p w14:paraId="63E8349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7A6A9A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C3AF46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66D5D2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28CE8E5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含修补</w:t>
            </w:r>
          </w:p>
        </w:tc>
      </w:tr>
      <w:tr w14:paraId="4FB7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375" w:type="pct"/>
            <w:vMerge w:val="continue"/>
            <w:noWrap w:val="0"/>
            <w:vAlign w:val="center"/>
          </w:tcPr>
          <w:p w14:paraId="50B541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w:t>
            </w:r>
          </w:p>
        </w:tc>
        <w:tc>
          <w:tcPr>
            <w:tcW w:w="719" w:type="pct"/>
            <w:vMerge w:val="restart"/>
            <w:noWrap w:val="0"/>
            <w:vAlign w:val="center"/>
          </w:tcPr>
          <w:p w14:paraId="4D436FD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成品高隔</w:t>
            </w:r>
          </w:p>
        </w:tc>
        <w:tc>
          <w:tcPr>
            <w:tcW w:w="268" w:type="pct"/>
            <w:vMerge w:val="restart"/>
            <w:noWrap w:val="0"/>
            <w:vAlign w:val="center"/>
          </w:tcPr>
          <w:p w14:paraId="3EBB094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vMerge w:val="restart"/>
            <w:noWrap w:val="0"/>
            <w:vAlign w:val="center"/>
          </w:tcPr>
          <w:p w14:paraId="1689E5D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vMerge w:val="restart"/>
            <w:noWrap w:val="0"/>
            <w:vAlign w:val="top"/>
          </w:tcPr>
          <w:p w14:paraId="4E10EB2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23912FB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20BDA2C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双波百叶窗型材厚度1.5，玻璃厚度8+8钢化夹胶玻璃</w:t>
            </w:r>
          </w:p>
        </w:tc>
      </w:tr>
      <w:tr w14:paraId="1349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375" w:type="pct"/>
            <w:vMerge w:val="continue"/>
            <w:noWrap w:val="0"/>
            <w:vAlign w:val="center"/>
          </w:tcPr>
          <w:p w14:paraId="589801C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vMerge w:val="continue"/>
            <w:noWrap w:val="0"/>
            <w:vAlign w:val="center"/>
          </w:tcPr>
          <w:p w14:paraId="5BD0697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268" w:type="pct"/>
            <w:vMerge w:val="continue"/>
            <w:noWrap w:val="0"/>
            <w:vAlign w:val="center"/>
          </w:tcPr>
          <w:p w14:paraId="6C89C13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23" w:type="pct"/>
            <w:vMerge w:val="continue"/>
            <w:noWrap w:val="0"/>
            <w:vAlign w:val="center"/>
          </w:tcPr>
          <w:p w14:paraId="1A18738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vMerge w:val="continue"/>
            <w:noWrap w:val="0"/>
            <w:vAlign w:val="top"/>
          </w:tcPr>
          <w:p w14:paraId="4DDE811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60CC79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5083C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单波钢化玻璃型材厚度1.5，玻璃厚度10mm钢化夹胶玻璃</w:t>
            </w:r>
          </w:p>
        </w:tc>
      </w:tr>
      <w:tr w14:paraId="53C5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75" w:type="pct"/>
            <w:vMerge w:val="continue"/>
            <w:noWrap w:val="0"/>
            <w:vAlign w:val="center"/>
          </w:tcPr>
          <w:p w14:paraId="7E018FD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650A20F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CN"/>
              </w:rPr>
              <w:t>烟感器布线、安装、调试</w:t>
            </w:r>
          </w:p>
        </w:tc>
        <w:tc>
          <w:tcPr>
            <w:tcW w:w="268" w:type="pct"/>
            <w:noWrap w:val="0"/>
            <w:vAlign w:val="center"/>
          </w:tcPr>
          <w:p w14:paraId="3DED1F0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2C2A7F8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3D57C5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6C6EA1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C32C3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含拆除</w:t>
            </w:r>
          </w:p>
        </w:tc>
      </w:tr>
      <w:tr w14:paraId="378A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75" w:type="pct"/>
            <w:vMerge w:val="continue"/>
            <w:noWrap w:val="0"/>
            <w:vAlign w:val="center"/>
          </w:tcPr>
          <w:p w14:paraId="47530BD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0BD3F0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新做混凝土路面</w:t>
            </w:r>
          </w:p>
        </w:tc>
        <w:tc>
          <w:tcPr>
            <w:tcW w:w="268" w:type="pct"/>
            <w:noWrap w:val="0"/>
            <w:vAlign w:val="center"/>
          </w:tcPr>
          <w:p w14:paraId="79227E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3</w:t>
            </w:r>
          </w:p>
        </w:tc>
        <w:tc>
          <w:tcPr>
            <w:tcW w:w="623" w:type="pct"/>
            <w:noWrap w:val="0"/>
            <w:vAlign w:val="center"/>
          </w:tcPr>
          <w:p w14:paraId="2BD4F48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362EFD8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680CE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8C2623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C25</w:t>
            </w:r>
          </w:p>
        </w:tc>
      </w:tr>
      <w:tr w14:paraId="6417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375" w:type="pct"/>
            <w:vMerge w:val="continue"/>
            <w:noWrap w:val="0"/>
            <w:vAlign w:val="center"/>
          </w:tcPr>
          <w:p w14:paraId="31B6B64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07680D2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w:t>
            </w:r>
            <w:r>
              <w:rPr>
                <w:rFonts w:hint="eastAsia" w:ascii="宋体" w:hAnsi="宋体" w:eastAsia="宋体" w:cs="宋体"/>
                <w:color w:val="auto"/>
                <w:sz w:val="20"/>
                <w:szCs w:val="20"/>
                <w:highlight w:val="none"/>
                <w:lang w:val="en-US" w:eastAsia="zh-CN"/>
              </w:rPr>
              <w:t>沥青</w:t>
            </w:r>
            <w:r>
              <w:rPr>
                <w:rFonts w:hint="eastAsia" w:ascii="宋体" w:hAnsi="宋体" w:eastAsia="宋体" w:cs="宋体"/>
                <w:color w:val="auto"/>
                <w:sz w:val="20"/>
                <w:szCs w:val="20"/>
                <w:highlight w:val="none"/>
              </w:rPr>
              <w:t>路面</w:t>
            </w:r>
          </w:p>
        </w:tc>
        <w:tc>
          <w:tcPr>
            <w:tcW w:w="268" w:type="pct"/>
            <w:noWrap w:val="0"/>
            <w:vAlign w:val="center"/>
          </w:tcPr>
          <w:p w14:paraId="368063E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3</w:t>
            </w:r>
          </w:p>
        </w:tc>
        <w:tc>
          <w:tcPr>
            <w:tcW w:w="623" w:type="pct"/>
            <w:noWrap w:val="0"/>
            <w:vAlign w:val="center"/>
          </w:tcPr>
          <w:p w14:paraId="7B63A06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ACE8E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4046A31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72F93C3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70号</w:t>
            </w:r>
          </w:p>
        </w:tc>
      </w:tr>
      <w:tr w14:paraId="0859F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75" w:type="pct"/>
            <w:vMerge w:val="continue"/>
            <w:noWrap w:val="0"/>
            <w:vAlign w:val="center"/>
          </w:tcPr>
          <w:p w14:paraId="2F33AA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175028A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新做地砖800*800mm</w:t>
            </w:r>
          </w:p>
        </w:tc>
        <w:tc>
          <w:tcPr>
            <w:tcW w:w="268" w:type="pct"/>
            <w:noWrap w:val="0"/>
            <w:vAlign w:val="center"/>
          </w:tcPr>
          <w:p w14:paraId="34DA6A2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241BF2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DA1B68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1BD4C8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5018636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61FD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5" w:type="pct"/>
            <w:vMerge w:val="continue"/>
            <w:noWrap w:val="0"/>
            <w:vAlign w:val="center"/>
          </w:tcPr>
          <w:p w14:paraId="3905E1E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6C29AC2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新做地砖600*600mm</w:t>
            </w:r>
          </w:p>
        </w:tc>
        <w:tc>
          <w:tcPr>
            <w:tcW w:w="268" w:type="pct"/>
            <w:noWrap w:val="0"/>
            <w:vAlign w:val="center"/>
          </w:tcPr>
          <w:p w14:paraId="5790089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2002A0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087BDF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898EF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08E868D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20AF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375" w:type="pct"/>
            <w:vMerge w:val="continue"/>
            <w:noWrap w:val="0"/>
            <w:vAlign w:val="center"/>
          </w:tcPr>
          <w:p w14:paraId="1E2C996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AB86DF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新做地砖300*300mm</w:t>
            </w:r>
          </w:p>
        </w:tc>
        <w:tc>
          <w:tcPr>
            <w:tcW w:w="268" w:type="pct"/>
            <w:noWrap w:val="0"/>
            <w:vAlign w:val="center"/>
          </w:tcPr>
          <w:p w14:paraId="046386C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4FD2E2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3C77B6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458328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3742362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4841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75" w:type="pct"/>
            <w:vMerge w:val="continue"/>
            <w:noWrap w:val="0"/>
            <w:vAlign w:val="center"/>
          </w:tcPr>
          <w:p w14:paraId="778EC62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65FC52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新做墙砖300*600mm</w:t>
            </w:r>
          </w:p>
        </w:tc>
        <w:tc>
          <w:tcPr>
            <w:tcW w:w="268" w:type="pct"/>
            <w:noWrap w:val="0"/>
            <w:vAlign w:val="center"/>
          </w:tcPr>
          <w:p w14:paraId="11FF259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E09900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2B3B91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7A7CDE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413D36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491F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375" w:type="pct"/>
            <w:vMerge w:val="continue"/>
            <w:noWrap w:val="0"/>
            <w:vAlign w:val="center"/>
          </w:tcPr>
          <w:p w14:paraId="7699C9E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6FDBBBC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新做吸水砖地面</w:t>
            </w:r>
          </w:p>
        </w:tc>
        <w:tc>
          <w:tcPr>
            <w:tcW w:w="268" w:type="pct"/>
            <w:noWrap w:val="0"/>
            <w:vAlign w:val="center"/>
          </w:tcPr>
          <w:p w14:paraId="7B1EC39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1D3B0DD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93DF32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ACF94A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5451CE7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含干砂层</w:t>
            </w:r>
          </w:p>
        </w:tc>
      </w:tr>
      <w:tr w14:paraId="5A2C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75" w:type="pct"/>
            <w:vMerge w:val="continue"/>
            <w:noWrap w:val="0"/>
            <w:vAlign w:val="center"/>
          </w:tcPr>
          <w:p w14:paraId="05EE913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21129A5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新做火烧板地面</w:t>
            </w:r>
          </w:p>
        </w:tc>
        <w:tc>
          <w:tcPr>
            <w:tcW w:w="268" w:type="pct"/>
            <w:noWrap w:val="0"/>
            <w:vAlign w:val="center"/>
          </w:tcPr>
          <w:p w14:paraId="24DDDFD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17D7F21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B2B08B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A694DA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5246681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6B1F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75" w:type="pct"/>
            <w:vMerge w:val="continue"/>
            <w:noWrap w:val="0"/>
            <w:vAlign w:val="center"/>
          </w:tcPr>
          <w:p w14:paraId="3701C6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3FF5FBC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新做大理石地面</w:t>
            </w:r>
          </w:p>
        </w:tc>
        <w:tc>
          <w:tcPr>
            <w:tcW w:w="268" w:type="pct"/>
            <w:noWrap w:val="0"/>
            <w:vAlign w:val="center"/>
          </w:tcPr>
          <w:p w14:paraId="23480F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60F438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551914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29184D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471DEC0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0986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375" w:type="pct"/>
            <w:vMerge w:val="continue"/>
            <w:noWrap w:val="0"/>
            <w:vAlign w:val="center"/>
          </w:tcPr>
          <w:p w14:paraId="5FDB7C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0106B73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新做花岗岩地面</w:t>
            </w:r>
          </w:p>
        </w:tc>
        <w:tc>
          <w:tcPr>
            <w:tcW w:w="268" w:type="pct"/>
            <w:noWrap w:val="0"/>
            <w:vAlign w:val="center"/>
          </w:tcPr>
          <w:p w14:paraId="293C02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0A2C946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B46E32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B7CABC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2C6D409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含水泥砂浆垫层</w:t>
            </w:r>
          </w:p>
        </w:tc>
      </w:tr>
      <w:tr w14:paraId="62B3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375" w:type="pct"/>
            <w:vMerge w:val="continue"/>
            <w:noWrap w:val="0"/>
            <w:vAlign w:val="center"/>
          </w:tcPr>
          <w:p w14:paraId="3FF9657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0A7C31E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新做水磨石地面</w:t>
            </w:r>
          </w:p>
        </w:tc>
        <w:tc>
          <w:tcPr>
            <w:tcW w:w="268" w:type="pct"/>
            <w:noWrap w:val="0"/>
            <w:vAlign w:val="center"/>
          </w:tcPr>
          <w:p w14:paraId="217B106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1BD921E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1F5649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4F4DFD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32CAD34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含水泥砂浆垫层</w:t>
            </w:r>
          </w:p>
        </w:tc>
      </w:tr>
      <w:tr w14:paraId="49D2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75" w:type="pct"/>
            <w:vMerge w:val="continue"/>
            <w:noWrap w:val="0"/>
            <w:vAlign w:val="center"/>
          </w:tcPr>
          <w:p w14:paraId="3E28023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2356431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铺设木地板</w:t>
            </w:r>
          </w:p>
        </w:tc>
        <w:tc>
          <w:tcPr>
            <w:tcW w:w="268" w:type="pct"/>
            <w:noWrap w:val="0"/>
            <w:vAlign w:val="center"/>
          </w:tcPr>
          <w:p w14:paraId="5862EE6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B08269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50C18B0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C4BF9F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7B5CFDA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含防潮垫</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找平、及所有辅材</w:t>
            </w:r>
          </w:p>
        </w:tc>
      </w:tr>
      <w:tr w14:paraId="54E0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75" w:type="pct"/>
            <w:vMerge w:val="restart"/>
            <w:noWrap w:val="0"/>
            <w:vAlign w:val="center"/>
          </w:tcPr>
          <w:p w14:paraId="51583BB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维修更换类</w:t>
            </w:r>
          </w:p>
        </w:tc>
        <w:tc>
          <w:tcPr>
            <w:tcW w:w="719" w:type="pct"/>
            <w:vMerge w:val="restart"/>
            <w:noWrap w:val="0"/>
            <w:vAlign w:val="center"/>
          </w:tcPr>
          <w:p w14:paraId="453646B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刷乳胶漆1</w:t>
            </w:r>
          </w:p>
        </w:tc>
        <w:tc>
          <w:tcPr>
            <w:tcW w:w="268" w:type="pct"/>
            <w:vMerge w:val="restart"/>
            <w:noWrap w:val="0"/>
            <w:vAlign w:val="center"/>
          </w:tcPr>
          <w:p w14:paraId="1D5A044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0D3AEF7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DD6740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top"/>
          </w:tcPr>
          <w:p w14:paraId="401F4B2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p>
        </w:tc>
        <w:tc>
          <w:tcPr>
            <w:tcW w:w="1503" w:type="pct"/>
            <w:noWrap w:val="0"/>
            <w:vAlign w:val="top"/>
          </w:tcPr>
          <w:p w14:paraId="3483EBE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刮腻子</w:t>
            </w:r>
          </w:p>
        </w:tc>
      </w:tr>
      <w:tr w14:paraId="195E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75" w:type="pct"/>
            <w:vMerge w:val="continue"/>
            <w:noWrap w:val="0"/>
            <w:vAlign w:val="center"/>
          </w:tcPr>
          <w:p w14:paraId="3474F6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vMerge w:val="continue"/>
            <w:noWrap w:val="0"/>
            <w:vAlign w:val="center"/>
          </w:tcPr>
          <w:p w14:paraId="4B60FA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268" w:type="pct"/>
            <w:vMerge w:val="continue"/>
            <w:noWrap w:val="0"/>
            <w:vAlign w:val="center"/>
          </w:tcPr>
          <w:p w14:paraId="2E2CFFE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23" w:type="pct"/>
            <w:noWrap w:val="0"/>
            <w:vAlign w:val="center"/>
          </w:tcPr>
          <w:p w14:paraId="574BCF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B627AC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top"/>
          </w:tcPr>
          <w:p w14:paraId="4087B39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p>
        </w:tc>
        <w:tc>
          <w:tcPr>
            <w:tcW w:w="1503" w:type="pct"/>
            <w:noWrap w:val="0"/>
            <w:vAlign w:val="top"/>
          </w:tcPr>
          <w:p w14:paraId="56946C9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粉刷墙</w:t>
            </w:r>
          </w:p>
        </w:tc>
      </w:tr>
      <w:tr w14:paraId="3CAC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375" w:type="pct"/>
            <w:vMerge w:val="continue"/>
            <w:noWrap w:val="0"/>
            <w:vAlign w:val="center"/>
          </w:tcPr>
          <w:p w14:paraId="1DB0139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vMerge w:val="restart"/>
            <w:noWrap w:val="0"/>
            <w:vAlign w:val="center"/>
          </w:tcPr>
          <w:p w14:paraId="6E9C91F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刷乳胶漆2</w:t>
            </w:r>
          </w:p>
        </w:tc>
        <w:tc>
          <w:tcPr>
            <w:tcW w:w="268" w:type="pct"/>
            <w:vMerge w:val="restart"/>
            <w:noWrap w:val="0"/>
            <w:vAlign w:val="center"/>
          </w:tcPr>
          <w:p w14:paraId="34ACA3C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9E47C7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DEBDCC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top"/>
          </w:tcPr>
          <w:p w14:paraId="28CCDE7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p>
        </w:tc>
        <w:tc>
          <w:tcPr>
            <w:tcW w:w="1503" w:type="pct"/>
            <w:noWrap w:val="0"/>
            <w:vAlign w:val="top"/>
          </w:tcPr>
          <w:p w14:paraId="59558C0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刮腻子</w:t>
            </w:r>
          </w:p>
        </w:tc>
      </w:tr>
      <w:tr w14:paraId="283C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375" w:type="pct"/>
            <w:vMerge w:val="continue"/>
            <w:noWrap w:val="0"/>
            <w:vAlign w:val="center"/>
          </w:tcPr>
          <w:p w14:paraId="66617EC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vMerge w:val="continue"/>
            <w:noWrap w:val="0"/>
            <w:vAlign w:val="center"/>
          </w:tcPr>
          <w:p w14:paraId="3274B11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268" w:type="pct"/>
            <w:vMerge w:val="continue"/>
            <w:noWrap w:val="0"/>
            <w:vAlign w:val="center"/>
          </w:tcPr>
          <w:p w14:paraId="3A9962E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23" w:type="pct"/>
            <w:noWrap w:val="0"/>
            <w:vAlign w:val="center"/>
          </w:tcPr>
          <w:p w14:paraId="7119459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3471358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top"/>
          </w:tcPr>
          <w:p w14:paraId="24E9C57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p>
        </w:tc>
        <w:tc>
          <w:tcPr>
            <w:tcW w:w="1503" w:type="pct"/>
            <w:noWrap w:val="0"/>
            <w:vAlign w:val="top"/>
          </w:tcPr>
          <w:p w14:paraId="004845D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粉刷墙</w:t>
            </w:r>
          </w:p>
        </w:tc>
      </w:tr>
      <w:tr w14:paraId="2101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75" w:type="pct"/>
            <w:vMerge w:val="continue"/>
            <w:noWrap w:val="0"/>
            <w:vAlign w:val="center"/>
          </w:tcPr>
          <w:p w14:paraId="269B1BC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3A695EA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更换纱窗</w:t>
            </w:r>
          </w:p>
        </w:tc>
        <w:tc>
          <w:tcPr>
            <w:tcW w:w="268" w:type="pct"/>
            <w:noWrap w:val="0"/>
            <w:vAlign w:val="center"/>
          </w:tcPr>
          <w:p w14:paraId="0BDBEC5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29FC91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52F75C8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C46BA6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2CE28C8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304不锈钢高透网，</w:t>
            </w:r>
            <w:r>
              <w:rPr>
                <w:rFonts w:hint="eastAsia" w:ascii="宋体" w:hAnsi="宋体" w:eastAsia="宋体" w:cs="宋体"/>
                <w:color w:val="auto"/>
                <w:sz w:val="20"/>
                <w:szCs w:val="20"/>
                <w:highlight w:val="none"/>
              </w:rPr>
              <w:t>只更换</w:t>
            </w:r>
            <w:r>
              <w:rPr>
                <w:rFonts w:hint="eastAsia" w:ascii="宋体" w:hAnsi="宋体" w:eastAsia="宋体" w:cs="宋体"/>
                <w:color w:val="auto"/>
                <w:sz w:val="20"/>
                <w:szCs w:val="20"/>
                <w:highlight w:val="none"/>
                <w:lang w:val="en-US" w:eastAsia="zh-CN"/>
              </w:rPr>
              <w:t>窗</w:t>
            </w:r>
            <w:r>
              <w:rPr>
                <w:rFonts w:hint="eastAsia" w:ascii="宋体" w:hAnsi="宋体" w:eastAsia="宋体" w:cs="宋体"/>
                <w:color w:val="auto"/>
                <w:sz w:val="20"/>
                <w:szCs w:val="20"/>
                <w:highlight w:val="none"/>
              </w:rPr>
              <w:t>纱</w:t>
            </w:r>
            <w:r>
              <w:rPr>
                <w:rFonts w:hint="eastAsia" w:ascii="宋体" w:hAnsi="宋体" w:eastAsia="宋体" w:cs="宋体"/>
                <w:color w:val="auto"/>
                <w:sz w:val="20"/>
                <w:szCs w:val="20"/>
                <w:highlight w:val="none"/>
                <w:lang w:val="en-US" w:eastAsia="zh-CN"/>
              </w:rPr>
              <w:t>20目、18丝</w:t>
            </w:r>
            <w:r>
              <w:rPr>
                <w:rFonts w:hint="eastAsia" w:ascii="宋体" w:hAnsi="宋体" w:eastAsia="宋体" w:cs="宋体"/>
                <w:color w:val="auto"/>
                <w:sz w:val="20"/>
                <w:szCs w:val="20"/>
                <w:highlight w:val="none"/>
              </w:rPr>
              <w:t>和密封条</w:t>
            </w:r>
          </w:p>
        </w:tc>
      </w:tr>
      <w:tr w14:paraId="4896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75" w:type="pct"/>
            <w:vMerge w:val="continue"/>
            <w:noWrap w:val="0"/>
            <w:vAlign w:val="center"/>
          </w:tcPr>
          <w:p w14:paraId="6597D8A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shd w:val="clear" w:color="auto" w:fill="auto"/>
            <w:noWrap w:val="0"/>
            <w:vAlign w:val="center"/>
          </w:tcPr>
          <w:p w14:paraId="58190EE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更换纱窗</w:t>
            </w:r>
          </w:p>
        </w:tc>
        <w:tc>
          <w:tcPr>
            <w:tcW w:w="268" w:type="pct"/>
            <w:shd w:val="clear" w:color="auto" w:fill="auto"/>
            <w:noWrap w:val="0"/>
            <w:vAlign w:val="center"/>
          </w:tcPr>
          <w:p w14:paraId="695E7CE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6509C0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3D22467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535EF8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934126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尼龙材质</w:t>
            </w:r>
          </w:p>
        </w:tc>
      </w:tr>
      <w:tr w14:paraId="12C1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375" w:type="pct"/>
            <w:vMerge w:val="continue"/>
            <w:noWrap w:val="0"/>
            <w:vAlign w:val="center"/>
          </w:tcPr>
          <w:p w14:paraId="46A0C98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19CBF61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更换卫生间一字型</w:t>
            </w:r>
            <w:r>
              <w:rPr>
                <w:rFonts w:hint="eastAsia" w:ascii="宋体" w:hAnsi="宋体" w:eastAsia="宋体" w:cs="宋体"/>
                <w:color w:val="auto"/>
                <w:sz w:val="20"/>
                <w:szCs w:val="20"/>
                <w:highlight w:val="none"/>
                <w:lang w:eastAsia="zh-CN"/>
              </w:rPr>
              <w:t>无障碍</w:t>
            </w:r>
            <w:r>
              <w:rPr>
                <w:rFonts w:hint="eastAsia" w:ascii="宋体" w:hAnsi="宋体" w:eastAsia="宋体" w:cs="宋体"/>
                <w:color w:val="auto"/>
                <w:sz w:val="20"/>
                <w:szCs w:val="20"/>
                <w:highlight w:val="none"/>
              </w:rPr>
              <w:t>扶手</w:t>
            </w:r>
          </w:p>
        </w:tc>
        <w:tc>
          <w:tcPr>
            <w:tcW w:w="268" w:type="pct"/>
            <w:noWrap w:val="0"/>
            <w:vAlign w:val="center"/>
          </w:tcPr>
          <w:p w14:paraId="7442605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个</w:t>
            </w:r>
          </w:p>
        </w:tc>
        <w:tc>
          <w:tcPr>
            <w:tcW w:w="623" w:type="pct"/>
            <w:noWrap w:val="0"/>
            <w:vAlign w:val="center"/>
          </w:tcPr>
          <w:p w14:paraId="4FEF99C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07721F2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BECA9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5A18FBF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扶手材质：内不锈钢、外ABS材质带防滑颗粒，含辅材和安装，长度50CM，管径</w:t>
            </w:r>
            <w:r>
              <w:rPr>
                <w:rFonts w:hint="eastAsia" w:ascii="宋体" w:hAnsi="宋体" w:eastAsia="宋体" w:cs="宋体"/>
                <w:color w:val="auto"/>
                <w:sz w:val="20"/>
                <w:szCs w:val="20"/>
                <w:highlight w:val="none"/>
              </w:rPr>
              <w:t>500mm</w:t>
            </w:r>
          </w:p>
        </w:tc>
      </w:tr>
      <w:tr w14:paraId="214A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5" w:type="pct"/>
            <w:vMerge w:val="continue"/>
            <w:noWrap w:val="0"/>
            <w:vAlign w:val="center"/>
          </w:tcPr>
          <w:p w14:paraId="793A23B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4DB1CBD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更换卫生间T字型</w:t>
            </w:r>
            <w:r>
              <w:rPr>
                <w:rFonts w:hint="eastAsia" w:ascii="宋体" w:hAnsi="宋体" w:eastAsia="宋体" w:cs="宋体"/>
                <w:color w:val="auto"/>
                <w:sz w:val="20"/>
                <w:szCs w:val="20"/>
                <w:highlight w:val="none"/>
                <w:lang w:eastAsia="zh-CN"/>
              </w:rPr>
              <w:t>无障碍</w:t>
            </w:r>
            <w:r>
              <w:rPr>
                <w:rFonts w:hint="eastAsia" w:ascii="宋体" w:hAnsi="宋体" w:eastAsia="宋体" w:cs="宋体"/>
                <w:color w:val="auto"/>
                <w:sz w:val="20"/>
                <w:szCs w:val="20"/>
                <w:highlight w:val="none"/>
              </w:rPr>
              <w:t>扶手</w:t>
            </w:r>
          </w:p>
        </w:tc>
        <w:tc>
          <w:tcPr>
            <w:tcW w:w="268" w:type="pct"/>
            <w:noWrap w:val="0"/>
            <w:vAlign w:val="center"/>
          </w:tcPr>
          <w:p w14:paraId="357DBA0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个</w:t>
            </w:r>
          </w:p>
        </w:tc>
        <w:tc>
          <w:tcPr>
            <w:tcW w:w="623" w:type="pct"/>
            <w:noWrap w:val="0"/>
            <w:vAlign w:val="center"/>
          </w:tcPr>
          <w:p w14:paraId="1868C63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72D307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90F3D7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5CF5222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扶手材质：内不锈钢、外ABS材质带防滑颗粒，含辅材和安装，长度50CM，管径</w:t>
            </w:r>
            <w:r>
              <w:rPr>
                <w:rFonts w:hint="eastAsia" w:ascii="宋体" w:hAnsi="宋体" w:eastAsia="宋体" w:cs="宋体"/>
                <w:color w:val="auto"/>
                <w:sz w:val="20"/>
                <w:szCs w:val="20"/>
                <w:highlight w:val="none"/>
              </w:rPr>
              <w:t>500mm</w:t>
            </w:r>
          </w:p>
        </w:tc>
      </w:tr>
      <w:tr w14:paraId="618C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75" w:type="pct"/>
            <w:vMerge w:val="continue"/>
            <w:noWrap w:val="0"/>
            <w:vAlign w:val="center"/>
          </w:tcPr>
          <w:p w14:paraId="21CCEE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67FDD90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更换卫生间抗倍特板隔断</w:t>
            </w:r>
          </w:p>
        </w:tc>
        <w:tc>
          <w:tcPr>
            <w:tcW w:w="268" w:type="pct"/>
            <w:noWrap w:val="0"/>
            <w:vAlign w:val="center"/>
          </w:tcPr>
          <w:p w14:paraId="44D655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7531CF9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8013CA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C58CC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p>
        </w:tc>
        <w:tc>
          <w:tcPr>
            <w:tcW w:w="1503" w:type="pct"/>
            <w:noWrap w:val="0"/>
            <w:vAlign w:val="center"/>
          </w:tcPr>
          <w:p w14:paraId="465B800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含五金件</w:t>
            </w:r>
          </w:p>
        </w:tc>
      </w:tr>
      <w:tr w14:paraId="7E03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375" w:type="pct"/>
            <w:vMerge w:val="continue"/>
            <w:noWrap w:val="0"/>
            <w:vAlign w:val="center"/>
          </w:tcPr>
          <w:p w14:paraId="43D122F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11908AD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石膏板吊顶</w:t>
            </w:r>
          </w:p>
        </w:tc>
        <w:tc>
          <w:tcPr>
            <w:tcW w:w="268" w:type="pct"/>
            <w:noWrap w:val="0"/>
            <w:vAlign w:val="center"/>
          </w:tcPr>
          <w:p w14:paraId="23DC8DC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1335C23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55C826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150331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7F53BCE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新做，含轻钢龙骨，不上人</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新作检修口</w:t>
            </w:r>
          </w:p>
        </w:tc>
      </w:tr>
      <w:tr w14:paraId="6F03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75" w:type="pct"/>
            <w:vMerge w:val="continue"/>
            <w:noWrap w:val="0"/>
            <w:vAlign w:val="center"/>
          </w:tcPr>
          <w:p w14:paraId="5B4BCCE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6A8FD98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石膏板吊顶</w:t>
            </w:r>
          </w:p>
        </w:tc>
        <w:tc>
          <w:tcPr>
            <w:tcW w:w="268" w:type="pct"/>
            <w:noWrap w:val="0"/>
            <w:vAlign w:val="center"/>
          </w:tcPr>
          <w:p w14:paraId="6E17D82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726B6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988B7C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7C21BFD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49F37C1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修补，不含龙骨</w:t>
            </w:r>
          </w:p>
        </w:tc>
      </w:tr>
      <w:tr w14:paraId="04AB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375" w:type="pct"/>
            <w:vMerge w:val="continue"/>
            <w:noWrap w:val="0"/>
            <w:vAlign w:val="center"/>
          </w:tcPr>
          <w:p w14:paraId="25E6C3D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0AB2DB7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矿棉板吊顶</w:t>
            </w:r>
          </w:p>
        </w:tc>
        <w:tc>
          <w:tcPr>
            <w:tcW w:w="268" w:type="pct"/>
            <w:noWrap w:val="0"/>
            <w:vAlign w:val="center"/>
          </w:tcPr>
          <w:p w14:paraId="62CD42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6EF843B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4D7B249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7F928C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0322E42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新做，含轻钢龙骨，不上人</w:t>
            </w:r>
            <w:r>
              <w:rPr>
                <w:rFonts w:hint="eastAsia" w:ascii="宋体" w:hAnsi="宋体" w:eastAsia="宋体" w:cs="宋体"/>
                <w:color w:val="auto"/>
                <w:sz w:val="20"/>
                <w:szCs w:val="20"/>
                <w:highlight w:val="none"/>
                <w:lang w:val="en-US" w:eastAsia="zh-CN"/>
              </w:rPr>
              <w:t>600X600X8</w:t>
            </w:r>
          </w:p>
        </w:tc>
      </w:tr>
      <w:tr w14:paraId="02B5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75" w:type="pct"/>
            <w:vMerge w:val="continue"/>
            <w:noWrap w:val="0"/>
            <w:vAlign w:val="center"/>
          </w:tcPr>
          <w:p w14:paraId="2E30DD8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78EC762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矿棉板吊顶</w:t>
            </w:r>
          </w:p>
        </w:tc>
        <w:tc>
          <w:tcPr>
            <w:tcW w:w="268" w:type="pct"/>
            <w:noWrap w:val="0"/>
            <w:vAlign w:val="center"/>
          </w:tcPr>
          <w:p w14:paraId="43BB075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3C12E1D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70966DB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357121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7487634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修补，不含龙骨</w:t>
            </w:r>
          </w:p>
        </w:tc>
      </w:tr>
      <w:tr w14:paraId="756B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375" w:type="pct"/>
            <w:vMerge w:val="continue"/>
            <w:noWrap w:val="0"/>
            <w:vAlign w:val="center"/>
          </w:tcPr>
          <w:p w14:paraId="3E50C6C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vMerge w:val="restart"/>
            <w:noWrap w:val="0"/>
            <w:vAlign w:val="center"/>
          </w:tcPr>
          <w:p w14:paraId="69A0D9B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铝扣板吊顶</w:t>
            </w:r>
          </w:p>
        </w:tc>
        <w:tc>
          <w:tcPr>
            <w:tcW w:w="268" w:type="pct"/>
            <w:vMerge w:val="restart"/>
            <w:noWrap w:val="0"/>
            <w:vAlign w:val="center"/>
          </w:tcPr>
          <w:p w14:paraId="234A3C0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vMerge w:val="restart"/>
            <w:noWrap w:val="0"/>
            <w:vAlign w:val="center"/>
          </w:tcPr>
          <w:p w14:paraId="1253E9E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vMerge w:val="restart"/>
            <w:noWrap w:val="0"/>
            <w:vAlign w:val="top"/>
          </w:tcPr>
          <w:p w14:paraId="2F3C9E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6437D1B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2C1F1E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新做，含轻钢龙骨，不上人</w:t>
            </w:r>
            <w:r>
              <w:rPr>
                <w:rFonts w:hint="eastAsia" w:ascii="宋体" w:hAnsi="宋体" w:eastAsia="宋体" w:cs="宋体"/>
                <w:color w:val="auto"/>
                <w:sz w:val="20"/>
                <w:szCs w:val="20"/>
                <w:highlight w:val="none"/>
                <w:lang w:val="en-US" w:eastAsia="zh-CN"/>
              </w:rPr>
              <w:t>600*600*8</w:t>
            </w:r>
          </w:p>
        </w:tc>
      </w:tr>
      <w:tr w14:paraId="7BCB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75" w:type="pct"/>
            <w:vMerge w:val="continue"/>
            <w:noWrap w:val="0"/>
            <w:vAlign w:val="center"/>
          </w:tcPr>
          <w:p w14:paraId="2F6C2B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vMerge w:val="continue"/>
            <w:noWrap w:val="0"/>
            <w:vAlign w:val="center"/>
          </w:tcPr>
          <w:p w14:paraId="454120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268" w:type="pct"/>
            <w:vMerge w:val="continue"/>
            <w:noWrap w:val="0"/>
            <w:vAlign w:val="center"/>
          </w:tcPr>
          <w:p w14:paraId="0634D9F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23" w:type="pct"/>
            <w:vMerge w:val="continue"/>
            <w:noWrap w:val="0"/>
            <w:vAlign w:val="center"/>
          </w:tcPr>
          <w:p w14:paraId="6A65C1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vMerge w:val="continue"/>
            <w:noWrap w:val="0"/>
            <w:vAlign w:val="top"/>
          </w:tcPr>
          <w:p w14:paraId="5FE898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44281DA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29E4048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新做，含轻钢龙骨，不上人</w:t>
            </w:r>
            <w:r>
              <w:rPr>
                <w:rFonts w:hint="eastAsia" w:ascii="宋体" w:hAnsi="宋体" w:eastAsia="宋体" w:cs="宋体"/>
                <w:color w:val="auto"/>
                <w:sz w:val="20"/>
                <w:szCs w:val="20"/>
                <w:highlight w:val="none"/>
                <w:lang w:val="en-US" w:eastAsia="zh-CN"/>
              </w:rPr>
              <w:t>300X300X6</w:t>
            </w:r>
          </w:p>
        </w:tc>
      </w:tr>
      <w:tr w14:paraId="23AD6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375" w:type="pct"/>
            <w:vMerge w:val="continue"/>
            <w:noWrap w:val="0"/>
            <w:vAlign w:val="center"/>
          </w:tcPr>
          <w:p w14:paraId="2C44721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719" w:type="pct"/>
            <w:noWrap w:val="0"/>
            <w:vAlign w:val="center"/>
          </w:tcPr>
          <w:p w14:paraId="0DC8D69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铝扣板吊顶</w:t>
            </w:r>
          </w:p>
        </w:tc>
        <w:tc>
          <w:tcPr>
            <w:tcW w:w="268" w:type="pct"/>
            <w:noWrap w:val="0"/>
            <w:vAlign w:val="center"/>
          </w:tcPr>
          <w:p w14:paraId="1BA3AC5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5C17BEF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075197F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4B543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FD424F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修补，不含龙骨</w:t>
            </w:r>
          </w:p>
        </w:tc>
      </w:tr>
      <w:tr w14:paraId="4E32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1EEBF54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1893B18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粘贴铝塑板</w:t>
            </w:r>
          </w:p>
        </w:tc>
        <w:tc>
          <w:tcPr>
            <w:tcW w:w="268" w:type="pct"/>
            <w:noWrap w:val="0"/>
            <w:vAlign w:val="center"/>
          </w:tcPr>
          <w:p w14:paraId="122E270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73E79D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124409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2EB6EF0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88DE1D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新作，含18mm木工板基层</w:t>
            </w:r>
          </w:p>
        </w:tc>
      </w:tr>
      <w:tr w14:paraId="29D9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5069968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7232ABC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轻钢龙骨石膏板隔墙</w:t>
            </w:r>
          </w:p>
        </w:tc>
        <w:tc>
          <w:tcPr>
            <w:tcW w:w="268" w:type="pct"/>
            <w:noWrap w:val="0"/>
            <w:vAlign w:val="center"/>
          </w:tcPr>
          <w:p w14:paraId="77B0EA0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9185DA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6EFFA2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A986B5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5771B08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新作，含轻钢龙骨</w:t>
            </w:r>
            <w:r>
              <w:rPr>
                <w:rFonts w:hint="eastAsia" w:ascii="宋体" w:hAnsi="宋体" w:eastAsia="宋体" w:cs="宋体"/>
                <w:color w:val="auto"/>
                <w:sz w:val="20"/>
                <w:szCs w:val="20"/>
                <w:highlight w:val="none"/>
                <w:lang w:eastAsia="zh-CN"/>
              </w:rPr>
              <w:t>、钢制地脚线、</w:t>
            </w:r>
            <w:r>
              <w:rPr>
                <w:rFonts w:hint="eastAsia" w:ascii="宋体" w:hAnsi="宋体" w:eastAsia="宋体" w:cs="宋体"/>
                <w:color w:val="auto"/>
                <w:sz w:val="20"/>
                <w:szCs w:val="20"/>
                <w:highlight w:val="none"/>
                <w:lang w:val="en-US" w:eastAsia="zh-CN"/>
              </w:rPr>
              <w:t>防火棉（岩棉）耐火等级A级</w:t>
            </w:r>
          </w:p>
        </w:tc>
      </w:tr>
      <w:tr w14:paraId="5172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7F68344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B00F3E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eastAsia="zh-CN"/>
              </w:rPr>
              <w:t>新作</w:t>
            </w:r>
            <w:r>
              <w:rPr>
                <w:rFonts w:hint="eastAsia" w:ascii="宋体" w:hAnsi="宋体" w:eastAsia="宋体" w:cs="宋体"/>
                <w:color w:val="auto"/>
                <w:sz w:val="20"/>
                <w:szCs w:val="20"/>
                <w:highlight w:val="none"/>
              </w:rPr>
              <w:t>竹木纤维板</w:t>
            </w:r>
          </w:p>
        </w:tc>
        <w:tc>
          <w:tcPr>
            <w:tcW w:w="268" w:type="pct"/>
            <w:noWrap w:val="0"/>
            <w:vAlign w:val="center"/>
          </w:tcPr>
          <w:p w14:paraId="7DAC467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7ABC53E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34CBD18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F0E29C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64B8BEC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9.2mm厚，环保E1，防护等级C</w:t>
            </w:r>
            <w:r>
              <w:rPr>
                <w:rFonts w:hint="eastAsia" w:ascii="宋体" w:hAnsi="宋体" w:eastAsia="宋体" w:cs="宋体"/>
                <w:color w:val="auto"/>
                <w:sz w:val="20"/>
                <w:szCs w:val="20"/>
                <w:highlight w:val="none"/>
                <w:lang w:eastAsia="zh-CN"/>
              </w:rPr>
              <w:t>级</w:t>
            </w:r>
          </w:p>
        </w:tc>
      </w:tr>
      <w:tr w14:paraId="335C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679AECA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shd w:val="clear" w:color="auto" w:fill="auto"/>
            <w:noWrap w:val="0"/>
            <w:vAlign w:val="center"/>
          </w:tcPr>
          <w:p w14:paraId="2DC6FBB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CN"/>
              </w:rPr>
              <w:t>卫生间防水维修</w:t>
            </w:r>
          </w:p>
        </w:tc>
        <w:tc>
          <w:tcPr>
            <w:tcW w:w="268" w:type="pct"/>
            <w:shd w:val="clear" w:color="auto" w:fill="auto"/>
            <w:noWrap w:val="0"/>
            <w:vAlign w:val="center"/>
          </w:tcPr>
          <w:p w14:paraId="24FD507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shd w:val="clear" w:color="auto" w:fill="auto"/>
            <w:noWrap w:val="0"/>
            <w:vAlign w:val="center"/>
          </w:tcPr>
          <w:p w14:paraId="714E76D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20"/>
                <w:szCs w:val="20"/>
                <w:highlight w:val="none"/>
                <w:lang w:val="en-US" w:eastAsia="zh-CN" w:bidi="ar-SA"/>
              </w:rPr>
            </w:pPr>
          </w:p>
        </w:tc>
        <w:tc>
          <w:tcPr>
            <w:tcW w:w="656" w:type="pct"/>
            <w:noWrap w:val="0"/>
            <w:vAlign w:val="top"/>
          </w:tcPr>
          <w:p w14:paraId="6CBD0FB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1A7900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503" w:type="pct"/>
            <w:noWrap w:val="0"/>
            <w:vAlign w:val="center"/>
          </w:tcPr>
          <w:p w14:paraId="73722EB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0EE5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5AAF6C6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2B6E6E0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室外防水维修</w:t>
            </w:r>
          </w:p>
        </w:tc>
        <w:tc>
          <w:tcPr>
            <w:tcW w:w="268" w:type="pct"/>
            <w:noWrap w:val="0"/>
            <w:vAlign w:val="center"/>
          </w:tcPr>
          <w:p w14:paraId="7D40DBE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1667C5B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E931FA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008C7EA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55889B6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含基层处理、SBS材质卷材厚度不小于3</w:t>
            </w:r>
            <w:r>
              <w:rPr>
                <w:rFonts w:hint="eastAsia" w:ascii="宋体" w:hAnsi="宋体" w:eastAsia="宋体" w:cs="宋体"/>
                <w:color w:val="auto"/>
                <w:sz w:val="20"/>
                <w:szCs w:val="20"/>
                <w:highlight w:val="none"/>
              </w:rPr>
              <w:t>mm</w:t>
            </w:r>
          </w:p>
          <w:p w14:paraId="7D20754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铺设2层；含拆除垃圾清运出院</w:t>
            </w:r>
          </w:p>
        </w:tc>
      </w:tr>
      <w:tr w14:paraId="0CDC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02ECEC0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5C3B61B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木门维修</w:t>
            </w:r>
          </w:p>
        </w:tc>
        <w:tc>
          <w:tcPr>
            <w:tcW w:w="268" w:type="pct"/>
            <w:noWrap w:val="0"/>
            <w:vAlign w:val="center"/>
          </w:tcPr>
          <w:p w14:paraId="0E8BD90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套</w:t>
            </w:r>
          </w:p>
        </w:tc>
        <w:tc>
          <w:tcPr>
            <w:tcW w:w="623" w:type="pct"/>
            <w:noWrap w:val="0"/>
            <w:vAlign w:val="center"/>
          </w:tcPr>
          <w:p w14:paraId="60276E7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155BEA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2268D4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A2377D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清理破损部位，门及门套添加高60cm，厚1mm的不锈钢板，整樘门刷漆。</w:t>
            </w:r>
          </w:p>
        </w:tc>
      </w:tr>
      <w:tr w14:paraId="225B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13573E1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64D2BF6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消防玻璃更换</w:t>
            </w:r>
          </w:p>
        </w:tc>
        <w:tc>
          <w:tcPr>
            <w:tcW w:w="268" w:type="pct"/>
            <w:noWrap w:val="0"/>
            <w:vAlign w:val="center"/>
          </w:tcPr>
          <w:p w14:paraId="6FB3AB9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M</w:t>
            </w:r>
            <w:r>
              <w:rPr>
                <w:rFonts w:hint="eastAsia" w:ascii="宋体" w:hAnsi="宋体" w:eastAsia="宋体" w:cs="宋体"/>
                <w:color w:val="auto"/>
                <w:sz w:val="20"/>
                <w:szCs w:val="20"/>
                <w:highlight w:val="none"/>
                <w:vertAlign w:val="superscript"/>
              </w:rPr>
              <w:t>2</w:t>
            </w:r>
          </w:p>
        </w:tc>
        <w:tc>
          <w:tcPr>
            <w:tcW w:w="623" w:type="pct"/>
            <w:noWrap w:val="0"/>
            <w:vAlign w:val="center"/>
          </w:tcPr>
          <w:p w14:paraId="2350171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B856CC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5777E52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4EFAA9B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钢化</w:t>
            </w:r>
          </w:p>
        </w:tc>
      </w:tr>
      <w:tr w14:paraId="59EA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750223E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71322EE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打玻璃胶</w:t>
            </w:r>
          </w:p>
        </w:tc>
        <w:tc>
          <w:tcPr>
            <w:tcW w:w="268" w:type="pct"/>
            <w:noWrap w:val="0"/>
            <w:vAlign w:val="center"/>
          </w:tcPr>
          <w:p w14:paraId="326865D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M</w:t>
            </w:r>
          </w:p>
        </w:tc>
        <w:tc>
          <w:tcPr>
            <w:tcW w:w="623" w:type="pct"/>
            <w:noWrap w:val="0"/>
            <w:vAlign w:val="center"/>
          </w:tcPr>
          <w:p w14:paraId="4991E7F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2DFF3F7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65A055C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0CCB447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r>
      <w:tr w14:paraId="74D6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149E4C3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31BB985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雨水井盖更换</w:t>
            </w:r>
          </w:p>
        </w:tc>
        <w:tc>
          <w:tcPr>
            <w:tcW w:w="268" w:type="pct"/>
            <w:noWrap w:val="0"/>
            <w:vAlign w:val="center"/>
          </w:tcPr>
          <w:p w14:paraId="0BE5FD4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6565768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0C4BC90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112D55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C3E682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铸铁</w:t>
            </w:r>
          </w:p>
        </w:tc>
      </w:tr>
      <w:tr w14:paraId="3B00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75" w:type="pct"/>
            <w:vMerge w:val="continue"/>
            <w:noWrap w:val="0"/>
            <w:vAlign w:val="center"/>
          </w:tcPr>
          <w:p w14:paraId="6F8F1D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719" w:type="pct"/>
            <w:noWrap w:val="0"/>
            <w:vAlign w:val="center"/>
          </w:tcPr>
          <w:p w14:paraId="09B61C9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井盖</w:t>
            </w:r>
            <w:r>
              <w:rPr>
                <w:rFonts w:hint="eastAsia" w:ascii="宋体" w:hAnsi="宋体" w:eastAsia="宋体" w:cs="宋体"/>
                <w:color w:val="auto"/>
                <w:sz w:val="20"/>
                <w:szCs w:val="20"/>
                <w:highlight w:val="none"/>
              </w:rPr>
              <w:t>喷字</w:t>
            </w:r>
          </w:p>
        </w:tc>
        <w:tc>
          <w:tcPr>
            <w:tcW w:w="268" w:type="pct"/>
            <w:noWrap w:val="0"/>
            <w:vAlign w:val="center"/>
          </w:tcPr>
          <w:p w14:paraId="6B00AEF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个</w:t>
            </w:r>
          </w:p>
        </w:tc>
        <w:tc>
          <w:tcPr>
            <w:tcW w:w="623" w:type="pct"/>
            <w:noWrap w:val="0"/>
            <w:vAlign w:val="center"/>
          </w:tcPr>
          <w:p w14:paraId="6242992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656" w:type="pct"/>
            <w:noWrap w:val="0"/>
            <w:vAlign w:val="top"/>
          </w:tcPr>
          <w:p w14:paraId="631C82A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852" w:type="pct"/>
            <w:noWrap w:val="0"/>
            <w:vAlign w:val="center"/>
          </w:tcPr>
          <w:p w14:paraId="38B2A49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c>
          <w:tcPr>
            <w:tcW w:w="1503" w:type="pct"/>
            <w:noWrap w:val="0"/>
            <w:vAlign w:val="center"/>
          </w:tcPr>
          <w:p w14:paraId="336C4DC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含油漆等所有辅材及人工</w:t>
            </w:r>
          </w:p>
        </w:tc>
      </w:tr>
    </w:tbl>
    <w:p w14:paraId="7460021C">
      <w:pPr>
        <w:keepNext w:val="0"/>
        <w:keepLines w:val="0"/>
        <w:pageBreakBefore w:val="0"/>
        <w:widowControl w:val="0"/>
        <w:numPr>
          <w:ilvl w:val="0"/>
          <w:numId w:val="0"/>
        </w:numPr>
        <w:kinsoku/>
        <w:wordWrap/>
        <w:overflowPunct/>
        <w:topLinePunct w:val="0"/>
        <w:autoSpaceDE/>
        <w:autoSpaceDN/>
        <w:bidi w:val="0"/>
        <w:adjustRightInd/>
        <w:snapToGrid/>
        <w:ind w:firstLine="400" w:firstLineChars="200"/>
        <w:jc w:val="left"/>
        <w:textAlignment w:val="auto"/>
        <w:rPr>
          <w:rFonts w:hint="eastAsia" w:ascii="宋体" w:hAnsi="宋体" w:eastAsia="宋体" w:cs="宋体"/>
          <w:b w:val="0"/>
          <w:bCs w:val="0"/>
          <w:color w:val="auto"/>
          <w:kern w:val="0"/>
          <w:sz w:val="20"/>
          <w:szCs w:val="20"/>
          <w:highlight w:val="none"/>
          <w:lang w:val="en-US" w:eastAsia="zh-Hans"/>
        </w:rPr>
      </w:pPr>
    </w:p>
    <w:p w14:paraId="686DBDEB">
      <w:pPr>
        <w:numPr>
          <w:ilvl w:val="0"/>
          <w:numId w:val="0"/>
        </w:numPr>
        <w:spacing w:after="0"/>
        <w:ind w:firstLine="400" w:firstLineChars="200"/>
        <w:jc w:val="left"/>
        <w:rPr>
          <w:rFonts w:hint="eastAsia" w:ascii="宋体" w:hAnsi="宋体" w:eastAsia="宋体" w:cs="宋体"/>
          <w:color w:val="auto"/>
          <w:kern w:val="0"/>
          <w:sz w:val="20"/>
          <w:szCs w:val="20"/>
          <w:highlight w:val="none"/>
        </w:rPr>
      </w:pPr>
      <w:r>
        <w:rPr>
          <w:rFonts w:hint="eastAsia" w:ascii="宋体" w:hAnsi="宋体" w:eastAsia="宋体" w:cs="宋体"/>
          <w:b w:val="0"/>
          <w:bCs w:val="0"/>
          <w:color w:val="auto"/>
          <w:kern w:val="0"/>
          <w:sz w:val="20"/>
          <w:szCs w:val="20"/>
          <w:highlight w:val="none"/>
          <w:lang w:eastAsia="zh-CN"/>
        </w:rPr>
        <w:t>（</w:t>
      </w:r>
      <w:r>
        <w:rPr>
          <w:rFonts w:hint="eastAsia" w:ascii="宋体" w:hAnsi="宋体" w:eastAsia="宋体" w:cs="宋体"/>
          <w:b w:val="0"/>
          <w:bCs w:val="0"/>
          <w:color w:val="auto"/>
          <w:kern w:val="0"/>
          <w:sz w:val="20"/>
          <w:szCs w:val="20"/>
          <w:highlight w:val="none"/>
          <w:lang w:val="en-US" w:eastAsia="zh-CN"/>
        </w:rPr>
        <w:t>2</w:t>
      </w:r>
      <w:r>
        <w:rPr>
          <w:rFonts w:hint="eastAsia" w:ascii="宋体" w:hAnsi="宋体" w:eastAsia="宋体" w:cs="宋体"/>
          <w:b w:val="0"/>
          <w:bCs w:val="0"/>
          <w:color w:val="auto"/>
          <w:kern w:val="0"/>
          <w:sz w:val="20"/>
          <w:szCs w:val="20"/>
          <w:highlight w:val="none"/>
          <w:lang w:eastAsia="zh-CN"/>
        </w:rPr>
        <w:t>）</w:t>
      </w:r>
      <w:r>
        <w:rPr>
          <w:rFonts w:hint="eastAsia" w:ascii="宋体" w:hAnsi="宋体" w:eastAsia="宋体" w:cs="宋体"/>
          <w:b w:val="0"/>
          <w:bCs w:val="0"/>
          <w:color w:val="auto"/>
          <w:kern w:val="0"/>
          <w:sz w:val="20"/>
          <w:szCs w:val="20"/>
          <w:highlight w:val="none"/>
        </w:rPr>
        <w:t>零星用工</w:t>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7"/>
        <w:gridCol w:w="1556"/>
        <w:gridCol w:w="1639"/>
        <w:gridCol w:w="1847"/>
      </w:tblGrid>
      <w:tr w14:paraId="232A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exact"/>
        </w:trPr>
        <w:tc>
          <w:tcPr>
            <w:tcW w:w="2040" w:type="pct"/>
            <w:noWrap w:val="0"/>
            <w:vAlign w:val="center"/>
          </w:tcPr>
          <w:p w14:paraId="789CAF0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项目</w:t>
            </w:r>
          </w:p>
        </w:tc>
        <w:tc>
          <w:tcPr>
            <w:tcW w:w="913" w:type="pct"/>
            <w:noWrap w:val="0"/>
            <w:vAlign w:val="center"/>
          </w:tcPr>
          <w:p w14:paraId="2DD0BF0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单位</w:t>
            </w:r>
          </w:p>
        </w:tc>
        <w:tc>
          <w:tcPr>
            <w:tcW w:w="962" w:type="pct"/>
            <w:noWrap w:val="0"/>
            <w:vAlign w:val="center"/>
          </w:tcPr>
          <w:p w14:paraId="393BF77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0"/>
                <w:szCs w:val="20"/>
                <w:highlight w:val="none"/>
                <w:lang w:eastAsia="zh-CN"/>
              </w:rPr>
            </w:pPr>
            <w:r>
              <w:rPr>
                <w:rFonts w:hint="eastAsia" w:ascii="宋体" w:hAnsi="宋体" w:eastAsia="宋体" w:cs="宋体"/>
                <w:b/>
                <w:bCs/>
                <w:color w:val="auto"/>
                <w:sz w:val="20"/>
                <w:szCs w:val="20"/>
                <w:highlight w:val="none"/>
                <w:lang w:val="en-US" w:eastAsia="zh-CN"/>
              </w:rPr>
              <w:t>全费用单价报价（元）</w:t>
            </w:r>
          </w:p>
        </w:tc>
        <w:tc>
          <w:tcPr>
            <w:tcW w:w="1084" w:type="pct"/>
            <w:noWrap w:val="0"/>
            <w:vAlign w:val="center"/>
          </w:tcPr>
          <w:p w14:paraId="49056CB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备注</w:t>
            </w:r>
          </w:p>
        </w:tc>
      </w:tr>
      <w:tr w14:paraId="3E44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exact"/>
        </w:trPr>
        <w:tc>
          <w:tcPr>
            <w:tcW w:w="2040" w:type="pct"/>
            <w:noWrap w:val="0"/>
            <w:vAlign w:val="center"/>
          </w:tcPr>
          <w:p w14:paraId="4B4D70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病床送修</w:t>
            </w:r>
          </w:p>
          <w:p w14:paraId="36A315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含搬运</w:t>
            </w:r>
            <w:r>
              <w:rPr>
                <w:rFonts w:hint="eastAsia" w:ascii="宋体" w:hAnsi="宋体" w:eastAsia="宋体" w:cs="宋体"/>
                <w:color w:val="auto"/>
                <w:sz w:val="20"/>
                <w:szCs w:val="20"/>
                <w:highlight w:val="none"/>
              </w:rPr>
              <w:t>往返</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维修</w:t>
            </w:r>
            <w:r>
              <w:rPr>
                <w:rFonts w:hint="eastAsia" w:ascii="宋体" w:hAnsi="宋体" w:eastAsia="宋体" w:cs="宋体"/>
                <w:color w:val="auto"/>
                <w:sz w:val="20"/>
                <w:szCs w:val="20"/>
                <w:highlight w:val="none"/>
              </w:rPr>
              <w:t>）</w:t>
            </w:r>
          </w:p>
        </w:tc>
        <w:tc>
          <w:tcPr>
            <w:tcW w:w="913" w:type="pct"/>
            <w:noWrap w:val="0"/>
            <w:vAlign w:val="center"/>
          </w:tcPr>
          <w:p w14:paraId="6845363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每个</w:t>
            </w:r>
          </w:p>
        </w:tc>
        <w:tc>
          <w:tcPr>
            <w:tcW w:w="962" w:type="pct"/>
            <w:noWrap w:val="0"/>
            <w:vAlign w:val="center"/>
          </w:tcPr>
          <w:p w14:paraId="0905EE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49808D1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37C62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2040" w:type="pct"/>
            <w:noWrap w:val="0"/>
            <w:vAlign w:val="center"/>
          </w:tcPr>
          <w:p w14:paraId="5463A3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治疗平车送修（往返）</w:t>
            </w:r>
          </w:p>
        </w:tc>
        <w:tc>
          <w:tcPr>
            <w:tcW w:w="913" w:type="pct"/>
            <w:noWrap w:val="0"/>
            <w:vAlign w:val="center"/>
          </w:tcPr>
          <w:p w14:paraId="6486D2E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每个</w:t>
            </w:r>
          </w:p>
        </w:tc>
        <w:tc>
          <w:tcPr>
            <w:tcW w:w="962" w:type="pct"/>
            <w:noWrap w:val="0"/>
            <w:vAlign w:val="center"/>
          </w:tcPr>
          <w:p w14:paraId="73B85F1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2FA205E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搬运、维修</w:t>
            </w:r>
          </w:p>
        </w:tc>
      </w:tr>
      <w:tr w14:paraId="68FB5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402799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铁皮柜报废（</w:t>
            </w:r>
            <w:r>
              <w:rPr>
                <w:rFonts w:hint="eastAsia" w:ascii="宋体" w:hAnsi="宋体" w:eastAsia="宋体" w:cs="宋体"/>
                <w:color w:val="auto"/>
                <w:sz w:val="20"/>
                <w:szCs w:val="20"/>
                <w:highlight w:val="none"/>
                <w:lang w:val="en-US" w:eastAsia="zh-CN"/>
              </w:rPr>
              <w:t>搬运</w:t>
            </w:r>
            <w:r>
              <w:rPr>
                <w:rFonts w:hint="eastAsia" w:ascii="宋体" w:hAnsi="宋体" w:eastAsia="宋体" w:cs="宋体"/>
                <w:color w:val="auto"/>
                <w:sz w:val="20"/>
                <w:szCs w:val="20"/>
                <w:highlight w:val="none"/>
              </w:rPr>
              <w:t>）</w:t>
            </w:r>
          </w:p>
        </w:tc>
        <w:tc>
          <w:tcPr>
            <w:tcW w:w="913" w:type="pct"/>
            <w:noWrap w:val="0"/>
            <w:vAlign w:val="center"/>
          </w:tcPr>
          <w:p w14:paraId="120F7EE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每个</w:t>
            </w:r>
          </w:p>
        </w:tc>
        <w:tc>
          <w:tcPr>
            <w:tcW w:w="962" w:type="pct"/>
            <w:noWrap w:val="0"/>
            <w:vAlign w:val="center"/>
          </w:tcPr>
          <w:p w14:paraId="438DAF5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467EC6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运至指定地点</w:t>
            </w:r>
          </w:p>
        </w:tc>
      </w:tr>
      <w:tr w14:paraId="1CD1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0ED0BC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病床报废（</w:t>
            </w:r>
            <w:r>
              <w:rPr>
                <w:rFonts w:hint="eastAsia" w:ascii="宋体" w:hAnsi="宋体" w:eastAsia="宋体" w:cs="宋体"/>
                <w:color w:val="auto"/>
                <w:sz w:val="20"/>
                <w:szCs w:val="20"/>
                <w:highlight w:val="none"/>
                <w:lang w:val="en-US" w:eastAsia="zh-CN"/>
              </w:rPr>
              <w:t>搬运</w:t>
            </w:r>
            <w:r>
              <w:rPr>
                <w:rFonts w:hint="eastAsia" w:ascii="宋体" w:hAnsi="宋体" w:eastAsia="宋体" w:cs="宋体"/>
                <w:color w:val="auto"/>
                <w:sz w:val="20"/>
                <w:szCs w:val="20"/>
                <w:highlight w:val="none"/>
              </w:rPr>
              <w:t>）</w:t>
            </w:r>
          </w:p>
        </w:tc>
        <w:tc>
          <w:tcPr>
            <w:tcW w:w="913" w:type="pct"/>
            <w:noWrap w:val="0"/>
            <w:vAlign w:val="center"/>
          </w:tcPr>
          <w:p w14:paraId="4CF94E3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每个</w:t>
            </w:r>
          </w:p>
        </w:tc>
        <w:tc>
          <w:tcPr>
            <w:tcW w:w="962" w:type="pct"/>
            <w:noWrap w:val="0"/>
            <w:vAlign w:val="center"/>
          </w:tcPr>
          <w:p w14:paraId="35D4A52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1837C69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运至指定地点</w:t>
            </w:r>
          </w:p>
        </w:tc>
      </w:tr>
      <w:tr w14:paraId="7AD2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5F20BE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机场椅维修（含往返搬运）</w:t>
            </w:r>
          </w:p>
        </w:tc>
        <w:tc>
          <w:tcPr>
            <w:tcW w:w="913" w:type="pct"/>
            <w:noWrap w:val="0"/>
            <w:vAlign w:val="center"/>
          </w:tcPr>
          <w:p w14:paraId="0210789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w:t>
            </w:r>
            <w:r>
              <w:rPr>
                <w:rFonts w:hint="eastAsia" w:ascii="宋体" w:hAnsi="宋体" w:eastAsia="宋体" w:cs="宋体"/>
                <w:color w:val="auto"/>
                <w:sz w:val="20"/>
                <w:szCs w:val="20"/>
                <w:highlight w:val="none"/>
                <w:lang w:val="en-US" w:eastAsia="zh-CN"/>
              </w:rPr>
              <w:t>组</w:t>
            </w:r>
          </w:p>
        </w:tc>
        <w:tc>
          <w:tcPr>
            <w:tcW w:w="962" w:type="pct"/>
            <w:noWrap w:val="0"/>
            <w:vAlign w:val="center"/>
          </w:tcPr>
          <w:p w14:paraId="16314F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72E10FE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6407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25DA3C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餐桌椅维修（含往返搬运）</w:t>
            </w:r>
          </w:p>
        </w:tc>
        <w:tc>
          <w:tcPr>
            <w:tcW w:w="913" w:type="pct"/>
            <w:noWrap w:val="0"/>
            <w:vAlign w:val="center"/>
          </w:tcPr>
          <w:p w14:paraId="4BBD2EC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每个</w:t>
            </w:r>
          </w:p>
        </w:tc>
        <w:tc>
          <w:tcPr>
            <w:tcW w:w="962" w:type="pct"/>
            <w:noWrap w:val="0"/>
            <w:vAlign w:val="center"/>
          </w:tcPr>
          <w:p w14:paraId="69B0F95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287D4CB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r>
      <w:tr w14:paraId="6EDA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38832F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门锁维修</w:t>
            </w:r>
          </w:p>
        </w:tc>
        <w:tc>
          <w:tcPr>
            <w:tcW w:w="913" w:type="pct"/>
            <w:noWrap w:val="0"/>
            <w:vAlign w:val="center"/>
          </w:tcPr>
          <w:p w14:paraId="2636050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每把</w:t>
            </w:r>
          </w:p>
        </w:tc>
        <w:tc>
          <w:tcPr>
            <w:tcW w:w="962" w:type="pct"/>
            <w:noWrap w:val="0"/>
            <w:vAlign w:val="center"/>
          </w:tcPr>
          <w:p w14:paraId="475D838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2DB394D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lang w:val="en-US" w:eastAsia="zh-CN"/>
              </w:rPr>
            </w:pPr>
          </w:p>
        </w:tc>
      </w:tr>
      <w:tr w14:paraId="5899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0F92C4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柜锁维修</w:t>
            </w:r>
          </w:p>
        </w:tc>
        <w:tc>
          <w:tcPr>
            <w:tcW w:w="913" w:type="pct"/>
            <w:noWrap w:val="0"/>
            <w:vAlign w:val="center"/>
          </w:tcPr>
          <w:p w14:paraId="01BC2C4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每把</w:t>
            </w:r>
          </w:p>
        </w:tc>
        <w:tc>
          <w:tcPr>
            <w:tcW w:w="962" w:type="pct"/>
            <w:noWrap w:val="0"/>
            <w:vAlign w:val="center"/>
          </w:tcPr>
          <w:p w14:paraId="43879BB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10FEF27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0A46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69D90D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科室零星搬运</w:t>
            </w:r>
          </w:p>
        </w:tc>
        <w:tc>
          <w:tcPr>
            <w:tcW w:w="913" w:type="pct"/>
            <w:noWrap w:val="0"/>
            <w:vAlign w:val="center"/>
          </w:tcPr>
          <w:p w14:paraId="0F9495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人次/小时</w:t>
            </w:r>
          </w:p>
        </w:tc>
        <w:tc>
          <w:tcPr>
            <w:tcW w:w="962" w:type="pct"/>
            <w:noWrap w:val="0"/>
            <w:vAlign w:val="center"/>
          </w:tcPr>
          <w:p w14:paraId="073CC8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2752AF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7A2D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0CE28E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送氧气罐</w:t>
            </w:r>
          </w:p>
        </w:tc>
        <w:tc>
          <w:tcPr>
            <w:tcW w:w="913" w:type="pct"/>
            <w:noWrap w:val="0"/>
            <w:vAlign w:val="center"/>
          </w:tcPr>
          <w:p w14:paraId="2C9B16F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bookmarkStart w:id="14" w:name="_GoBack"/>
            <w:bookmarkEnd w:id="14"/>
            <w:r>
              <w:rPr>
                <w:rFonts w:hint="eastAsia" w:ascii="宋体" w:hAnsi="宋体" w:eastAsia="宋体" w:cs="宋体"/>
                <w:color w:val="auto"/>
                <w:sz w:val="20"/>
                <w:szCs w:val="20"/>
                <w:highlight w:val="none"/>
              </w:rPr>
              <w:t>个</w:t>
            </w:r>
          </w:p>
        </w:tc>
        <w:tc>
          <w:tcPr>
            <w:tcW w:w="962" w:type="pct"/>
            <w:noWrap w:val="0"/>
            <w:vAlign w:val="center"/>
          </w:tcPr>
          <w:p w14:paraId="5F2B318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038427F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r w14:paraId="0CF2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2040" w:type="pct"/>
            <w:noWrap w:val="0"/>
            <w:vAlign w:val="center"/>
          </w:tcPr>
          <w:p w14:paraId="18EDAB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木门维修</w:t>
            </w:r>
          </w:p>
        </w:tc>
        <w:tc>
          <w:tcPr>
            <w:tcW w:w="913" w:type="pct"/>
            <w:noWrap w:val="0"/>
            <w:vAlign w:val="center"/>
          </w:tcPr>
          <w:p w14:paraId="6B3A4EF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套</w:t>
            </w:r>
          </w:p>
        </w:tc>
        <w:tc>
          <w:tcPr>
            <w:tcW w:w="962" w:type="pct"/>
            <w:noWrap w:val="0"/>
            <w:vAlign w:val="center"/>
          </w:tcPr>
          <w:p w14:paraId="4205DF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c>
          <w:tcPr>
            <w:tcW w:w="1084" w:type="pct"/>
            <w:noWrap w:val="0"/>
            <w:vAlign w:val="center"/>
          </w:tcPr>
          <w:p w14:paraId="51090C4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0"/>
                <w:szCs w:val="20"/>
                <w:highlight w:val="none"/>
              </w:rPr>
            </w:pPr>
          </w:p>
        </w:tc>
      </w:tr>
    </w:tbl>
    <w:p w14:paraId="1E26F242">
      <w:pPr>
        <w:numPr>
          <w:ilvl w:val="0"/>
          <w:numId w:val="0"/>
        </w:numPr>
        <w:spacing w:after="0"/>
        <w:ind w:firstLine="0" w:firstLineChars="0"/>
        <w:jc w:val="left"/>
        <w:rPr>
          <w:rFonts w:hint="eastAsia"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注：1、此处所列清单项为暂定清单项，如项目实施过程中出现本表所列清单项之外的工程服务，由采购人确认后，供应商方可实施。</w:t>
      </w:r>
    </w:p>
    <w:p w14:paraId="36ABC7E7">
      <w:pPr>
        <w:rPr>
          <w:highlight w:val="none"/>
        </w:rPr>
      </w:pPr>
      <w:r>
        <w:rPr>
          <w:rFonts w:hint="eastAsia" w:ascii="宋体" w:hAnsi="宋体" w:eastAsia="宋体" w:cs="宋体"/>
          <w:b/>
          <w:bCs/>
          <w:color w:val="auto"/>
          <w:sz w:val="20"/>
          <w:szCs w:val="20"/>
          <w:highlight w:val="none"/>
          <w:lang w:val="en-US" w:eastAsia="zh-CN"/>
        </w:rPr>
        <w:t>2、本次采购的优惠率=供应商最后综合单价合计/本次采购最高限价单价合计（优惠率四舍五入保留两位小数），在实际服务过程中若出现现有</w:t>
      </w:r>
      <w:r>
        <w:rPr>
          <w:rFonts w:hint="eastAsia" w:ascii="宋体" w:hAnsi="宋体" w:eastAsia="宋体" w:cs="宋体"/>
          <w:b/>
          <w:bCs/>
          <w:color w:val="auto"/>
          <w:sz w:val="20"/>
          <w:szCs w:val="20"/>
          <w:highlight w:val="none"/>
        </w:rPr>
        <w:t>表单中未列项目，根据</w:t>
      </w:r>
      <w:r>
        <w:rPr>
          <w:rFonts w:hint="eastAsia" w:ascii="宋体" w:hAnsi="宋体" w:eastAsia="宋体" w:cs="宋体"/>
          <w:b/>
          <w:bCs/>
          <w:color w:val="auto"/>
          <w:sz w:val="20"/>
          <w:szCs w:val="20"/>
          <w:highlight w:val="none"/>
          <w:lang w:val="en-US" w:eastAsia="zh-CN"/>
        </w:rPr>
        <w:t>实际</w:t>
      </w:r>
      <w:r>
        <w:rPr>
          <w:rFonts w:hint="eastAsia" w:ascii="宋体" w:hAnsi="宋体" w:eastAsia="宋体" w:cs="宋体"/>
          <w:b/>
          <w:bCs/>
          <w:color w:val="auto"/>
          <w:sz w:val="20"/>
          <w:szCs w:val="20"/>
          <w:highlight w:val="none"/>
        </w:rPr>
        <w:t>维修内容和实际用工量</w:t>
      </w:r>
      <w:r>
        <w:rPr>
          <w:rFonts w:hint="eastAsia" w:ascii="宋体" w:hAnsi="宋体" w:eastAsia="宋体" w:cs="宋体"/>
          <w:b/>
          <w:bCs/>
          <w:color w:val="auto"/>
          <w:sz w:val="20"/>
          <w:szCs w:val="20"/>
          <w:highlight w:val="none"/>
          <w:lang w:val="en-US" w:eastAsia="zh-CN"/>
        </w:rPr>
        <w:t>情况</w:t>
      </w:r>
      <w:r>
        <w:rPr>
          <w:rFonts w:hint="eastAsia" w:ascii="宋体" w:hAnsi="宋体" w:eastAsia="宋体" w:cs="宋体"/>
          <w:b/>
          <w:bCs/>
          <w:color w:val="auto"/>
          <w:sz w:val="20"/>
          <w:szCs w:val="20"/>
          <w:highlight w:val="none"/>
        </w:rPr>
        <w:t>，</w:t>
      </w:r>
      <w:r>
        <w:rPr>
          <w:rFonts w:hint="eastAsia" w:ascii="宋体" w:hAnsi="宋体" w:eastAsia="宋体" w:cs="宋体"/>
          <w:b/>
          <w:bCs/>
          <w:color w:val="auto"/>
          <w:sz w:val="20"/>
          <w:szCs w:val="20"/>
          <w:highlight w:val="none"/>
          <w:lang w:val="en-US" w:eastAsia="zh-CN"/>
        </w:rPr>
        <w:t>采购人确认的综合单价*本次采购的优惠率，最终结算金额</w:t>
      </w:r>
      <w:r>
        <w:rPr>
          <w:rFonts w:hint="eastAsia" w:ascii="宋体" w:hAnsi="宋体" w:eastAsia="宋体" w:cs="宋体"/>
          <w:b/>
          <w:bCs/>
          <w:color w:val="auto"/>
          <w:sz w:val="20"/>
          <w:szCs w:val="20"/>
          <w:highlight w:val="none"/>
        </w:rPr>
        <w:t>以</w:t>
      </w:r>
      <w:r>
        <w:rPr>
          <w:rFonts w:hint="eastAsia" w:ascii="宋体" w:hAnsi="宋体" w:cs="宋体"/>
          <w:b/>
          <w:bCs/>
          <w:color w:val="auto"/>
          <w:sz w:val="20"/>
          <w:szCs w:val="20"/>
          <w:highlight w:val="none"/>
          <w:lang w:eastAsia="zh-CN"/>
        </w:rPr>
        <w:t>甲方总务部</w:t>
      </w:r>
      <w:r>
        <w:rPr>
          <w:rFonts w:hint="eastAsia" w:ascii="宋体" w:hAnsi="宋体" w:eastAsia="宋体" w:cs="宋体"/>
          <w:b/>
          <w:bCs/>
          <w:color w:val="auto"/>
          <w:sz w:val="20"/>
          <w:szCs w:val="20"/>
          <w:highlight w:val="none"/>
        </w:rPr>
        <w:t>管理人员和使用科室签字工单为准。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780"/>
        </w:tabs>
        <w:ind w:left="780" w:hanging="420"/>
      </w:p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
    <w:nsid w:val="00000006"/>
    <w:multiLevelType w:val="multilevel"/>
    <w:tmpl w:val="00000006"/>
    <w:lvl w:ilvl="0" w:tentative="0">
      <w:start w:val="1"/>
      <w:numFmt w:val="decimal"/>
      <w:lvlText w:val="%1."/>
      <w:lvlJc w:val="left"/>
      <w:pPr>
        <w:tabs>
          <w:tab w:val="left" w:pos="780"/>
        </w:tabs>
        <w:ind w:left="78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426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2026-05-26T06:34:29Z</dcterms:created>
  <dc:creator>Administrator</dc:creator>
  <cp:lastModifiedBy>周乐</cp:lastModifiedBy>
  <dcterms:modified xsi:type="dcterms:W3CDTF">2026-05-26T06:34:51Z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DCD950B660504296A62F44BF9EC2C505_12</vt:lpwstr>
  </property>
</Properties>
</file>