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版本号：GCZB2026-06-106-L20260706002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2026级新生宿舍粉刷及设施维修项目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GCZB2026-06-106-L</w:t>
      </w:r>
      <w:r>
        <w:br/>
      </w:r>
      <w:r>
        <w:br/>
      </w:r>
      <w:r>
        <w:br/>
      </w:r>
    </w:p>
    <w:p>
      <w:pPr>
        <w:pStyle w:val="null3"/>
        <w:jc w:val="center"/>
        <w:outlineLvl w:val="2"/>
      </w:pPr>
      <w:r>
        <w:rPr>
          <w:rFonts w:ascii="仿宋_GB2312" w:hAnsi="仿宋_GB2312" w:cs="仿宋_GB2312" w:eastAsia="仿宋_GB2312"/>
          <w:sz w:val="28"/>
          <w:b/>
        </w:rPr>
        <w:t>陕西交通职业技术学院</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陕西交通职业技术学院</w:t>
      </w:r>
      <w:r>
        <w:rPr>
          <w:rFonts w:ascii="仿宋_GB2312" w:hAnsi="仿宋_GB2312" w:cs="仿宋_GB2312" w:eastAsia="仿宋_GB2312"/>
        </w:rPr>
        <w:t>委托，拟对</w:t>
      </w:r>
      <w:r>
        <w:rPr>
          <w:rFonts w:ascii="仿宋_GB2312" w:hAnsi="仿宋_GB2312" w:cs="仿宋_GB2312" w:eastAsia="仿宋_GB2312"/>
        </w:rPr>
        <w:t>2026级新生宿舍粉刷及设施维修项目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GCZB2026-06-106-L</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2026级新生宿舍粉刷及设施维修项目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陕西交通职业技术学院2026级新生宿舍粉刷及设施维修项目，具体内容详见第三章技术、服务标准和要求。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采购包1（2026级新生宿舍粉刷及设施维修项目）：属于专门面向中小企业采购。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注册会计师行业统一监管平台(网址http://acc.mof.gov.cn)赋码可查询的2024年度或2025年度审计报告，或提交投标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3、税收缴纳证明：提供响应文件递交截止日前一年内已缴存的至少一个月的纳税证明或完税证明。依法免税的投标人应提供相关文件证明；</w:t>
      </w:r>
    </w:p>
    <w:p>
      <w:pPr>
        <w:pStyle w:val="null3"/>
      </w:pPr>
      <w:r>
        <w:rPr>
          <w:rFonts w:ascii="仿宋_GB2312" w:hAnsi="仿宋_GB2312" w:cs="仿宋_GB2312" w:eastAsia="仿宋_GB2312"/>
        </w:rPr>
        <w:t>4、社会保障资金缴纳证明：提供响应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7、法定代表人授权书：供应商应授权合法的人员参加磋商，其中法定代表人直接参加的，须出具法定代表人证明书；被授权代表参加的，须出具法定代表人授权书；（非法人单位的负责人均参照执行）；</w:t>
      </w:r>
    </w:p>
    <w:p>
      <w:pPr>
        <w:pStyle w:val="null3"/>
      </w:pPr>
      <w:r>
        <w:rPr>
          <w:rFonts w:ascii="仿宋_GB2312" w:hAnsi="仿宋_GB2312" w:cs="仿宋_GB2312" w:eastAsia="仿宋_GB2312"/>
        </w:rPr>
        <w:t>8、建筑资质：具备建设行政主管部门核发的建筑装修装饰工程专业承包二级资质及以上资质；</w:t>
      </w:r>
    </w:p>
    <w:p>
      <w:pPr>
        <w:pStyle w:val="null3"/>
      </w:pPr>
      <w:r>
        <w:rPr>
          <w:rFonts w:ascii="仿宋_GB2312" w:hAnsi="仿宋_GB2312" w:cs="仿宋_GB2312" w:eastAsia="仿宋_GB2312"/>
        </w:rPr>
        <w:t>9、安全生产许可证：具备有效的安全生产许可证；</w:t>
      </w:r>
    </w:p>
    <w:p>
      <w:pPr>
        <w:pStyle w:val="null3"/>
      </w:pPr>
      <w:r>
        <w:rPr>
          <w:rFonts w:ascii="仿宋_GB2312" w:hAnsi="仿宋_GB2312" w:cs="仿宋_GB2312" w:eastAsia="仿宋_GB2312"/>
        </w:rPr>
        <w:t>10、项目经理：拟派项目经理须具备建筑工程专业二级（含二级）及以上建造师资格，同时具备有效的安全生产考核合格证（建安B证），且无在建项目（提供无在建工程承诺书）；</w:t>
      </w:r>
    </w:p>
    <w:p>
      <w:pPr>
        <w:pStyle w:val="null3"/>
      </w:pPr>
      <w:r>
        <w:rPr>
          <w:rFonts w:ascii="仿宋_GB2312" w:hAnsi="仿宋_GB2312" w:cs="仿宋_GB2312" w:eastAsia="仿宋_GB2312"/>
        </w:rPr>
        <w:t>11、落实政府采购政策需满足的资格要求：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p>
      <w:pPr>
        <w:pStyle w:val="null3"/>
      </w:pPr>
      <w:r>
        <w:rPr>
          <w:rFonts w:ascii="仿宋_GB2312" w:hAnsi="仿宋_GB2312" w:cs="仿宋_GB2312" w:eastAsia="仿宋_GB2312"/>
        </w:rPr>
        <w:t>12、直接控股、管理关系：单位负责人为同一人或存在直接控股、管理关系的不同单位，不得同时参加本项目投标活动。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陕西交通职业技术学院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西安市未央区文景北路19号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029-86405598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任蕾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15389063039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采购包1：984,850.00元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代理服务费收费标准：成交服务费参照国家发展和改革委员会《招标代理服务收费暂行办法》（计价格[2002]1980号）及发改办价格[2003]857号文件的规定标准下浮 20% 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踏勘时间：2026-07-11 09:30:00</w:t>
            </w:r>
          </w:p>
          <w:p>
            <w:pPr>
              <w:pStyle w:val="null3"/>
              <w:ind w:firstLine="975"/>
            </w:pPr>
            <w:r>
              <w:rPr>
                <w:rFonts w:ascii="仿宋_GB2312" w:hAnsi="仿宋_GB2312" w:cs="仿宋_GB2312" w:eastAsia="仿宋_GB2312"/>
              </w:rPr>
              <w:t>踏勘地点：陕西交通职业技术学院文景校区</w:t>
            </w:r>
          </w:p>
          <w:p>
            <w:pPr>
              <w:pStyle w:val="null3"/>
              <w:ind w:firstLine="975"/>
            </w:pPr>
            <w:r>
              <w:rPr>
                <w:rFonts w:ascii="仿宋_GB2312" w:hAnsi="仿宋_GB2312" w:cs="仿宋_GB2312" w:eastAsia="仿宋_GB2312"/>
              </w:rPr>
              <w:t>联系人：王老师</w:t>
            </w:r>
          </w:p>
          <w:p>
            <w:pPr>
              <w:pStyle w:val="null3"/>
              <w:ind w:firstLine="975"/>
            </w:pPr>
            <w:r>
              <w:rPr>
                <w:rFonts w:ascii="仿宋_GB2312" w:hAnsi="仿宋_GB2312" w:cs="仿宋_GB2312" w:eastAsia="仿宋_GB2312"/>
              </w:rPr>
              <w:t>联系电话号码：18829292325</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陕西交通职业技术学院</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陕西交通职业技术学院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陕西交通职业技术学院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联系电话：15389063039</w:t>
      </w:r>
    </w:p>
    <w:p>
      <w:pPr>
        <w:pStyle w:val="null3"/>
      </w:pPr>
      <w:r>
        <w:rPr>
          <w:rFonts w:ascii="仿宋_GB2312" w:hAnsi="仿宋_GB2312" w:cs="仿宋_GB2312" w:eastAsia="仿宋_GB2312"/>
        </w:rPr>
        <w:t>地址：西安市莲湖区高新一路正信大厦A座24楼（569761717@qq.com）</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984,850.00</w:t>
      </w:r>
    </w:p>
    <w:p>
      <w:pPr>
        <w:pStyle w:val="null3"/>
      </w:pPr>
      <w:r>
        <w:rPr>
          <w:rFonts w:ascii="仿宋_GB2312" w:hAnsi="仿宋_GB2312" w:cs="仿宋_GB2312" w:eastAsia="仿宋_GB2312"/>
        </w:rPr>
        <w:t>采购包最高限价（元）: 942,693.96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2026级新生宿舍粉刷及设施维修项目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984,850.00</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标的名称：2026级新生宿舍粉刷及设施维修项目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40"/>
              <w:gridCol w:w="254"/>
              <w:gridCol w:w="2059"/>
            </w:tblGrid>
            <w:tr>
              <w:tc>
                <w:tcPr>
                  <w:tcW w:type="dxa" w:w="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参数性质</w:t>
                  </w:r>
                </w:p>
              </w:tc>
              <w:tc>
                <w:tcPr>
                  <w:tcW w:type="dxa" w:w="20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19"/>
                    </w:rPr>
                    <w:t xml:space="preserve"> </w:t>
                  </w:r>
                  <w:r>
                    <w:rPr>
                      <w:rFonts w:ascii="仿宋_GB2312" w:hAnsi="仿宋_GB2312" w:cs="仿宋_GB2312" w:eastAsia="仿宋_GB2312"/>
                      <w:sz w:val="19"/>
                    </w:rPr>
                    <w:t>技术参数与性能指标</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19"/>
                    </w:rPr>
                    <w:t>1</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p>
              </w:tc>
              <w:tc>
                <w:tcPr>
                  <w:tcW w:type="dxa" w:w="20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一、</w:t>
                  </w:r>
                  <w:r>
                    <w:rPr>
                      <w:rFonts w:ascii="仿宋_GB2312" w:hAnsi="仿宋_GB2312" w:cs="仿宋_GB2312" w:eastAsia="仿宋_GB2312"/>
                      <w:sz w:val="19"/>
                      <w:b/>
                    </w:rPr>
                    <w:t>项目</w:t>
                  </w:r>
                  <w:r>
                    <w:rPr>
                      <w:rFonts w:ascii="仿宋_GB2312" w:hAnsi="仿宋_GB2312" w:cs="仿宋_GB2312" w:eastAsia="仿宋_GB2312"/>
                      <w:sz w:val="19"/>
                      <w:b/>
                    </w:rPr>
                    <w:t>概况</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实施地点：通远校区、文景校区（不含</w:t>
                  </w:r>
                  <w:r>
                    <w:rPr>
                      <w:rFonts w:ascii="仿宋_GB2312" w:hAnsi="仿宋_GB2312" w:cs="仿宋_GB2312" w:eastAsia="仿宋_GB2312"/>
                      <w:sz w:val="20"/>
                    </w:rPr>
                    <w:t>4#公寓）、自强校区学生公寓</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施工范围：三校区</w:t>
                  </w:r>
                  <w:r>
                    <w:rPr>
                      <w:rFonts w:ascii="仿宋_GB2312" w:hAnsi="仿宋_GB2312" w:cs="仿宋_GB2312" w:eastAsia="仿宋_GB2312"/>
                      <w:sz w:val="20"/>
                    </w:rPr>
                    <w:t>2026 级新生入住宿舍、室内卫生间、洗漱间及楼道公共区域。</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改造标准：墙面</w:t>
                  </w:r>
                  <w:r>
                    <w:rPr>
                      <w:rFonts w:ascii="仿宋_GB2312" w:hAnsi="仿宋_GB2312" w:cs="仿宋_GB2312" w:eastAsia="仿宋_GB2312"/>
                      <w:sz w:val="20"/>
                    </w:rPr>
                    <w:t>局部打磨修补</w:t>
                  </w:r>
                  <w:r>
                    <w:rPr>
                      <w:rFonts w:ascii="仿宋_GB2312" w:hAnsi="仿宋_GB2312" w:cs="仿宋_GB2312" w:eastAsia="仿宋_GB2312"/>
                      <w:sz w:val="20"/>
                    </w:rPr>
                    <w:t>、</w:t>
                  </w:r>
                  <w:r>
                    <w:rPr>
                      <w:rFonts w:ascii="仿宋_GB2312" w:hAnsi="仿宋_GB2312" w:cs="仿宋_GB2312" w:eastAsia="仿宋_GB2312"/>
                      <w:sz w:val="20"/>
                    </w:rPr>
                    <w:t>刷</w:t>
                  </w:r>
                  <w:r>
                    <w:rPr>
                      <w:rFonts w:ascii="仿宋_GB2312" w:hAnsi="仿宋_GB2312" w:cs="仿宋_GB2312" w:eastAsia="仿宋_GB2312"/>
                      <w:sz w:val="20"/>
                    </w:rPr>
                    <w:t>乳胶漆，破损</w:t>
                  </w:r>
                  <w:r>
                    <w:rPr>
                      <w:rFonts w:ascii="仿宋_GB2312" w:hAnsi="仿宋_GB2312" w:cs="仿宋_GB2312" w:eastAsia="仿宋_GB2312"/>
                      <w:sz w:val="20"/>
                    </w:rPr>
                    <w:t>门锁</w:t>
                  </w:r>
                  <w:r>
                    <w:rPr>
                      <w:rFonts w:ascii="仿宋_GB2312" w:hAnsi="仿宋_GB2312" w:cs="仿宋_GB2312" w:eastAsia="仿宋_GB2312"/>
                      <w:sz w:val="20"/>
                    </w:rPr>
                    <w:t>更换、</w:t>
                  </w:r>
                  <w:r>
                    <w:rPr>
                      <w:rFonts w:ascii="仿宋_GB2312" w:hAnsi="仿宋_GB2312" w:cs="仿宋_GB2312" w:eastAsia="仿宋_GB2312"/>
                      <w:sz w:val="20"/>
                    </w:rPr>
                    <w:t>部分</w:t>
                  </w:r>
                  <w:r>
                    <w:rPr>
                      <w:rFonts w:ascii="仿宋_GB2312" w:hAnsi="仿宋_GB2312" w:cs="仿宋_GB2312" w:eastAsia="仿宋_GB2312"/>
                      <w:sz w:val="20"/>
                    </w:rPr>
                    <w:t>卫生间加装吊顶、空鼓顶面修复，全屋及公共区域深度保洁。</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19"/>
                    </w:rPr>
                    <w:t>2</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p>
              </w:tc>
              <w:tc>
                <w:tcPr>
                  <w:tcW w:type="dxa" w:w="20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19"/>
                      <w:b/>
                    </w:rPr>
                    <w:t>主要改造内容：</w:t>
                  </w:r>
                </w:p>
                <w:p>
                  <w:pPr>
                    <w:pStyle w:val="null3"/>
                    <w:ind w:firstLine="400"/>
                    <w:jc w:val="both"/>
                  </w:pPr>
                  <w:r>
                    <w:rPr>
                      <w:rFonts w:ascii="仿宋_GB2312" w:hAnsi="仿宋_GB2312" w:cs="仿宋_GB2312" w:eastAsia="仿宋_GB2312"/>
                      <w:sz w:val="20"/>
                    </w:rPr>
                    <w:t>1.文景校区</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1）除4号公寓外共364间宿舍墙面、顶面局部打磨修复，整体刷乳胶漆，全屋及窗户深度保洁，生活垃圾清运。</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2）拆除 122 间原有卫生间旧门扇，新装木门；48 间卫生间新做吊顶并更换卫生间吸顶灯。</w:t>
                  </w:r>
                </w:p>
                <w:p>
                  <w:pPr>
                    <w:pStyle w:val="null3"/>
                    <w:ind w:firstLine="400"/>
                    <w:jc w:val="both"/>
                  </w:pPr>
                  <w:r>
                    <w:rPr>
                      <w:rFonts w:ascii="仿宋_GB2312" w:hAnsi="仿宋_GB2312" w:cs="仿宋_GB2312" w:eastAsia="仿宋_GB2312"/>
                      <w:sz w:val="20"/>
                    </w:rPr>
                    <w:t>2.通远校区</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1）滋兰、树蕙、桃李宿舍楼 460 间宿舍全屋深度保洁、生活垃圾统一清运。</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2）针对局部破损墙面打磨修补，对30 间重度污损宿舍墙、顶整体铲除粉刷，乳胶漆两遍。</w:t>
                  </w:r>
                </w:p>
                <w:p>
                  <w:pPr>
                    <w:pStyle w:val="null3"/>
                    <w:ind w:firstLine="400"/>
                    <w:jc w:val="both"/>
                  </w:pPr>
                  <w:r>
                    <w:rPr>
                      <w:rFonts w:ascii="仿宋_GB2312" w:hAnsi="仿宋_GB2312" w:cs="仿宋_GB2312" w:eastAsia="仿宋_GB2312"/>
                      <w:sz w:val="20"/>
                    </w:rPr>
                    <w:t>3.自强校区</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1）A、B、C 公寓 110 间宿舍墙面修补粉刷、全屋深度保洁；铲除部分宿舍顶面空鼓区域，石膏找平后重新粉刷。</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2）对所有共用卫生洗漱间破损部位修补、专项深度保洁，建筑垃圾定点外运。</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19"/>
                    </w:rPr>
                    <w:t>3</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p>
              </w:tc>
              <w:tc>
                <w:tcPr>
                  <w:tcW w:type="dxa" w:w="20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三、</w:t>
                  </w:r>
                  <w:r>
                    <w:rPr>
                      <w:rFonts w:ascii="仿宋_GB2312" w:hAnsi="仿宋_GB2312" w:cs="仿宋_GB2312" w:eastAsia="仿宋_GB2312"/>
                      <w:sz w:val="19"/>
                      <w:b/>
                    </w:rPr>
                    <w:t>招标要求</w:t>
                  </w:r>
                </w:p>
                <w:p>
                  <w:pPr>
                    <w:pStyle w:val="null3"/>
                    <w:ind w:firstLine="480"/>
                  </w:pPr>
                  <w:r>
                    <w:rPr>
                      <w:rFonts w:ascii="仿宋_GB2312" w:hAnsi="仿宋_GB2312" w:cs="仿宋_GB2312" w:eastAsia="仿宋_GB2312"/>
                      <w:sz w:val="19"/>
                    </w:rPr>
                    <w:t>本项目采用固定</w:t>
                  </w:r>
                  <w:r>
                    <w:rPr>
                      <w:rFonts w:ascii="仿宋_GB2312" w:hAnsi="仿宋_GB2312" w:cs="仿宋_GB2312" w:eastAsia="仿宋_GB2312"/>
                      <w:sz w:val="19"/>
                    </w:rPr>
                    <w:t>总价</w:t>
                  </w:r>
                  <w:r>
                    <w:rPr>
                      <w:rFonts w:ascii="仿宋_GB2312" w:hAnsi="仿宋_GB2312" w:cs="仿宋_GB2312" w:eastAsia="仿宋_GB2312"/>
                      <w:sz w:val="19"/>
                    </w:rPr>
                    <w:t>合同，报价应是完成所要求的全部内容及承包范围内所需的全部费用，包括但不限于产品的报价所发生的：人工费、设备费（主材及辅材，材质要求符合国家相关标准及采购人要求）、机械费、包装、运输、仓储、保管、保险、装卸（卸货至采购人指定地点）规费、税金、利润、运杂费（含保险）、现场安装费、调试费、维保期内的维保费用、措施费、垃圾清运费用、检测费、市场价格风险、社会干扰因素排除费、知识版权费用、政府关于监测、技术监督、</w:t>
                  </w:r>
                  <w:r>
                    <w:rPr>
                      <w:rFonts w:ascii="仿宋_GB2312" w:hAnsi="仿宋_GB2312" w:cs="仿宋_GB2312" w:eastAsia="仿宋_GB2312"/>
                      <w:sz w:val="19"/>
                    </w:rPr>
                    <w:t>执法、</w:t>
                  </w:r>
                  <w:r>
                    <w:rPr>
                      <w:rFonts w:ascii="仿宋_GB2312" w:hAnsi="仿宋_GB2312" w:cs="仿宋_GB2312" w:eastAsia="仿宋_GB2312"/>
                      <w:sz w:val="19"/>
                    </w:rPr>
                    <w:t>质量监督等相关职能部门手续</w:t>
                  </w:r>
                  <w:r>
                    <w:rPr>
                      <w:rFonts w:ascii="仿宋_GB2312" w:hAnsi="仿宋_GB2312" w:cs="仿宋_GB2312" w:eastAsia="仿宋_GB2312"/>
                      <w:sz w:val="19"/>
                    </w:rPr>
                    <w:t>办理</w:t>
                  </w:r>
                  <w:r>
                    <w:rPr>
                      <w:rFonts w:ascii="仿宋_GB2312" w:hAnsi="仿宋_GB2312" w:cs="仿宋_GB2312" w:eastAsia="仿宋_GB2312"/>
                      <w:sz w:val="19"/>
                    </w:rPr>
                    <w:t>相关费用等在内的一切费用。</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19"/>
                    </w:rPr>
                    <w:t>4</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p>
              </w:tc>
              <w:tc>
                <w:tcPr>
                  <w:tcW w:type="dxa" w:w="20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四、</w:t>
                  </w:r>
                  <w:r>
                    <w:rPr>
                      <w:rFonts w:ascii="仿宋_GB2312" w:hAnsi="仿宋_GB2312" w:cs="仿宋_GB2312" w:eastAsia="仿宋_GB2312"/>
                      <w:sz w:val="19"/>
                      <w:b/>
                    </w:rPr>
                    <w:t>项目要求</w:t>
                  </w:r>
                </w:p>
                <w:p>
                  <w:pPr>
                    <w:pStyle w:val="null3"/>
                    <w:ind w:firstLine="480"/>
                  </w:pP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承包方式：包工包料，</w:t>
                  </w:r>
                  <w:r>
                    <w:rPr>
                      <w:rFonts w:ascii="仿宋_GB2312" w:hAnsi="仿宋_GB2312" w:cs="仿宋_GB2312" w:eastAsia="仿宋_GB2312"/>
                      <w:sz w:val="19"/>
                    </w:rPr>
                    <w:t>总价包干</w:t>
                  </w:r>
                  <w:r>
                    <w:rPr>
                      <w:rFonts w:ascii="仿宋_GB2312" w:hAnsi="仿宋_GB2312" w:cs="仿宋_GB2312" w:eastAsia="仿宋_GB2312"/>
                      <w:sz w:val="19"/>
                    </w:rPr>
                    <w:t>。</w:t>
                  </w:r>
                </w:p>
                <w:p>
                  <w:pPr>
                    <w:pStyle w:val="null3"/>
                    <w:ind w:firstLine="480"/>
                  </w:pPr>
                  <w:r>
                    <w:rPr>
                      <w:rFonts w:ascii="仿宋_GB2312" w:hAnsi="仿宋_GB2312" w:cs="仿宋_GB2312" w:eastAsia="仿宋_GB2312"/>
                      <w:sz w:val="19"/>
                    </w:rPr>
                    <w:t>2.</w:t>
                  </w:r>
                  <w:r>
                    <w:rPr>
                      <w:rFonts w:ascii="仿宋_GB2312" w:hAnsi="仿宋_GB2312" w:cs="仿宋_GB2312" w:eastAsia="仿宋_GB2312"/>
                      <w:sz w:val="19"/>
                    </w:rPr>
                    <w:t>工期：</w:t>
                  </w:r>
                  <w:r>
                    <w:rPr>
                      <w:rFonts w:ascii="仿宋_GB2312" w:hAnsi="仿宋_GB2312" w:cs="仿宋_GB2312" w:eastAsia="仿宋_GB2312"/>
                      <w:sz w:val="19"/>
                    </w:rPr>
                    <w:t>30日历天</w:t>
                  </w:r>
                </w:p>
                <w:p>
                  <w:pPr>
                    <w:pStyle w:val="null3"/>
                    <w:ind w:firstLine="480"/>
                  </w:pPr>
                  <w:r>
                    <w:rPr>
                      <w:rFonts w:ascii="仿宋_GB2312" w:hAnsi="仿宋_GB2312" w:cs="仿宋_GB2312" w:eastAsia="仿宋_GB2312"/>
                      <w:sz w:val="19"/>
                    </w:rPr>
                    <w:t>3.</w:t>
                  </w:r>
                  <w:r>
                    <w:rPr>
                      <w:rFonts w:ascii="仿宋_GB2312" w:hAnsi="仿宋_GB2312" w:cs="仿宋_GB2312" w:eastAsia="仿宋_GB2312"/>
                      <w:sz w:val="19"/>
                    </w:rPr>
                    <w:t>质保期：验收合格之日起</w:t>
                  </w:r>
                  <w:r>
                    <w:rPr>
                      <w:rFonts w:ascii="仿宋_GB2312" w:hAnsi="仿宋_GB2312" w:cs="仿宋_GB2312" w:eastAsia="仿宋_GB2312"/>
                      <w:sz w:val="19"/>
                    </w:rPr>
                    <w:t>2年</w:t>
                  </w:r>
                  <w:r>
                    <w:rPr>
                      <w:rFonts w:ascii="仿宋_GB2312" w:hAnsi="仿宋_GB2312" w:cs="仿宋_GB2312" w:eastAsia="仿宋_GB2312"/>
                      <w:sz w:val="19"/>
                    </w:rPr>
                    <w:t>。</w:t>
                  </w:r>
                </w:p>
                <w:p>
                  <w:pPr>
                    <w:pStyle w:val="null3"/>
                    <w:ind w:firstLine="480"/>
                  </w:pPr>
                  <w:r>
                    <w:rPr>
                      <w:rFonts w:ascii="仿宋_GB2312" w:hAnsi="仿宋_GB2312" w:cs="仿宋_GB2312" w:eastAsia="仿宋_GB2312"/>
                      <w:sz w:val="19"/>
                    </w:rPr>
                    <w:t>4.</w:t>
                  </w:r>
                  <w:r>
                    <w:rPr>
                      <w:rFonts w:ascii="仿宋_GB2312" w:hAnsi="仿宋_GB2312" w:cs="仿宋_GB2312" w:eastAsia="仿宋_GB2312"/>
                      <w:sz w:val="19"/>
                    </w:rPr>
                    <w:t>付款方式：</w:t>
                  </w:r>
                  <w:r>
                    <w:rPr>
                      <w:rFonts w:ascii="仿宋_GB2312" w:hAnsi="仿宋_GB2312" w:cs="仿宋_GB2312" w:eastAsia="仿宋_GB2312"/>
                      <w:sz w:val="19"/>
                    </w:rPr>
                    <w:t>本项目施工结束且经现场验收完毕后，乙方提交全额合规发票并经甲方审核无误后【</w:t>
                  </w:r>
                  <w:r>
                    <w:rPr>
                      <w:rFonts w:ascii="仿宋_GB2312" w:hAnsi="仿宋_GB2312" w:cs="仿宋_GB2312" w:eastAsia="仿宋_GB2312"/>
                      <w:sz w:val="19"/>
                    </w:rPr>
                    <w:t>20】个工作日内，甲方向乙方支付合同总金额97%。</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19"/>
                    </w:rPr>
                    <w:t>5</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p>
              </w:tc>
              <w:tc>
                <w:tcPr>
                  <w:tcW w:type="dxa" w:w="20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五、工程说明</w:t>
                  </w:r>
                </w:p>
                <w:p>
                  <w:pPr>
                    <w:pStyle w:val="null3"/>
                    <w:ind w:firstLine="480"/>
                  </w:pPr>
                  <w:r>
                    <w:rPr>
                      <w:rFonts w:ascii="仿宋_GB2312" w:hAnsi="仿宋_GB2312" w:cs="仿宋_GB2312" w:eastAsia="仿宋_GB2312"/>
                      <w:sz w:val="19"/>
                    </w:rPr>
                    <w:t>1. 项目所有涂料、门窗、吊顶等主材均满足国家环保、防火规范，材料进场报验验收合格后方可使用。</w:t>
                  </w:r>
                </w:p>
                <w:p>
                  <w:pPr>
                    <w:pStyle w:val="null3"/>
                    <w:ind w:firstLine="480"/>
                  </w:pPr>
                  <w:r>
                    <w:rPr>
                      <w:rFonts w:ascii="仿宋_GB2312" w:hAnsi="仿宋_GB2312" w:cs="仿宋_GB2312" w:eastAsia="仿宋_GB2312"/>
                      <w:sz w:val="19"/>
                    </w:rPr>
                    <w:t>2. 利用暑期窗口期集中组织施工，2026 级新生报到前完成全部施工内容、竣工验收并交付使用。</w:t>
                  </w:r>
                </w:p>
                <w:p>
                  <w:pPr>
                    <w:pStyle w:val="null3"/>
                    <w:ind w:firstLine="480"/>
                  </w:pPr>
                  <w:r>
                    <w:rPr>
                      <w:rFonts w:ascii="仿宋_GB2312" w:hAnsi="仿宋_GB2312" w:cs="仿宋_GB2312" w:eastAsia="仿宋_GB2312"/>
                      <w:sz w:val="19"/>
                    </w:rPr>
                    <w:t>3. 施工内容涵盖原有设施拆除、材料运输、现场安装、建筑垃圾外运、成品保护、竣工保洁全流程。</w:t>
                  </w:r>
                </w:p>
                <w:p>
                  <w:pPr>
                    <w:pStyle w:val="null3"/>
                    <w:ind w:firstLine="480"/>
                  </w:pPr>
                  <w:r>
                    <w:rPr>
                      <w:rFonts w:ascii="仿宋_GB2312" w:hAnsi="仿宋_GB2312" w:cs="仿宋_GB2312" w:eastAsia="仿宋_GB2312"/>
                      <w:sz w:val="19"/>
                    </w:rPr>
                    <w:t>4. 项目结算按照现场实际完成工程量、中标综合单价据实结算，工期管控、付款节点、竣工验收严格遵照学校工程管理制度执行。</w:t>
                  </w:r>
                </w:p>
                <w:p>
                  <w:pPr>
                    <w:pStyle w:val="null3"/>
                    <w:ind w:firstLine="480"/>
                  </w:pP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p>
              </w:tc>
              <w:tc>
                <w:tcPr>
                  <w:tcW w:type="dxa" w:w="20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rPr>
                    <w:t>六、</w:t>
                  </w:r>
                  <w:r>
                    <w:rPr>
                      <w:rFonts w:ascii="仿宋_GB2312" w:hAnsi="仿宋_GB2312" w:cs="仿宋_GB2312" w:eastAsia="仿宋_GB2312"/>
                      <w:sz w:val="19"/>
                      <w:b/>
                    </w:rPr>
                    <w:t>违约责任</w:t>
                  </w:r>
                </w:p>
                <w:p>
                  <w:pPr>
                    <w:pStyle w:val="null3"/>
                    <w:ind w:firstLine="480"/>
                  </w:pPr>
                  <w:r>
                    <w:rPr>
                      <w:rFonts w:ascii="仿宋_GB2312" w:hAnsi="仿宋_GB2312" w:cs="仿宋_GB2312" w:eastAsia="仿宋_GB2312"/>
                      <w:sz w:val="19"/>
                    </w:rPr>
                    <w:t>1</w:t>
                  </w:r>
                  <w:r>
                    <w:rPr>
                      <w:rFonts w:ascii="仿宋_GB2312" w:hAnsi="仿宋_GB2312" w:cs="仿宋_GB2312" w:eastAsia="仿宋_GB2312"/>
                      <w:sz w:val="19"/>
                    </w:rPr>
                    <w:t>.</w:t>
                  </w:r>
                  <w:r>
                    <w:rPr>
                      <w:rFonts w:ascii="仿宋_GB2312" w:hAnsi="仿宋_GB2312" w:cs="仿宋_GB2312" w:eastAsia="仿宋_GB2312"/>
                      <w:sz w:val="19"/>
                    </w:rPr>
                    <w:t>因承包人原因造成工期推迟，不能按时交付使用，按</w:t>
                  </w:r>
                  <w:r>
                    <w:rPr>
                      <w:rFonts w:ascii="仿宋_GB2312" w:hAnsi="仿宋_GB2312" w:cs="仿宋_GB2312" w:eastAsia="仿宋_GB2312"/>
                      <w:sz w:val="19"/>
                    </w:rPr>
                    <w:t>5</w:t>
                  </w:r>
                  <w:r>
                    <w:rPr>
                      <w:rFonts w:ascii="仿宋_GB2312" w:hAnsi="仿宋_GB2312" w:cs="仿宋_GB2312" w:eastAsia="仿宋_GB2312"/>
                      <w:sz w:val="19"/>
                    </w:rPr>
                    <w:t>000元/天进行处罚。</w:t>
                  </w:r>
                </w:p>
                <w:p>
                  <w:pPr>
                    <w:pStyle w:val="null3"/>
                    <w:ind w:firstLine="480"/>
                  </w:pP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19"/>
                    </w:rPr>
                    <w:t>现场所有施工工艺环节均需严格按照规范要求进行施工，不得随意减少、调整、变更工序、做法，未</w:t>
                  </w:r>
                  <w:r>
                    <w:rPr>
                      <w:rFonts w:ascii="仿宋_GB2312" w:hAnsi="仿宋_GB2312" w:cs="仿宋_GB2312" w:eastAsia="仿宋_GB2312"/>
                      <w:sz w:val="19"/>
                    </w:rPr>
                    <w:t>施作</w:t>
                  </w:r>
                  <w:r>
                    <w:rPr>
                      <w:rFonts w:ascii="仿宋_GB2312" w:hAnsi="仿宋_GB2312" w:cs="仿宋_GB2312" w:eastAsia="仿宋_GB2312"/>
                      <w:sz w:val="19"/>
                    </w:rPr>
                    <w:t>或未按标准进行</w:t>
                  </w:r>
                  <w:r>
                    <w:rPr>
                      <w:rFonts w:ascii="仿宋_GB2312" w:hAnsi="仿宋_GB2312" w:cs="仿宋_GB2312" w:eastAsia="仿宋_GB2312"/>
                      <w:sz w:val="19"/>
                    </w:rPr>
                    <w:t>施作</w:t>
                  </w:r>
                  <w:r>
                    <w:rPr>
                      <w:rFonts w:ascii="仿宋_GB2312" w:hAnsi="仿宋_GB2312" w:cs="仿宋_GB2312" w:eastAsia="仿宋_GB2312"/>
                      <w:sz w:val="19"/>
                    </w:rPr>
                    <w:t>的，发包人将按</w:t>
                  </w:r>
                  <w:r>
                    <w:rPr>
                      <w:rFonts w:ascii="仿宋_GB2312" w:hAnsi="仿宋_GB2312" w:cs="仿宋_GB2312" w:eastAsia="仿宋_GB2312"/>
                      <w:sz w:val="19"/>
                    </w:rPr>
                    <w:t>5</w:t>
                  </w:r>
                  <w:r>
                    <w:rPr>
                      <w:rFonts w:ascii="仿宋_GB2312" w:hAnsi="仿宋_GB2312" w:cs="仿宋_GB2312" w:eastAsia="仿宋_GB2312"/>
                      <w:sz w:val="19"/>
                    </w:rPr>
                    <w:t>000元/次进行处罚并扣减相关工程量和费用。</w:t>
                  </w:r>
                </w:p>
                <w:p>
                  <w:pPr>
                    <w:pStyle w:val="null3"/>
                    <w:ind w:firstLine="480"/>
                  </w:pPr>
                  <w:r>
                    <w:rPr>
                      <w:rFonts w:ascii="仿宋_GB2312" w:hAnsi="仿宋_GB2312" w:cs="仿宋_GB2312" w:eastAsia="仿宋_GB2312"/>
                      <w:sz w:val="19"/>
                    </w:rPr>
                    <w:t>3</w:t>
                  </w:r>
                  <w:r>
                    <w:rPr>
                      <w:rFonts w:ascii="仿宋_GB2312" w:hAnsi="仿宋_GB2312" w:cs="仿宋_GB2312" w:eastAsia="仿宋_GB2312"/>
                      <w:sz w:val="19"/>
                    </w:rPr>
                    <w:t>.</w:t>
                  </w:r>
                  <w:r>
                    <w:rPr>
                      <w:rFonts w:ascii="仿宋_GB2312" w:hAnsi="仿宋_GB2312" w:cs="仿宋_GB2312" w:eastAsia="仿宋_GB2312"/>
                      <w:sz w:val="19"/>
                    </w:rPr>
                    <w:t>承包人在施工过程中应服从发包人代表下发的现场指令，若无故不服从或者拖延不整改的，视情节轻重处以</w:t>
                  </w:r>
                  <w:r>
                    <w:rPr>
                      <w:rFonts w:ascii="仿宋_GB2312" w:hAnsi="仿宋_GB2312" w:cs="仿宋_GB2312" w:eastAsia="仿宋_GB2312"/>
                      <w:sz w:val="19"/>
                    </w:rPr>
                    <w:t>2</w:t>
                  </w:r>
                  <w:r>
                    <w:rPr>
                      <w:rFonts w:ascii="仿宋_GB2312" w:hAnsi="仿宋_GB2312" w:cs="仿宋_GB2312" w:eastAsia="仿宋_GB2312"/>
                      <w:sz w:val="19"/>
                    </w:rPr>
                    <w:t>000元/次（或天）的罚款。</w:t>
                  </w:r>
                </w:p>
                <w:p>
                  <w:pPr>
                    <w:pStyle w:val="null3"/>
                    <w:ind w:firstLine="480"/>
                  </w:pP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19"/>
                    </w:rPr>
                    <w:t>未能及时支付农民工工资造成工期延误和恶劣影响的，工期不予顺延，如发生围堵发包人或影响发包人正常办公时，发包人有权对承包人处以</w:t>
                  </w:r>
                  <w:r>
                    <w:rPr>
                      <w:rFonts w:ascii="仿宋_GB2312" w:hAnsi="仿宋_GB2312" w:cs="仿宋_GB2312" w:eastAsia="仿宋_GB2312"/>
                      <w:sz w:val="19"/>
                    </w:rPr>
                    <w:t>1万元/次（或天）的处罚；若类似事件发生超过2次，发包人有权解除合同并扣除已完成工程量20%的工程款。</w:t>
                  </w:r>
                </w:p>
                <w:p>
                  <w:pPr>
                    <w:pStyle w:val="null3"/>
                    <w:ind w:firstLine="480"/>
                  </w:pPr>
                  <w:r>
                    <w:rPr>
                      <w:rFonts w:ascii="仿宋_GB2312" w:hAnsi="仿宋_GB2312" w:cs="仿宋_GB2312" w:eastAsia="仿宋_GB2312"/>
                      <w:sz w:val="19"/>
                    </w:rPr>
                    <w:t>5</w:t>
                  </w:r>
                  <w:r>
                    <w:rPr>
                      <w:rFonts w:ascii="仿宋_GB2312" w:hAnsi="仿宋_GB2312" w:cs="仿宋_GB2312" w:eastAsia="仿宋_GB2312"/>
                      <w:sz w:val="19"/>
                    </w:rPr>
                    <w:t>.</w:t>
                  </w:r>
                  <w:r>
                    <w:rPr>
                      <w:rFonts w:ascii="仿宋_GB2312" w:hAnsi="仿宋_GB2312" w:cs="仿宋_GB2312" w:eastAsia="仿宋_GB2312"/>
                      <w:sz w:val="19"/>
                    </w:rPr>
                    <w:t>工程质量验收若一次性达不到规范要求，承包人必须返工以达到约定的质量标准，返工费用由承包人承担；若返工后仍达不到约定的质量标准，承包人继续完善该部分工程直至合格，同时处以该分部分项工程造价</w:t>
                  </w:r>
                  <w:r>
                    <w:rPr>
                      <w:rFonts w:ascii="仿宋_GB2312" w:hAnsi="仿宋_GB2312" w:cs="仿宋_GB2312" w:eastAsia="仿宋_GB2312"/>
                      <w:sz w:val="19"/>
                    </w:rPr>
                    <w:t>5%的罚款；若造成永久质量缺陷但不影响正常使用时处以该分部分项工程造价20%-50%的罚款。</w:t>
                  </w:r>
                </w:p>
                <w:p>
                  <w:pPr>
                    <w:pStyle w:val="null3"/>
                    <w:ind w:firstLine="480"/>
                  </w:pPr>
                  <w:r>
                    <w:rPr>
                      <w:rFonts w:ascii="仿宋_GB2312" w:hAnsi="仿宋_GB2312" w:cs="仿宋_GB2312" w:eastAsia="仿宋_GB2312"/>
                      <w:sz w:val="19"/>
                    </w:rPr>
                    <w:t>6</w:t>
                  </w:r>
                  <w:r>
                    <w:rPr>
                      <w:rFonts w:ascii="仿宋_GB2312" w:hAnsi="仿宋_GB2312" w:cs="仿宋_GB2312" w:eastAsia="仿宋_GB2312"/>
                      <w:sz w:val="19"/>
                    </w:rPr>
                    <w:t>.</w:t>
                  </w:r>
                  <w:r>
                    <w:rPr>
                      <w:rFonts w:ascii="仿宋_GB2312" w:hAnsi="仿宋_GB2312" w:cs="仿宋_GB2312" w:eastAsia="仿宋_GB2312"/>
                      <w:sz w:val="19"/>
                    </w:rPr>
                    <w:t>如发包人在工程交付使用后，发现工程存在质量问题或承包人未按图纸及规范要求进行施工的，承包人须免费维修，同时发包人保留对承包人追诉、处罚等权利。</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19"/>
                    </w:rPr>
                    <w:t>7</w:t>
                  </w:r>
                </w:p>
              </w:tc>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审计要求</w:t>
                  </w:r>
                </w:p>
              </w:tc>
              <w:tc>
                <w:tcPr>
                  <w:tcW w:type="dxa" w:w="20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19"/>
                    </w:rPr>
                    <w:t>根据陕西交通职业技术学院</w:t>
                  </w:r>
                  <w:r>
                    <w:rPr>
                      <w:rFonts w:ascii="仿宋_GB2312" w:hAnsi="仿宋_GB2312" w:cs="仿宋_GB2312" w:eastAsia="仿宋_GB2312"/>
                      <w:sz w:val="19"/>
                    </w:rPr>
                    <w:t>(陕交院(2019)24号)关于印发《内部审计工作规定》等三项制度的规定:(1)投资预算在30万元以上的建设工程项目，工程管理部门在起草招标文件和工程发包合同时，必须附加审计条款。(2)附加审计条款必须明确以下内容:审减额小于送审总造价5%，审计基本费由学校承担，审计成果费由施工单位承担。审减额大于送审总造价5%，审计的基本费及成果费全部由施工单位承担。</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符合国家相关质量要求及验收标准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磋商保证金退还：1）未中标单位：招标结束后，将根据所提供信息退还各投标单位保证金，无需亲自前来办理；2）成交单位：在采购合同签订并按规定交纳代理服务费后五个工作日内退还。（办理退保证金：需提供与甲方签订的合同原件的扫描件一份（pdf格式）发送至此邮箱（945990512@qq.com）,发送时务必备注项目名称+项目编号，发送成功后告知此联系方式：029-89286620-808）；2、投标单位如开具电子保函请在开标前把电子保函PDF版发送至569761717@qq.com。2.因投标文件格式原因，付款条件按照以下约定执行：本项目施工结束且经现场验收完毕后，乙方提交全额合规发票并经甲方审核无误后【20】个工作日内，甲方向乙方支付合同总金额97%；质保期满后甲方【20】个工作日内支付剩余的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2投标人资格证明文件.docx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2投标人资格证明文件.docx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注册会计师行业统一监管平台(网址http://acc.mof.gov.cn)赋码可查询的2024年度或2025年度审计报告，或提交投标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提供响应文件递交截止日前一年内已缴存的至少一个月的纳税证明或完税证明。依法免税的投标人应提供相关文件证明；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供应商应授权合法的人员参加磋商，其中法定代表人直接参加的，须出具法定代表人证明书；被授权代表参加的，须出具法定代表人授权书；（非法人单位的负责人均参照执行）；</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建筑资质</w:t>
            </w:r>
          </w:p>
        </w:tc>
        <w:tc>
          <w:tcPr>
            <w:tcW w:type="dxa" w:w="3322"/>
          </w:tcPr>
          <w:p>
            <w:pPr>
              <w:pStyle w:val="null3"/>
            </w:pPr>
            <w:r>
              <w:rPr>
                <w:rFonts w:ascii="仿宋_GB2312" w:hAnsi="仿宋_GB2312" w:cs="仿宋_GB2312" w:eastAsia="仿宋_GB2312"/>
              </w:rPr>
              <w:t>具备建设行政主管部门核发的建筑装修装饰工程专业承包二级资质及以上资质；</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安全生产许可证</w:t>
            </w:r>
          </w:p>
        </w:tc>
        <w:tc>
          <w:tcPr>
            <w:tcW w:type="dxa" w:w="3322"/>
          </w:tcPr>
          <w:p>
            <w:pPr>
              <w:pStyle w:val="null3"/>
            </w:pPr>
            <w:r>
              <w:rPr>
                <w:rFonts w:ascii="仿宋_GB2312" w:hAnsi="仿宋_GB2312" w:cs="仿宋_GB2312" w:eastAsia="仿宋_GB2312"/>
              </w:rPr>
              <w:t>具备有效的安全生产许可证；</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拟派项目经理须具备建筑工程专业二级（含二级）及以上建造师资格，同时具备有效的安全生产考核合格证（建安B证），且无在建项目（提供无在建工程承诺书）；</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2投标人资格证明文件.docx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 3、政府采购评审中出现下列情形之一的，评审委员会应当启动异常低价投标审查程序：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已标价工程量清单 报价函 标的清单 强制优先采购产品承诺函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响应文件语言、有效期</w:t>
            </w:r>
          </w:p>
        </w:tc>
        <w:tc>
          <w:tcPr>
            <w:tcW w:type="dxa" w:w="3322"/>
          </w:tcPr>
          <w:p>
            <w:pPr>
              <w:pStyle w:val="null3"/>
            </w:pPr>
            <w:r>
              <w:rPr>
                <w:rFonts w:ascii="仿宋_GB2312" w:hAnsi="仿宋_GB2312" w:cs="仿宋_GB2312" w:eastAsia="仿宋_GB2312"/>
              </w:rPr>
              <w:t>响应文件语言、有效期符合磋商文件的要求。</w:t>
            </w:r>
          </w:p>
        </w:tc>
        <w:tc>
          <w:tcPr>
            <w:tcW w:type="dxa" w:w="1661"/>
          </w:tcPr>
          <w:p>
            <w:pPr>
              <w:pStyle w:val="null3"/>
            </w:pPr>
            <w:r>
              <w:rPr>
                <w:rFonts w:ascii="仿宋_GB2312" w:hAnsi="仿宋_GB2312" w:cs="仿宋_GB2312" w:eastAsia="仿宋_GB2312"/>
              </w:rPr>
              <w:t>响应文件封面 2投标人资格证明文件.docx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响应文件封面 2投标人资格证明文件.docx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w:t>
            </w:r>
          </w:p>
        </w:tc>
        <w:tc>
          <w:tcPr>
            <w:tcW w:type="dxa" w:w="1661"/>
          </w:tcPr>
          <w:p>
            <w:pPr>
              <w:pStyle w:val="null3"/>
            </w:pPr>
            <w:r>
              <w:rPr>
                <w:rFonts w:ascii="仿宋_GB2312" w:hAnsi="仿宋_GB2312" w:cs="仿宋_GB2312" w:eastAsia="仿宋_GB2312"/>
              </w:rPr>
              <w:t>响应文件封面 2投标人资格证明文件.docx 1报价表.docx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响应报价表</w:t>
            </w:r>
          </w:p>
        </w:tc>
        <w:tc>
          <w:tcPr>
            <w:tcW w:type="dxa" w:w="3322"/>
          </w:tcPr>
          <w:p>
            <w:pPr>
              <w:pStyle w:val="null3"/>
            </w:pPr>
            <w:r>
              <w:rPr>
                <w:rFonts w:ascii="仿宋_GB2312" w:hAnsi="仿宋_GB2312" w:cs="仿宋_GB2312" w:eastAsia="仿宋_GB2312"/>
              </w:rPr>
              <w:t>（1）响应报价表填写符合要求； （2）计量单位、报价货币均符合谈判文件要求； （3）投标报价未超出采购预算或招标文件规定的最高限价。</w:t>
            </w:r>
          </w:p>
        </w:tc>
        <w:tc>
          <w:tcPr>
            <w:tcW w:type="dxa" w:w="1661"/>
          </w:tcPr>
          <w:p>
            <w:pPr>
              <w:pStyle w:val="null3"/>
            </w:pPr>
            <w:r>
              <w:rPr>
                <w:rFonts w:ascii="仿宋_GB2312" w:hAnsi="仿宋_GB2312" w:cs="仿宋_GB2312" w:eastAsia="仿宋_GB2312"/>
              </w:rPr>
              <w:t>响应文件封面 1报价表.docx 报价函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无其他磋商文件或法规明确规定投标无效的事项</w:t>
            </w:r>
          </w:p>
        </w:tc>
        <w:tc>
          <w:tcPr>
            <w:tcW w:type="dxa" w:w="3322"/>
          </w:tcPr>
          <w:p>
            <w:pPr>
              <w:pStyle w:val="null3"/>
            </w:pPr>
            <w:r>
              <w:rPr>
                <w:rFonts w:ascii="仿宋_GB2312" w:hAnsi="仿宋_GB2312" w:cs="仿宋_GB2312" w:eastAsia="仿宋_GB2312"/>
              </w:rPr>
              <w:t>没有不符合磋商文件规定的被视为无效投标的其他条款。</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有完全理解并接受磋商文件合同基本条款要求的描述。</w:t>
            </w:r>
          </w:p>
        </w:tc>
        <w:tc>
          <w:tcPr>
            <w:tcW w:type="dxa" w:w="1661"/>
          </w:tcPr>
          <w:p>
            <w:pPr>
              <w:pStyle w:val="null3"/>
            </w:pPr>
            <w:r>
              <w:rPr>
                <w:rFonts w:ascii="仿宋_GB2312" w:hAnsi="仿宋_GB2312" w:cs="仿宋_GB2312" w:eastAsia="仿宋_GB2312"/>
              </w:rPr>
              <w:t>响应文件封面 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施工方案： （1）施工方案极其详细、各部分措施具体，内容详细、完整、全面，可行性极强，得8分； （2）施工方案详细、各部分措施具体，内容全面，可行性强，得7分； （3）施工方案比较详细、各部分措施较为具体，内容比较完善，有一定可行性，得6分； （4）施工方案较为简单、各部分措施较为简单，可行性一般，得4分。 （5）施工方案简陋、仅有基本的描述，可行性差，得2分。 注：未提供不得分。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工程质量保证措施： （1）工程质量保证措施详细、完整、可行性强，得3分； （2）质量保证措施较为详细、基本完整、有一定可行性，得2分； （3）工程质量保证措施简陋、仅有基本的描述，可行性差，得1分。 注：未提供不得分。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安全施工组织措施</w:t>
            </w:r>
          </w:p>
        </w:tc>
        <w:tc>
          <w:tcPr>
            <w:tcW w:type="dxa" w:w="2492"/>
          </w:tcPr>
          <w:p>
            <w:pPr>
              <w:pStyle w:val="null3"/>
            </w:pPr>
            <w:r>
              <w:rPr>
                <w:rFonts w:ascii="仿宋_GB2312" w:hAnsi="仿宋_GB2312" w:cs="仿宋_GB2312" w:eastAsia="仿宋_GB2312"/>
              </w:rPr>
              <w:t>安全施工组织措施： （1）安全施工组织措施详细、完整、可行性强，得3分； （2）安全施工组织措施较为详细、基本完整、有一定可行性，得2分； （3）安全施工组织措施简陋、仅有基本的描述，可行性差，得1分。 注：未提供不得分。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文明施工措施： （1）文明施工措施详细、完整、可行性强，得3分； （2）文明施工措施较为详细、基本完整、有一定可行性，得2分； （3）文明施工措施简陋、仅有基本的描述，可行性差，得1分。 注：未提供不得分。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拟派施工项目部</w:t>
            </w:r>
          </w:p>
        </w:tc>
        <w:tc>
          <w:tcPr>
            <w:tcW w:type="dxa" w:w="2492"/>
          </w:tcPr>
          <w:p>
            <w:pPr>
              <w:pStyle w:val="null3"/>
            </w:pPr>
            <w:r>
              <w:rPr>
                <w:rFonts w:ascii="仿宋_GB2312" w:hAnsi="仿宋_GB2312" w:cs="仿宋_GB2312" w:eastAsia="仿宋_GB2312"/>
              </w:rPr>
              <w:t>拟派施工项目部： （1）施工项目部组织架构极其清晰，分工极其明确，责任清晰，专业作业队配置齐全、完整详细得5分； （2）施工项目部组织架构清晰，分工明确，责任清晰，专业作业队配置齐全得4分； （3）施工项目部组织架构基本清晰，分工较为明确，责任相对清晰，专业作业队配置较为齐全得3分； （4）施工项目部组织架构较为简单，分工不明确，专业作业队配置一般得2分； （5）内容简陋、仅有基本的描述，不能满足项目需要得1分。 注：未提供不得分。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施工机械设备配备计划</w:t>
            </w:r>
          </w:p>
        </w:tc>
        <w:tc>
          <w:tcPr>
            <w:tcW w:type="dxa" w:w="2492"/>
          </w:tcPr>
          <w:p>
            <w:pPr>
              <w:pStyle w:val="null3"/>
            </w:pPr>
            <w:r>
              <w:rPr>
                <w:rFonts w:ascii="仿宋_GB2312" w:hAnsi="仿宋_GB2312" w:cs="仿宋_GB2312" w:eastAsia="仿宋_GB2312"/>
              </w:rPr>
              <w:t>施工机械设备配备计划： （1）施工机械配备数量充足，类别齐全，机械设备投入计划详细完善，完全满足项目实施需要得5分； （2）施工机械配备数量较为充足、类别基本齐全，机械设备投入计划较为完善、合理，较好符合本项目施工需求得4分； （3）施工机械配备数量基本充足、类别覆盖核心需求，机械设备投入计划基本完善，基本符合本项目施工需求得3分； （4）施工机械配备数量和类别仅能勉强满足最低施工需求，机械设备投入计划较为粗略，不能满足本项目施工需求得2分； （5）内容简陋、仅有基本的描述，不能满足本项目施工需求得1分。 注：未提供不得分。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劳动力安排计划： （1）劳动力安排详细、合理，完全满足项目实施需要得3分； （2）劳动力安排较为详细、合理，基本满足项目实施需要得2分； （3）内容简陋、仅有基本的描述，不能满足项目需要得1分。 注：未提供不得分。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工程进度计划及措施</w:t>
            </w:r>
          </w:p>
        </w:tc>
        <w:tc>
          <w:tcPr>
            <w:tcW w:type="dxa" w:w="2492"/>
          </w:tcPr>
          <w:p>
            <w:pPr>
              <w:pStyle w:val="null3"/>
            </w:pPr>
            <w:r>
              <w:rPr>
                <w:rFonts w:ascii="仿宋_GB2312" w:hAnsi="仿宋_GB2312" w:cs="仿宋_GB2312" w:eastAsia="仿宋_GB2312"/>
              </w:rPr>
              <w:t>工程进度计划及措施： （1）工期满足采购要求，提供工程进度表或施工网络图以及详细的措施，工期控制连贯、清晰、合理、规范，得3分； （2）工期满足采购要求，提供工程进度表或施工网络图以及基本的措施，工期控制较为连贯、清晰、合理、规范，得2分； （3）工期满足采购要求，但未提供工程进度表或施工网络图以及措施，工期控制不连贯、不清晰、不合理、不规范，得1分。 注：未提供不得分。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防水施工技术措施</w:t>
            </w:r>
          </w:p>
        </w:tc>
        <w:tc>
          <w:tcPr>
            <w:tcW w:type="dxa" w:w="2492"/>
          </w:tcPr>
          <w:p>
            <w:pPr>
              <w:pStyle w:val="null3"/>
            </w:pPr>
            <w:r>
              <w:rPr>
                <w:rFonts w:ascii="仿宋_GB2312" w:hAnsi="仿宋_GB2312" w:cs="仿宋_GB2312" w:eastAsia="仿宋_GB2312"/>
              </w:rPr>
              <w:t>供应商应根据自身实力、经验以及工程实际情况提供施工技术措施，不限于施工前准备、细部节点处理、质量控制、常见问题预防。 （1）防水施工技术措施极其详细、各部分措施具体，内容详细、完整、全面，可行性极强，得6分； （2）防水施工技术措施详细、各部分措施具体，内容全面，可行性强，得5分； （3）防水施工技术措施比较详细、各部分措施较为具体，内容比较完善，有一定可行性，得4分； （4）防水施工技术措施较为简单、各部分措施较为简单，可行性一般，得3分。 （5）防水施工技术措施简陋、仅有基本的描述，可行性差，得2分。 注：未提供不得分。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主要材料选型</w:t>
            </w:r>
          </w:p>
        </w:tc>
        <w:tc>
          <w:tcPr>
            <w:tcW w:type="dxa" w:w="2492"/>
          </w:tcPr>
          <w:p>
            <w:pPr>
              <w:pStyle w:val="null3"/>
            </w:pPr>
            <w:r>
              <w:rPr>
                <w:rFonts w:ascii="仿宋_GB2312" w:hAnsi="仿宋_GB2312" w:cs="仿宋_GB2312" w:eastAsia="仿宋_GB2312"/>
              </w:rPr>
              <w:t>供应商需提供主要材料清单及主要材料选型说明。 1、主要材料清单 （1）主要材料清单品目完整，品牌明确得6分； （2）主要材料清单品目基本完整，品牌不明确得4分； （3）主要材料清单简陋得2分。 2、提供主要材料选型说明 （1）选型说明详细，产品符合项目特征，资料齐全得5分； （2）有基本的选型说明，产品基本符合项目特征，资料齐全得3分； （3）选型说明简陋，产品不完全符合项目特征得1分； 注：未提供不得分。 3、主要材料来源及质量保证措施 （1）主要材料来源清晰，质量保证措施详细、完整，能有效保证主要材料质量得5分； （2）主要材料来源基本清晰，质量保证措施较为详细、完整，基本能保证主要材料质量得3分； （3）主要材料来源模糊，质量保证措施简陋，无法保证主要材料质量得1分； 注：未提供不得分。 4、拟投入的主要材料，具有环境标志认证证书的，每个产品得1分，最高2分。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1、项目经理具有工程类高级及以上职称的得3分，中级职称的得1分，其他的不得分。注：需提供身份证、职称证。 2、项目经理具有类似项目经验，每提供1份2023年1月1日至今业绩得1分，最高3分。注：需提供合同或验收报告或中标公告截图，且合同或验收报告或中标公告截图中能显示项目经理的名字。</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在本项目要求的质保期的基础上，每增加1年得2分，最高4分。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维保方案</w:t>
            </w:r>
          </w:p>
        </w:tc>
        <w:tc>
          <w:tcPr>
            <w:tcW w:type="dxa" w:w="2492"/>
          </w:tcPr>
          <w:p>
            <w:pPr>
              <w:pStyle w:val="null3"/>
            </w:pPr>
            <w:r>
              <w:rPr>
                <w:rFonts w:ascii="仿宋_GB2312" w:hAnsi="仿宋_GB2312" w:cs="仿宋_GB2312" w:eastAsia="仿宋_GB2312"/>
              </w:rPr>
              <w:t>供应商需根据自身实力和项目特点提供针对性的维保方案。 1、提供详细的维保人员名单，联系电话，并提供7X24小时服务响应的书面承诺得2分。（承诺书格式自拟） 2、维保方案（包括但不限于维保内容、维保方式、巡检等） （1）方案内容详细，措施具体，可行性强得3分； （2）方案内容较为详细，措施相对具体，有一定的可行性得2分； （3）方案内容简陋，缺乏措施，可行性差得1分； 注：未提供不得分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提供2023年1月1日至今(以合同签订日期为准类似业绩，以合同扫描件加盖公章为准。每提供1份得1分，最多5分，未提供得0分。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环保</w:t>
            </w:r>
          </w:p>
        </w:tc>
        <w:tc>
          <w:tcPr>
            <w:tcW w:type="dxa" w:w="2492"/>
          </w:tcPr>
          <w:p>
            <w:pPr>
              <w:pStyle w:val="null3"/>
            </w:pPr>
            <w:r>
              <w:rPr>
                <w:rFonts w:ascii="仿宋_GB2312" w:hAnsi="仿宋_GB2312" w:cs="仿宋_GB2312" w:eastAsia="仿宋_GB2312"/>
              </w:rPr>
              <w:t>供应商拟投入本项目主要材料产品中每有一项为环境标志产品经国家认证的得1分，最多得3分。（以经国家确定的认证机构出具的、处于有效期内的节能产品、环境标志产品认证证书为准。）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1报价表.docx</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磋商价格分统一采用低价优先法计算，即满足磋商文件要求且最后磋商报价最低的供应商的价格为磋商基准价，其价格分为满分。其他供应商的价格分统一按照下列公式计算： 磋商报价得分=(磋商基准价／最后磋商报价)×价格分值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1报价表.docx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详见附件：1报价表.docx</w:t>
      </w:r>
    </w:p>
    <w:p>
      <w:pPr>
        <w:pStyle w:val="null3"/>
        <w:ind w:firstLine="960"/>
      </w:pPr>
      <w:r>
        <w:rPr>
          <w:rFonts w:ascii="仿宋_GB2312" w:hAnsi="仿宋_GB2312" w:cs="仿宋_GB2312" w:eastAsia="仿宋_GB2312"/>
        </w:rPr>
        <w:t>详见附件：2投标人资格证明文件.docx</w:t>
      </w:r>
    </w:p>
    <w:p>
      <w:pPr>
        <w:pStyle w:val="null3"/>
        <w:ind w:firstLine="960"/>
      </w:pPr>
      <w:r>
        <w:rPr>
          <w:rFonts w:ascii="仿宋_GB2312" w:hAnsi="仿宋_GB2312" w:cs="仿宋_GB2312" w:eastAsia="仿宋_GB2312"/>
        </w:rPr>
        <w:t>详见附件：4投标方案.docx</w:t>
      </w:r>
    </w:p>
    <w:p>
      <w:pPr>
        <w:pStyle w:val="null3"/>
        <w:ind w:firstLine="960"/>
      </w:pPr>
      <w:r>
        <w:rPr>
          <w:rFonts w:ascii="仿宋_GB2312" w:hAnsi="仿宋_GB2312" w:cs="仿宋_GB2312" w:eastAsia="仿宋_GB2312"/>
        </w:rPr>
        <w:t>详见附件：供应商类似项目业绩一览表.docx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