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版本号：SNJZ-2026-148.1B120260818001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中国－中亚公平竞争政策研究报告(二次)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SNJZ-2026-148.1B1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中国－中亚公平竞争政策研究报告(二次)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SNJZ-2026-148.1B1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中国－中亚公平竞争政策研究报告(二次)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委托第三方机构开展中国－中亚公平竞争政策研究报告服务。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2、法人授权书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3、财务状况报告：提供经审计的2025年度的财务报告或银行出具的资信证明或财务报表或政府采购投标担保函。</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029-86138926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代理服务费收费标准：定额，5000元。成交供应商在收到成交通知书后五(5)个日历日内，向陕西教育招标有限责任公司交纳招标代理服务费。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本项⽬产⽣的全部成果的知识产权归采购⼈所有。 供应商应保证其提供的服务及交付的成果不侵犯任何第三⽅的知识产权。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委托第三方机构开展中国－中亚公平竞争政策研究报告服务。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中国－中亚公平竞争政策研究报告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标的名称：中国－中亚公平竞争政策研究报告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90" w:after="195"/>
                    <w:ind w:firstLine="482"/>
                  </w:pPr>
                  <w:r>
                    <w:rPr>
                      <w:rFonts w:ascii="仿宋_GB2312" w:hAnsi="仿宋_GB2312" w:cs="仿宋_GB2312" w:eastAsia="仿宋_GB2312"/>
                      <w:sz w:val="24"/>
                      <w:b/>
                      <w:color w:val="0000FF"/>
                      <w:shd w:fill="FFFFFF" w:val="clear"/>
                    </w:rPr>
                    <w:t>一、项目概况</w:t>
                  </w:r>
                </w:p>
                <w:p>
                  <w:pPr>
                    <w:pStyle w:val="null3"/>
                    <w:spacing w:before="195" w:after="195"/>
                    <w:ind w:firstLine="482"/>
                    <w:jc w:val="left"/>
                  </w:pPr>
                  <w:r>
                    <w:rPr>
                      <w:rFonts w:ascii="仿宋_GB2312" w:hAnsi="仿宋_GB2312" w:cs="仿宋_GB2312" w:eastAsia="仿宋_GB2312"/>
                      <w:sz w:val="24"/>
                      <w:b/>
                      <w:color w:val="0000FF"/>
                      <w:shd w:fill="FFFFFF" w:val="clear"/>
                    </w:rPr>
                    <w:t>1.</w:t>
                  </w:r>
                  <w:r>
                    <w:rPr>
                      <w:rFonts w:ascii="仿宋_GB2312" w:hAnsi="仿宋_GB2312" w:cs="仿宋_GB2312" w:eastAsia="仿宋_GB2312"/>
                      <w:sz w:val="24"/>
                      <w:b/>
                      <w:color w:val="0000FF"/>
                      <w:shd w:fill="FFFFFF" w:val="clear"/>
                    </w:rPr>
                    <w:t>1</w:t>
                  </w:r>
                  <w:r>
                    <w:rPr>
                      <w:rFonts w:ascii="仿宋_GB2312" w:hAnsi="仿宋_GB2312" w:cs="仿宋_GB2312" w:eastAsia="仿宋_GB2312"/>
                      <w:sz w:val="24"/>
                      <w:b/>
                      <w:color w:val="0000FF"/>
                      <w:shd w:fill="FFFFFF" w:val="clear"/>
                    </w:rPr>
                    <w:t xml:space="preserve"> </w:t>
                  </w:r>
                  <w:r>
                    <w:rPr>
                      <w:rFonts w:ascii="仿宋_GB2312" w:hAnsi="仿宋_GB2312" w:cs="仿宋_GB2312" w:eastAsia="仿宋_GB2312"/>
                      <w:sz w:val="24"/>
                      <w:b/>
                      <w:color w:val="0000FF"/>
                      <w:shd w:fill="FFFFFF" w:val="clear"/>
                    </w:rPr>
                    <w:t>项目背景</w:t>
                  </w:r>
                </w:p>
                <w:p>
                  <w:pPr>
                    <w:pStyle w:val="null3"/>
                    <w:spacing w:before="195" w:after="195"/>
                    <w:ind w:firstLine="480"/>
                    <w:jc w:val="left"/>
                  </w:pPr>
                  <w:r>
                    <w:rPr>
                      <w:rFonts w:ascii="仿宋_GB2312" w:hAnsi="仿宋_GB2312" w:cs="仿宋_GB2312" w:eastAsia="仿宋_GB2312"/>
                      <w:sz w:val="24"/>
                      <w:color w:val="0000FF"/>
                      <w:shd w:fill="FFFFFF" w:val="clear"/>
                    </w:rPr>
                    <w:t>为深入推进公平竞争政策实施，服务共建</w:t>
                  </w:r>
                  <w:r>
                    <w:rPr>
                      <w:rFonts w:ascii="仿宋_GB2312" w:hAnsi="仿宋_GB2312" w:cs="仿宋_GB2312" w:eastAsia="仿宋_GB2312"/>
                      <w:sz w:val="24"/>
                      <w:color w:val="0000FF"/>
                      <w:shd w:fill="FFFFFF" w:val="clear"/>
                    </w:rPr>
                    <w:t>“一带一路”倡议走深走实，本项目拟委托第三方机构开展中国-中亚公平竞争政策研究。通过深入分析中国及中亚五国的市场竞争环境，运用政治学、法学、经济学等工具进行比较和评估，总结中国-中亚五国公平竞争政策实施状况，编撰《中国-中亚公平竞争政策研究报告》，为下一步公平竞争政策实施工作提供参考</w:t>
                  </w:r>
                  <w:r>
                    <w:rPr>
                      <w:rFonts w:ascii="仿宋_GB2312" w:hAnsi="仿宋_GB2312" w:cs="仿宋_GB2312" w:eastAsia="仿宋_GB2312"/>
                      <w:sz w:val="24"/>
                      <w:color w:val="0000FF"/>
                      <w:shd w:fill="FFFFFF" w:val="clear"/>
                    </w:rPr>
                    <w:t>。</w:t>
                  </w:r>
                </w:p>
                <w:p>
                  <w:pPr>
                    <w:pStyle w:val="null3"/>
                    <w:spacing w:before="390" w:after="195"/>
                    <w:ind w:firstLine="482"/>
                  </w:pPr>
                  <w:r>
                    <w:rPr>
                      <w:rFonts w:ascii="仿宋_GB2312" w:hAnsi="仿宋_GB2312" w:cs="仿宋_GB2312" w:eastAsia="仿宋_GB2312"/>
                      <w:sz w:val="24"/>
                      <w:b/>
                      <w:color w:val="0000FF"/>
                      <w:shd w:fill="FFFFFF" w:val="clear"/>
                    </w:rPr>
                    <w:t>二、服务内容及技术要求</w:t>
                  </w:r>
                </w:p>
                <w:p>
                  <w:pPr>
                    <w:pStyle w:val="null3"/>
                    <w:spacing w:before="390" w:after="195"/>
                    <w:ind w:firstLine="482"/>
                  </w:pPr>
                  <w:r>
                    <w:rPr>
                      <w:rFonts w:ascii="仿宋_GB2312" w:hAnsi="仿宋_GB2312" w:cs="仿宋_GB2312" w:eastAsia="仿宋_GB2312"/>
                      <w:sz w:val="24"/>
                      <w:b/>
                      <w:color w:val="0000FF"/>
                      <w:shd w:fill="FFFFFF" w:val="clear"/>
                    </w:rPr>
                    <w:t>2.1 总体目标</w:t>
                  </w:r>
                </w:p>
                <w:p>
                  <w:pPr>
                    <w:pStyle w:val="null3"/>
                    <w:spacing w:before="195" w:after="195"/>
                    <w:ind w:firstLine="480"/>
                    <w:jc w:val="left"/>
                  </w:pPr>
                  <w:r>
                    <w:rPr>
                      <w:rFonts w:ascii="仿宋_GB2312" w:hAnsi="仿宋_GB2312" w:cs="仿宋_GB2312" w:eastAsia="仿宋_GB2312"/>
                      <w:sz w:val="24"/>
                      <w:color w:val="0000FF"/>
                      <w:shd w:fill="FFFFFF" w:val="clear"/>
                    </w:rPr>
                    <w:t>通过分析中国及中亚五国公平竞争的市场环境，利用横向、纵向分析比较方法，对中国</w:t>
                  </w:r>
                  <w:r>
                    <w:rPr>
                      <w:rFonts w:ascii="仿宋_GB2312" w:hAnsi="仿宋_GB2312" w:cs="仿宋_GB2312" w:eastAsia="仿宋_GB2312"/>
                      <w:sz w:val="24"/>
                      <w:color w:val="0000FF"/>
                      <w:shd w:fill="FFFFFF" w:val="clear"/>
                    </w:rPr>
                    <w:t>-中亚五国公平竞争政策实施情况进行系统评估，提出公平竞争指数，为公平竞争政策实施提供参考</w:t>
                  </w:r>
                  <w:r>
                    <w:rPr>
                      <w:rFonts w:ascii="仿宋_GB2312" w:hAnsi="仿宋_GB2312" w:cs="仿宋_GB2312" w:eastAsia="仿宋_GB2312"/>
                      <w:sz w:val="24"/>
                      <w:color w:val="0000FF"/>
                      <w:shd w:fill="FFFFFF" w:val="clear"/>
                    </w:rPr>
                    <w:t>。</w:t>
                  </w:r>
                </w:p>
                <w:p>
                  <w:pPr>
                    <w:pStyle w:val="null3"/>
                    <w:spacing w:before="390" w:after="195"/>
                    <w:ind w:firstLine="482"/>
                  </w:pPr>
                  <w:r>
                    <w:rPr>
                      <w:rFonts w:ascii="仿宋_GB2312" w:hAnsi="仿宋_GB2312" w:cs="仿宋_GB2312" w:eastAsia="仿宋_GB2312"/>
                      <w:sz w:val="24"/>
                      <w:b/>
                      <w:color w:val="0000FF"/>
                      <w:shd w:fill="FFFFFF" w:val="clear"/>
                    </w:rPr>
                    <w:t>2.2 具体服务内容</w:t>
                  </w:r>
                </w:p>
                <w:p>
                  <w:pPr>
                    <w:pStyle w:val="null3"/>
                    <w:spacing w:before="195" w:after="195"/>
                    <w:ind w:firstLine="422"/>
                  </w:pPr>
                  <w:r>
                    <w:rPr>
                      <w:rFonts w:ascii="仿宋_GB2312" w:hAnsi="仿宋_GB2312" w:cs="仿宋_GB2312" w:eastAsia="仿宋_GB2312"/>
                      <w:sz w:val="21"/>
                      <w:b/>
                      <w:color w:val="0000FF"/>
                      <w:shd w:fill="FFFFFF" w:val="clear"/>
                    </w:rPr>
                    <w:t>▲</w:t>
                  </w:r>
                  <w:r>
                    <w:rPr>
                      <w:rFonts w:ascii="仿宋_GB2312" w:hAnsi="仿宋_GB2312" w:cs="仿宋_GB2312" w:eastAsia="仿宋_GB2312"/>
                      <w:sz w:val="24"/>
                      <w:b/>
                      <w:color w:val="0000FF"/>
                      <w:shd w:fill="FFFFFF" w:val="clear"/>
                    </w:rPr>
                    <w:t>2.2.1 报告撰写</w:t>
                  </w:r>
                </w:p>
                <w:p>
                  <w:pPr>
                    <w:pStyle w:val="null3"/>
                    <w:spacing w:before="195" w:after="195"/>
                    <w:ind w:firstLine="480"/>
                    <w:jc w:val="left"/>
                  </w:pPr>
                  <w:r>
                    <w:rPr>
                      <w:rFonts w:ascii="仿宋_GB2312" w:hAnsi="仿宋_GB2312" w:cs="仿宋_GB2312" w:eastAsia="仿宋_GB2312"/>
                      <w:sz w:val="24"/>
                      <w:color w:val="0000FF"/>
                      <w:shd w:fill="FFFFFF" w:val="clear"/>
                    </w:rPr>
                    <w:t>编制《中国</w:t>
                  </w:r>
                  <w:r>
                    <w:rPr>
                      <w:rFonts w:ascii="仿宋_GB2312" w:hAnsi="仿宋_GB2312" w:cs="仿宋_GB2312" w:eastAsia="仿宋_GB2312"/>
                      <w:sz w:val="24"/>
                      <w:color w:val="0000FF"/>
                      <w:shd w:fill="FFFFFF" w:val="clear"/>
                    </w:rPr>
                    <w:t>-中亚公平竞争政策研究报告》，主要内容应包括但不限于：</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w:t>
                  </w:r>
                  <w:r>
                    <w:rPr>
                      <w:rFonts w:ascii="仿宋_GB2312" w:hAnsi="仿宋_GB2312" w:cs="仿宋_GB2312" w:eastAsia="仿宋_GB2312"/>
                      <w:sz w:val="24"/>
                      <w:b/>
                      <w:color w:val="0000FF"/>
                      <w:shd w:fill="FFFFFF" w:val="clear"/>
                    </w:rPr>
                    <w:t>中国</w:t>
                  </w:r>
                  <w:r>
                    <w:rPr>
                      <w:rFonts w:ascii="仿宋_GB2312" w:hAnsi="仿宋_GB2312" w:cs="仿宋_GB2312" w:eastAsia="仿宋_GB2312"/>
                      <w:sz w:val="24"/>
                      <w:b/>
                      <w:color w:val="0000FF"/>
                      <w:shd w:fill="FFFFFF" w:val="clear"/>
                    </w:rPr>
                    <w:t>-中亚五国市场竞争环境分析</w:t>
                  </w:r>
                  <w:r>
                    <w:rPr>
                      <w:rFonts w:ascii="仿宋_GB2312" w:hAnsi="仿宋_GB2312" w:cs="仿宋_GB2312" w:eastAsia="仿宋_GB2312"/>
                      <w:sz w:val="24"/>
                      <w:color w:val="0000FF"/>
                      <w:shd w:fill="FFFFFF" w:val="clear"/>
                    </w:rPr>
                    <w:t>：系统梳理中国及哈萨克斯坦、吉尔吉斯斯坦、塔吉克斯坦、土库曼斯坦、乌兹别克斯坦五国的市场经济发展现状与竞争环境。</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w:t>
                  </w:r>
                  <w:r>
                    <w:rPr>
                      <w:rFonts w:ascii="仿宋_GB2312" w:hAnsi="仿宋_GB2312" w:cs="仿宋_GB2312" w:eastAsia="仿宋_GB2312"/>
                      <w:sz w:val="24"/>
                      <w:b/>
                      <w:color w:val="0000FF"/>
                      <w:shd w:fill="FFFFFF" w:val="clear"/>
                    </w:rPr>
                    <w:t>公平竞争法律制度比较研究</w:t>
                  </w:r>
                  <w:r>
                    <w:rPr>
                      <w:rFonts w:ascii="仿宋_GB2312" w:hAnsi="仿宋_GB2312" w:cs="仿宋_GB2312" w:eastAsia="仿宋_GB2312"/>
                      <w:sz w:val="24"/>
                      <w:color w:val="0000FF"/>
                      <w:shd w:fill="FFFFFF" w:val="clear"/>
                    </w:rPr>
                    <w:t>：分析中亚五国竞争法律制度的形成与发展、法律条文的内涵及适用，并与中国公平竞争法律制度进行对比研究。</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w:t>
                  </w:r>
                  <w:r>
                    <w:rPr>
                      <w:rFonts w:ascii="仿宋_GB2312" w:hAnsi="仿宋_GB2312" w:cs="仿宋_GB2312" w:eastAsia="仿宋_GB2312"/>
                      <w:sz w:val="24"/>
                      <w:b/>
                      <w:color w:val="0000FF"/>
                      <w:shd w:fill="FFFFFF" w:val="clear"/>
                    </w:rPr>
                    <w:t>公平竞争政策实施状况评估</w:t>
                  </w:r>
                  <w:r>
                    <w:rPr>
                      <w:rFonts w:ascii="仿宋_GB2312" w:hAnsi="仿宋_GB2312" w:cs="仿宋_GB2312" w:eastAsia="仿宋_GB2312"/>
                      <w:sz w:val="24"/>
                      <w:color w:val="0000FF"/>
                      <w:shd w:fill="FFFFFF" w:val="clear"/>
                    </w:rPr>
                    <w:t>：运用政治学、法学、经济学等分析工具，对中国</w:t>
                  </w:r>
                  <w:r>
                    <w:rPr>
                      <w:rFonts w:ascii="仿宋_GB2312" w:hAnsi="仿宋_GB2312" w:cs="仿宋_GB2312" w:eastAsia="仿宋_GB2312"/>
                      <w:sz w:val="24"/>
                      <w:color w:val="0000FF"/>
                      <w:shd w:fill="FFFFFF" w:val="clear"/>
                    </w:rPr>
                    <w:t>-中亚五国公平竞争政策实施情况进行综合评估。</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4）</w:t>
                  </w:r>
                  <w:r>
                    <w:rPr>
                      <w:rFonts w:ascii="仿宋_GB2312" w:hAnsi="仿宋_GB2312" w:cs="仿宋_GB2312" w:eastAsia="仿宋_GB2312"/>
                      <w:sz w:val="24"/>
                      <w:b/>
                      <w:color w:val="0000FF"/>
                      <w:shd w:fill="FFFFFF" w:val="clear"/>
                    </w:rPr>
                    <w:t>中国</w:t>
                  </w:r>
                  <w:r>
                    <w:rPr>
                      <w:rFonts w:ascii="仿宋_GB2312" w:hAnsi="仿宋_GB2312" w:cs="仿宋_GB2312" w:eastAsia="仿宋_GB2312"/>
                      <w:sz w:val="24"/>
                      <w:b/>
                      <w:color w:val="0000FF"/>
                      <w:shd w:fill="FFFFFF" w:val="clear"/>
                    </w:rPr>
                    <w:t>-中亚商业秘密保护专题</w:t>
                  </w:r>
                  <w:r>
                    <w:rPr>
                      <w:rFonts w:ascii="仿宋_GB2312" w:hAnsi="仿宋_GB2312" w:cs="仿宋_GB2312" w:eastAsia="仿宋_GB2312"/>
                      <w:sz w:val="24"/>
                      <w:color w:val="0000FF"/>
                      <w:shd w:fill="FFFFFF" w:val="clear"/>
                    </w:rPr>
                    <w:t>：包括</w:t>
                  </w:r>
                  <w:r>
                    <w:rPr>
                      <w:rFonts w:ascii="仿宋_GB2312" w:hAnsi="仿宋_GB2312" w:cs="仿宋_GB2312" w:eastAsia="仿宋_GB2312"/>
                      <w:sz w:val="24"/>
                      <w:color w:val="0000FF"/>
                      <w:shd w:fill="FFFFFF" w:val="clear"/>
                    </w:rPr>
                    <w:t>《中国－中亚商业秘密保护典型案例及合规提示》《中国－中亚市场监管合作机制倡议》</w:t>
                  </w:r>
                  <w:r>
                    <w:rPr>
                      <w:rFonts w:ascii="仿宋_GB2312" w:hAnsi="仿宋_GB2312" w:cs="仿宋_GB2312" w:eastAsia="仿宋_GB2312"/>
                      <w:sz w:val="24"/>
                      <w:color w:val="0000FF"/>
                      <w:shd w:fill="FFFFFF" w:val="clear"/>
                    </w:rPr>
                    <w:t>等内容。</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5）</w:t>
                  </w:r>
                  <w:r>
                    <w:rPr>
                      <w:rFonts w:ascii="仿宋_GB2312" w:hAnsi="仿宋_GB2312" w:cs="仿宋_GB2312" w:eastAsia="仿宋_GB2312"/>
                      <w:sz w:val="24"/>
                      <w:b/>
                      <w:color w:val="0000FF"/>
                      <w:shd w:fill="FFFFFF" w:val="clear"/>
                    </w:rPr>
                    <w:t>公平竞争指数构建</w:t>
                  </w:r>
                  <w:r>
                    <w:rPr>
                      <w:rFonts w:ascii="仿宋_GB2312" w:hAnsi="仿宋_GB2312" w:cs="仿宋_GB2312" w:eastAsia="仿宋_GB2312"/>
                      <w:sz w:val="24"/>
                      <w:color w:val="0000FF"/>
                      <w:shd w:fill="FFFFFF" w:val="clear"/>
                    </w:rPr>
                    <w:t>：构建科学合理的公平竞争评价指标体系，对中国</w:t>
                  </w:r>
                  <w:r>
                    <w:rPr>
                      <w:rFonts w:ascii="仿宋_GB2312" w:hAnsi="仿宋_GB2312" w:cs="仿宋_GB2312" w:eastAsia="仿宋_GB2312"/>
                      <w:sz w:val="24"/>
                      <w:color w:val="0000FF"/>
                      <w:shd w:fill="FFFFFF" w:val="clear"/>
                    </w:rPr>
                    <w:t>-中亚五国公平竞争政策实施情况进行量化评估。</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6）</w:t>
                  </w:r>
                  <w:r>
                    <w:rPr>
                      <w:rFonts w:ascii="仿宋_GB2312" w:hAnsi="仿宋_GB2312" w:cs="仿宋_GB2312" w:eastAsia="仿宋_GB2312"/>
                      <w:sz w:val="24"/>
                      <w:b/>
                      <w:color w:val="0000FF"/>
                      <w:shd w:fill="FFFFFF" w:val="clear"/>
                    </w:rPr>
                    <w:t>政策建议</w:t>
                  </w:r>
                  <w:r>
                    <w:rPr>
                      <w:rFonts w:ascii="仿宋_GB2312" w:hAnsi="仿宋_GB2312" w:cs="仿宋_GB2312" w:eastAsia="仿宋_GB2312"/>
                      <w:sz w:val="24"/>
                      <w:color w:val="0000FF"/>
                      <w:shd w:fill="FFFFFF" w:val="clear"/>
                    </w:rPr>
                    <w:t>：基于研究分析，提出促进中国</w:t>
                  </w:r>
                  <w:r>
                    <w:rPr>
                      <w:rFonts w:ascii="仿宋_GB2312" w:hAnsi="仿宋_GB2312" w:cs="仿宋_GB2312" w:eastAsia="仿宋_GB2312"/>
                      <w:sz w:val="24"/>
                      <w:color w:val="0000FF"/>
                      <w:shd w:fill="FFFFFF" w:val="clear"/>
                    </w:rPr>
                    <w:t>-中亚公平竞争政策协调与实施的对策建议。</w:t>
                  </w:r>
                </w:p>
                <w:p>
                  <w:pPr>
                    <w:pStyle w:val="null3"/>
                    <w:spacing w:before="195" w:after="195"/>
                    <w:ind w:firstLine="422"/>
                  </w:pPr>
                  <w:r>
                    <w:rPr>
                      <w:rFonts w:ascii="仿宋_GB2312" w:hAnsi="仿宋_GB2312" w:cs="仿宋_GB2312" w:eastAsia="仿宋_GB2312"/>
                      <w:sz w:val="21"/>
                      <w:b/>
                      <w:color w:val="0000FF"/>
                      <w:shd w:fill="FFFFFF" w:val="clear"/>
                    </w:rPr>
                    <w:t>▲</w:t>
                  </w:r>
                  <w:r>
                    <w:rPr>
                      <w:rFonts w:ascii="仿宋_GB2312" w:hAnsi="仿宋_GB2312" w:cs="仿宋_GB2312" w:eastAsia="仿宋_GB2312"/>
                      <w:sz w:val="24"/>
                      <w:b/>
                      <w:color w:val="0000FF"/>
                      <w:shd w:fill="FFFFFF" w:val="clear"/>
                    </w:rPr>
                    <w:t>2.2.2 调研工作</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1）组织不少于6人次的实地调研，赴相关地区开展公平竞争政策实施情况调研。</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2）收集、整理中国-中亚五国公平竞争政策相关法律法规、政策措施、典型案例等资料。</w:t>
                  </w:r>
                </w:p>
                <w:p>
                  <w:pPr>
                    <w:pStyle w:val="null3"/>
                    <w:spacing w:before="195" w:after="195"/>
                    <w:ind w:firstLine="422"/>
                  </w:pPr>
                  <w:r>
                    <w:rPr>
                      <w:rFonts w:ascii="仿宋_GB2312" w:hAnsi="仿宋_GB2312" w:cs="仿宋_GB2312" w:eastAsia="仿宋_GB2312"/>
                      <w:sz w:val="21"/>
                      <w:b/>
                      <w:color w:val="0000FF"/>
                      <w:shd w:fill="FFFFFF" w:val="clear"/>
                    </w:rPr>
                    <w:t>▲</w:t>
                  </w:r>
                  <w:r>
                    <w:rPr>
                      <w:rFonts w:ascii="仿宋_GB2312" w:hAnsi="仿宋_GB2312" w:cs="仿宋_GB2312" w:eastAsia="仿宋_GB2312"/>
                      <w:sz w:val="24"/>
                      <w:b/>
                      <w:color w:val="0000FF"/>
                      <w:shd w:fill="FFFFFF" w:val="clear"/>
                    </w:rPr>
                    <w:t>2.2.3 会议组织</w:t>
                  </w:r>
                </w:p>
                <w:p>
                  <w:pPr>
                    <w:pStyle w:val="null3"/>
                    <w:spacing w:before="195" w:after="195"/>
                    <w:ind w:firstLine="480"/>
                    <w:jc w:val="left"/>
                  </w:pPr>
                  <w:r>
                    <w:rPr>
                      <w:rFonts w:ascii="仿宋_GB2312" w:hAnsi="仿宋_GB2312" w:cs="仿宋_GB2312" w:eastAsia="仿宋_GB2312"/>
                      <w:sz w:val="24"/>
                      <w:color w:val="0000FF"/>
                      <w:shd w:fill="FFFFFF" w:val="clear"/>
                    </w:rPr>
                    <w:t>组织不少于</w:t>
                  </w:r>
                  <w:r>
                    <w:rPr>
                      <w:rFonts w:ascii="仿宋_GB2312" w:hAnsi="仿宋_GB2312" w:cs="仿宋_GB2312" w:eastAsia="仿宋_GB2312"/>
                      <w:sz w:val="24"/>
                      <w:color w:val="0000FF"/>
                      <w:shd w:fill="FFFFFF" w:val="clear"/>
                    </w:rPr>
                    <w:t>18人规模的项目研讨会或专家评审会不少于1次，包括会议场地、住宿等会务保障。</w:t>
                  </w:r>
                </w:p>
                <w:p>
                  <w:pPr>
                    <w:pStyle w:val="null3"/>
                    <w:spacing w:before="390" w:after="195"/>
                    <w:ind w:firstLine="422"/>
                  </w:pPr>
                  <w:r>
                    <w:rPr>
                      <w:rFonts w:ascii="仿宋_GB2312" w:hAnsi="仿宋_GB2312" w:cs="仿宋_GB2312" w:eastAsia="仿宋_GB2312"/>
                      <w:sz w:val="21"/>
                      <w:b/>
                      <w:color w:val="0000FF"/>
                      <w:shd w:fill="FFFFFF" w:val="clear"/>
                    </w:rPr>
                    <w:t>▲</w:t>
                  </w:r>
                  <w:r>
                    <w:rPr>
                      <w:rFonts w:ascii="仿宋_GB2312" w:hAnsi="仿宋_GB2312" w:cs="仿宋_GB2312" w:eastAsia="仿宋_GB2312"/>
                      <w:sz w:val="24"/>
                      <w:b/>
                      <w:color w:val="0000FF"/>
                      <w:shd w:fill="FFFFFF" w:val="clear"/>
                    </w:rPr>
                    <w:t>2.3 成果要求</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1）提交《中国-中亚公平竞争政策研究报告》完整版（含电子版和纸质版），报告应数据翔实、分析深入、结论科学。</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2）报告应满足学术规范和采购项目成果要求，格式规范、内容完整。</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3）项目成果的知识产权归采购人所有，未经采购人书面同意，成交供应商不得对外公开发布或使用。</w:t>
                  </w:r>
                </w:p>
                <w:p>
                  <w:pPr>
                    <w:pStyle w:val="null3"/>
                    <w:spacing w:before="390" w:after="195"/>
                    <w:ind w:firstLine="422"/>
                  </w:pPr>
                  <w:r>
                    <w:rPr>
                      <w:rFonts w:ascii="仿宋_GB2312" w:hAnsi="仿宋_GB2312" w:cs="仿宋_GB2312" w:eastAsia="仿宋_GB2312"/>
                      <w:sz w:val="21"/>
                      <w:b/>
                      <w:color w:val="0000FF"/>
                      <w:shd w:fill="FFFFFF" w:val="clear"/>
                    </w:rPr>
                    <w:t>▲</w:t>
                  </w:r>
                  <w:r>
                    <w:rPr>
                      <w:rFonts w:ascii="仿宋_GB2312" w:hAnsi="仿宋_GB2312" w:cs="仿宋_GB2312" w:eastAsia="仿宋_GB2312"/>
                      <w:sz w:val="24"/>
                      <w:b/>
                      <w:color w:val="0000FF"/>
                      <w:shd w:fill="FFFFFF" w:val="clear"/>
                    </w:rPr>
                    <w:t>2.4 人员要求</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1）供应商应组建具备法学、经济学、公共政策等领域研究能力的专业团队</w:t>
                  </w:r>
                  <w:r>
                    <w:rPr>
                      <w:rFonts w:ascii="仿宋_GB2312" w:hAnsi="仿宋_GB2312" w:cs="仿宋_GB2312" w:eastAsia="仿宋_GB2312"/>
                      <w:sz w:val="24"/>
                      <w:color w:val="0000FF"/>
                      <w:shd w:fill="FFFFFF" w:val="clear"/>
                    </w:rPr>
                    <w:t>。</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2）项目负责人应具有副高级及以上专业技术职称或同等专业水平，在公平竞争、反垄断、竞争法等领域具有丰富的研究经验。</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3）核心研究人员不少于6人，应具有相关领域的研究背景和实践经验。</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4）供应商可安排研究生参与资料收集、整理等辅助工作。</w:t>
                  </w:r>
                </w:p>
                <w:p>
                  <w:pPr>
                    <w:pStyle w:val="null3"/>
                    <w:spacing w:before="390" w:after="195"/>
                    <w:ind w:firstLine="422"/>
                  </w:pPr>
                  <w:r>
                    <w:rPr>
                      <w:rFonts w:ascii="仿宋_GB2312" w:hAnsi="仿宋_GB2312" w:cs="仿宋_GB2312" w:eastAsia="仿宋_GB2312"/>
                      <w:sz w:val="21"/>
                      <w:b/>
                      <w:color w:val="0000FF"/>
                      <w:shd w:fill="FFFFFF" w:val="clear"/>
                    </w:rPr>
                    <w:t>▲</w:t>
                  </w:r>
                  <w:r>
                    <w:rPr>
                      <w:rFonts w:ascii="仿宋_GB2312" w:hAnsi="仿宋_GB2312" w:cs="仿宋_GB2312" w:eastAsia="仿宋_GB2312"/>
                      <w:sz w:val="24"/>
                      <w:b/>
                      <w:color w:val="0000FF"/>
                      <w:shd w:fill="FFFFFF" w:val="clear"/>
                    </w:rPr>
                    <w:t>2.</w:t>
                  </w:r>
                  <w:r>
                    <w:rPr>
                      <w:rFonts w:ascii="仿宋_GB2312" w:hAnsi="仿宋_GB2312" w:cs="仿宋_GB2312" w:eastAsia="仿宋_GB2312"/>
                      <w:sz w:val="24"/>
                      <w:b/>
                      <w:color w:val="0000FF"/>
                      <w:shd w:fill="FFFFFF" w:val="clear"/>
                    </w:rPr>
                    <w:t>5</w:t>
                  </w:r>
                  <w:r>
                    <w:rPr>
                      <w:rFonts w:ascii="仿宋_GB2312" w:hAnsi="仿宋_GB2312" w:cs="仿宋_GB2312" w:eastAsia="仿宋_GB2312"/>
                      <w:sz w:val="24"/>
                      <w:b/>
                      <w:color w:val="0000FF"/>
                      <w:shd w:fill="FFFFFF" w:val="clear"/>
                    </w:rPr>
                    <w:t xml:space="preserve"> </w:t>
                  </w:r>
                  <w:r>
                    <w:rPr>
                      <w:rFonts w:ascii="仿宋_GB2312" w:hAnsi="仿宋_GB2312" w:cs="仿宋_GB2312" w:eastAsia="仿宋_GB2312"/>
                      <w:sz w:val="24"/>
                      <w:b/>
                      <w:color w:val="0000FF"/>
                      <w:shd w:fill="FFFFFF" w:val="clear"/>
                    </w:rPr>
                    <w:t>质量要求</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1）研究成果应具有较高的学术水平和实用价值，观点明确、论据充分、数据准确。</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2）研究方法科学规范，分析工具运用得当。</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3）符合国家有关保密法律法规的要求，涉及国家秘密的内容按相关规定处理。</w:t>
                  </w:r>
                </w:p>
                <w:p>
                  <w:pPr>
                    <w:pStyle w:val="null3"/>
                    <w:spacing w:before="390" w:after="195"/>
                    <w:ind w:firstLine="422"/>
                  </w:pPr>
                  <w:r>
                    <w:rPr>
                      <w:rFonts w:ascii="仿宋_GB2312" w:hAnsi="仿宋_GB2312" w:cs="仿宋_GB2312" w:eastAsia="仿宋_GB2312"/>
                      <w:sz w:val="21"/>
                      <w:b/>
                      <w:color w:val="0000FF"/>
                      <w:shd w:fill="FFFFFF" w:val="clear"/>
                    </w:rPr>
                    <w:t>▲</w:t>
                  </w:r>
                  <w:r>
                    <w:rPr>
                      <w:rFonts w:ascii="仿宋_GB2312" w:hAnsi="仿宋_GB2312" w:cs="仿宋_GB2312" w:eastAsia="仿宋_GB2312"/>
                      <w:sz w:val="24"/>
                      <w:b/>
                      <w:color w:val="0000FF"/>
                      <w:shd w:fill="FFFFFF" w:val="clear"/>
                    </w:rPr>
                    <w:t>2.6</w:t>
                  </w:r>
                  <w:r>
                    <w:rPr>
                      <w:rFonts w:ascii="仿宋_GB2312" w:hAnsi="仿宋_GB2312" w:cs="仿宋_GB2312" w:eastAsia="仿宋_GB2312"/>
                      <w:sz w:val="24"/>
                      <w:b/>
                      <w:color w:val="0000FF"/>
                      <w:shd w:fill="FFFFFF" w:val="clear"/>
                    </w:rPr>
                    <w:t>售后服务</w:t>
                  </w:r>
                </w:p>
                <w:p>
                  <w:pPr>
                    <w:pStyle w:val="null3"/>
                    <w:spacing w:before="195" w:after="195"/>
                    <w:ind w:firstLine="480"/>
                    <w:jc w:val="left"/>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1）项目验收后</w:t>
                  </w:r>
                  <w:r>
                    <w:rPr>
                      <w:rFonts w:ascii="仿宋_GB2312" w:hAnsi="仿宋_GB2312" w:cs="仿宋_GB2312" w:eastAsia="仿宋_GB2312"/>
                      <w:sz w:val="24"/>
                      <w:color w:val="0000FF"/>
                      <w:shd w:fill="FFFFFF" w:val="clear"/>
                    </w:rPr>
                    <w:t>12</w:t>
                  </w:r>
                  <w:r>
                    <w:rPr>
                      <w:rFonts w:ascii="仿宋_GB2312" w:hAnsi="仿宋_GB2312" w:cs="仿宋_GB2312" w:eastAsia="仿宋_GB2312"/>
                      <w:sz w:val="24"/>
                      <w:color w:val="0000FF"/>
                      <w:shd w:fill="FFFFFF" w:val="clear"/>
                    </w:rPr>
                    <w:t>个月内，供应商应免费提供与研究成果相关的咨询和答疑服务。</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2）根据采购人要求，配合完成研究成果的修改完善和后续更新工作。</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根据本项⽬实际需求及特点，提供服务要求响应、项⽬团队⼈员配置、项⽬理解与重难点分析（⽅案包括：① 项⽬需求理解；②关键点、重难点分析及解决⽅案。）、进度保障⽅案（⽅案包括：①各阶段⼯作流程；②进度计划⽬标；③ 进度控制措施。）、质量保障⽅案（⽅案包括：①质量保障⽬标；②质量控制措施。）、服务承诺及建议（包括：①服务承诺；②合理化建议及意⻅。）、后续服务⽅案（⽅案包括：①后续服务响应机制；②服务保障措施。）、保密措施（包括：① 保密管理制度；②服务⼈员的保密措施。）及业绩证明材料。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合同签订后15个日历日内完成全部服务工作并提交最终成果。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（2）供应商未按合同要求提供服务或服务质量不能满足技术要求，且在规定时间内未使采购人满意的，采购人有权解除合同，同时报请陕西省财政厅政府采购监管部门对其违约行为进行追究。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项目招标结束后，成交供应商需线下提交三份纸质版响应文件（提交地点：陕西教育招标有限责任公司，西安市太白南路181号西部电子社区A座B区401）。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提供经审计的2025年度的财务报告或银行出具的资信证明或财务报表或政府采购投标担保函。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服务费用分项明细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磋商报价未高于磋商文件公布的预算金额或最高限价。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响应有效期不少于磋商文件要求（90天），否则其响应文件按无效处理。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响应磋商文件“3.3 商务要求”中所列条款要求。</w:t>
            </w:r>
          </w:p>
        </w:tc>
        <w:tc>
          <w:tcPr>
            <w:tcW w:type="dxa" w:w="1661"/>
          </w:tcPr>
          <w:p>
            <w:pPr>
              <w:pStyle w:val="null3"/>
            </w:pPr>
            <w:r>
              <w:rPr>
                <w:rFonts w:ascii="仿宋_GB2312" w:hAnsi="仿宋_GB2312" w:cs="仿宋_GB2312" w:eastAsia="仿宋_GB2312"/>
              </w:rPr>
              <w:t>商务要求响应偏离表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服务响应情况</w:t>
            </w:r>
          </w:p>
        </w:tc>
        <w:tc>
          <w:tcPr>
            <w:tcW w:type="dxa" w:w="2492"/>
          </w:tcPr>
          <w:p>
            <w:pPr>
              <w:pStyle w:val="null3"/>
            </w:pPr>
            <w:r>
              <w:rPr>
                <w:rFonts w:ascii="仿宋_GB2312" w:hAnsi="仿宋_GB2312" w:cs="仿宋_GB2312" w:eastAsia="仿宋_GB2312"/>
              </w:rPr>
              <w:t>根据供应商针对服务要求中带“▲”号条款（7项）响应情况进行评审，完全响应并满足服务要求的得28分，每有一项未响应或不满足服务要求的扣4分。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（1）拟投入本项目的团队中，具有高级技术职称（副高级及以上）或同等专业水平的人员：每提供1人得2分，最高得12分； （2）拟投入本项目的团队中，具有中级技术职称或同等专业水平的人员：每提供1人得1分，最高得6分； 须提供人员职称证书复印件、</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一、评审内容 根据本项目实际需求及特点，制定项目理解与重难点分析方案，方案内容包括：①项目需求理解；②关键点、重难点分析及解决方案。 二、评审标准 1.完整性：方案必须全面，对评审内容有详细描述； 2.可实施性：切合本项目实际情况，提出步骤清晰、合理的方案； 3.针对性：方案能够紧扣项目实际情况，内容科学合理。 三、赋分标准 ①项目需求理解：完全满足每个评审标准得1分，有瑕疵得0.5分，有缺陷得0分，满分 3分。 ②关键点、重难点分析及解决方案：完全满足每个评审标准得1分，有瑕疵得0.5分，有缺陷得0分，满分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根据本项目实际需求及特点，制定进度保障方案，方案包括：①各阶段工作流程；②进度计划目标；③进度控制措施。 二、评审标准 1.完整性：方案必须全面，对评审内容有详细描述； 2.可实施性：切合本项目实际情况，提出步骤清晰、合理的方案； 3.针对性：方案能够紧扣项目实际情况，内容科学合理。 三、赋分标准 ①各阶段工作流程：完全满足每个评审标准得1分，有瑕疵得0.5分，有缺陷得0分，满分 3分。 ②进度计划目标：完全满足每个评审标准得1分，有瑕疵得0.5分，有缺陷得0分，满分 3分。 ③进度控制措施：完全满足每个评审标准得1分，有瑕疵得0.5分，有缺陷得0分，满分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 方案</w:t>
            </w:r>
          </w:p>
        </w:tc>
        <w:tc>
          <w:tcPr>
            <w:tcW w:type="dxa" w:w="2492"/>
          </w:tcPr>
          <w:p>
            <w:pPr>
              <w:pStyle w:val="null3"/>
            </w:pPr>
            <w:r>
              <w:rPr>
                <w:rFonts w:ascii="仿宋_GB2312" w:hAnsi="仿宋_GB2312" w:cs="仿宋_GB2312" w:eastAsia="仿宋_GB2312"/>
              </w:rPr>
              <w:t>一、评审内容 根据本项目实际需求及特点，制定质量保障方案，方案包括：①质量保障目标；②质量控制措施。 二、评审标准 1.完整性：方案必须全面，对评审内容有详细描述； 2.可实施性：切合本项目实际情况，提出步骤清晰、合理的方案； 3.针对性：方案能够紧扣项目实际情况，内容科学合理。 三、赋分标准 ①质量保障目标：完全满足每个评审标准得1分，有瑕疵得0.5分，有缺陷得0分，满分 3分。 ②质量控制措施：完全满足每个评审标准得1分，有瑕疵得0.5分，有缺陷得0分，满分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服务承诺及建议</w:t>
            </w:r>
          </w:p>
        </w:tc>
        <w:tc>
          <w:tcPr>
            <w:tcW w:type="dxa" w:w="2492"/>
          </w:tcPr>
          <w:p>
            <w:pPr>
              <w:pStyle w:val="null3"/>
            </w:pPr>
            <w:r>
              <w:rPr>
                <w:rFonts w:ascii="仿宋_GB2312" w:hAnsi="仿宋_GB2312" w:cs="仿宋_GB2312" w:eastAsia="仿宋_GB2312"/>
              </w:rPr>
              <w:t>一、评审内容 根据本项目实际需求及特点，提供服务承诺及建议，包括：①服务承诺；②合理化建议及意见。 二、评审标准 1.完整性：方案必须全面，对评审内容有详细描述； 2.可实施性：切合本项目实际情况，提出步骤清晰、合理的方案； 3.针对性：方案能够紧扣项目实际情况，内容科学合理。 三、赋分标准 ①服务承诺：完全满足每个评审标准得1分，有瑕疵得0.5分，有缺陷得0分，满分 3分。 ②合理化建议及意见：完全满足每个评审标准得1分，有瑕疵得0.5分，有缺陷得0分，满分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根据本项目实际需求及特点，制定后续服务方案，方案包括：①后续服务响应机制；②服务保障措施。 二、评审标准 1.完整性：方案必须全面，对评审内容有详细描述； 2.可实施性：切合本项目实际情况，提出步骤清晰、合理的方案； 3.针对性：方案能够紧扣项目实际情况，内容科学合理。 三、赋分标准 ①后续服务响应机制：完全满足每个评审标准得1分，有瑕疵得0.5分，有缺陷得0分，满分 3分。 ②服务保障措施：完全满足每个评审标准得1分，有瑕疵得0.5分，有缺陷得0分，满分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根据本项目实际需求及特点，制定保密措施，包括：①保密管理制度；②服务人员的保密措施。 二、评审标准 1.完整性：方案必须全面，对评审内容有详细描述； 2.可实施性：切合本项目实际情况，提出步骤清晰、合理的方案； 3.针对性：方案能够紧扣项目实际情况，内容科学合理。 三、赋分标准 ①保密管理制度：完全满足每个评审标准得1分，有瑕疵得0.5分，有缺陷得0分，满分 3分。 ②服务人员的保密措施：完全满足每个评审标准得1分，有瑕疵得0.5分，有缺陷得0分，满分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供应商提供2023年1月1日至今类似项目业绩合同（以合同签订日期为准），每提供1个得1分，最高得5分。 须提供合同复印件（至少包含合同首页、签字盖章页、关键内容页、签订日期页），未提供或提供内容不完整的不得分。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其中：Pmin：所有有效供应商的最后报价的最低报价。Pn：第n个供应商的最后报价。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详见附件：本项目的特定资格要求</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详见附件：服务费用分项明细</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