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A25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bookmarkStart w:id="0" w:name="_GoBack"/>
      <w:bookmarkEnd w:id="0"/>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项目概况</w:t>
      </w:r>
    </w:p>
    <w:p w14:paraId="3F6CE8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团结片区徐五线、徐五线团南支、永淳十七太华支、达利支、小临支等五条10KV电力线路落地工程</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的潜在投标人应在全国公共资源交易平台（陕西省·西安市）网站〖首页〉电子交易平台〉陕西政府采购交易系统〉企业端〗获取招标文件，并于</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2026年11月13日09时30分00秒</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（北京时间）前递交投标文件。</w:t>
      </w:r>
    </w:p>
    <w:p w14:paraId="7AE3B7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一、项目基本情况</w:t>
      </w:r>
    </w:p>
    <w:p w14:paraId="420635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项目编号：</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GYGJ2026-ZCGK010</w:t>
      </w:r>
    </w:p>
    <w:p w14:paraId="6F37FD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项目名称：</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团结片区徐五线、徐五线团南支、永淳十七太华支、达利支、小临支等五条10KV电力线路落地工程</w:t>
      </w:r>
    </w:p>
    <w:p w14:paraId="555E33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采购方式：公开招标</w:t>
      </w:r>
    </w:p>
    <w:p w14:paraId="339BD7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预算金额：</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7422987.67</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元</w:t>
      </w:r>
    </w:p>
    <w:p w14:paraId="6DB0CF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采购需求：</w:t>
      </w:r>
    </w:p>
    <w:p w14:paraId="04EDBE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color w:val="000000" w:themeColor="text1"/>
          <w:spacing w:val="0"/>
          <w:sz w:val="24"/>
          <w:szCs w:val="24"/>
          <w:highlight w:val="none"/>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团结片区徐五线、徐五线团南支、永淳十七太华支、达利支、小临支等五条10KV电力线路落地工程</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一标段）</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p>
    <w:p w14:paraId="5A6F0A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630"/>
        <w:jc w:val="both"/>
        <w:rPr>
          <w:rFonts w:hint="eastAsia" w:ascii="仿宋" w:hAnsi="仿宋" w:eastAsia="仿宋" w:cs="仿宋"/>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合同包预算金额：</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7422987.67</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元</w:t>
      </w:r>
    </w:p>
    <w:p w14:paraId="5E3717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63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合同包最高限价：</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7422987.67</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元</w:t>
      </w:r>
    </w:p>
    <w:tbl>
      <w:tblPr>
        <w:tblStyle w:val="5"/>
        <w:tblW w:w="92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6"/>
        <w:gridCol w:w="1212"/>
        <w:gridCol w:w="1497"/>
        <w:gridCol w:w="1099"/>
        <w:gridCol w:w="1323"/>
        <w:gridCol w:w="1645"/>
        <w:gridCol w:w="1645"/>
      </w:tblGrid>
      <w:tr w14:paraId="19DF93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3" w:hRule="atLeast"/>
          <w:tblHeader/>
        </w:trPr>
        <w:tc>
          <w:tcPr>
            <w:tcW w:w="87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57AD852">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品目号</w:t>
            </w:r>
          </w:p>
        </w:tc>
        <w:tc>
          <w:tcPr>
            <w:tcW w:w="121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AF07C3E">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品目名称</w:t>
            </w:r>
          </w:p>
        </w:tc>
        <w:tc>
          <w:tcPr>
            <w:tcW w:w="149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3D0F3AC">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采购标的</w:t>
            </w:r>
          </w:p>
        </w:tc>
        <w:tc>
          <w:tcPr>
            <w:tcW w:w="109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A2DE7DD">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kern w:val="0"/>
                <w:sz w:val="24"/>
                <w:szCs w:val="24"/>
                <w:highlight w:val="none"/>
                <w:lang w:val="en-US" w:eastAsia="zh-CN" w:bidi="ar"/>
              </w:rPr>
            </w:pPr>
            <w:r>
              <w:rPr>
                <w:rFonts w:hint="eastAsia" w:ascii="仿宋" w:hAnsi="仿宋" w:eastAsia="仿宋" w:cs="仿宋"/>
                <w:b/>
                <w:bCs/>
                <w:color w:val="auto"/>
                <w:spacing w:val="0"/>
                <w:kern w:val="0"/>
                <w:sz w:val="24"/>
                <w:szCs w:val="24"/>
                <w:highlight w:val="none"/>
                <w:lang w:val="en-US" w:eastAsia="zh-CN" w:bidi="ar"/>
              </w:rPr>
              <w:t>数量</w:t>
            </w:r>
          </w:p>
          <w:p w14:paraId="53CCDDAC">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（单位）</w:t>
            </w:r>
          </w:p>
        </w:tc>
        <w:tc>
          <w:tcPr>
            <w:tcW w:w="132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E4EBC75">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技术规格、参数及要求</w:t>
            </w:r>
          </w:p>
        </w:tc>
        <w:tc>
          <w:tcPr>
            <w:tcW w:w="164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9B6CFC0">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品目预算（元）</w:t>
            </w:r>
          </w:p>
        </w:tc>
        <w:tc>
          <w:tcPr>
            <w:tcW w:w="164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411DA2">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360" w:lineRule="auto"/>
              <w:ind w:left="0" w:leftChars="0" w:right="0" w:rightChars="0"/>
              <w:jc w:val="center"/>
              <w:textAlignment w:val="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kern w:val="0"/>
                <w:sz w:val="24"/>
                <w:szCs w:val="24"/>
                <w:highlight w:val="none"/>
                <w:lang w:val="en-US" w:eastAsia="zh-CN" w:bidi="ar"/>
              </w:rPr>
              <w:t>最高限价（元）</w:t>
            </w:r>
          </w:p>
        </w:tc>
      </w:tr>
      <w:tr w14:paraId="61C6C9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14" w:hRule="atLeast"/>
        </w:trPr>
        <w:tc>
          <w:tcPr>
            <w:tcW w:w="87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FDC2487">
            <w:pPr>
              <w:keepNext w:val="0"/>
              <w:keepLines w:val="0"/>
              <w:pageBreakBefore w:val="0"/>
              <w:kinsoku/>
              <w:overflowPunct/>
              <w:topLinePunct w:val="0"/>
              <w:autoSpaceDE/>
              <w:autoSpaceDN/>
              <w:bidi w:val="0"/>
              <w:adjustRightInd/>
              <w:spacing w:beforeAutospacing="0" w:afterAutospacing="0" w:line="360" w:lineRule="auto"/>
              <w:ind w:left="0" w:leftChars="0" w:right="0" w:rightChars="0"/>
              <w:jc w:val="center"/>
              <w:textAlignment w:val="auto"/>
              <w:rPr>
                <w:rFonts w:hint="eastAsia" w:ascii="仿宋" w:hAnsi="仿宋" w:eastAsia="仿宋" w:cs="仿宋"/>
                <w:spacing w:val="0"/>
                <w:sz w:val="24"/>
                <w:szCs w:val="24"/>
                <w:highlight w:val="none"/>
              </w:rPr>
            </w:pPr>
            <w:r>
              <w:rPr>
                <w:rFonts w:hint="eastAsia" w:ascii="仿宋" w:hAnsi="仿宋" w:eastAsia="仿宋" w:cs="仿宋"/>
                <w:color w:val="auto"/>
                <w:spacing w:val="0"/>
                <w:kern w:val="0"/>
                <w:sz w:val="24"/>
                <w:szCs w:val="24"/>
                <w:highlight w:val="none"/>
                <w:shd w:val="clear" w:fill="FFFFFF"/>
                <w:lang w:val="en-US" w:eastAsia="zh-CN" w:bidi="ar-SA"/>
              </w:rPr>
              <w:t>1-1</w:t>
            </w:r>
          </w:p>
        </w:tc>
        <w:tc>
          <w:tcPr>
            <w:tcW w:w="121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CE01F7E">
            <w:pPr>
              <w:pStyle w:val="9"/>
              <w:keepNext w:val="0"/>
              <w:keepLines w:val="0"/>
              <w:pageBreakBefore w:val="0"/>
              <w:kinsoku/>
              <w:overflowPunct/>
              <w:topLinePunct w:val="0"/>
              <w:autoSpaceDE/>
              <w:autoSpaceDN/>
              <w:bidi w:val="0"/>
              <w:adjustRightInd/>
              <w:spacing w:beforeAutospacing="0" w:afterAutospacing="0" w:line="360" w:lineRule="auto"/>
              <w:ind w:left="0" w:leftChars="0" w:right="0" w:rightChars="0"/>
              <w:jc w:val="both"/>
              <w:textAlignment w:val="auto"/>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其他市政公用设施施工</w:t>
            </w:r>
          </w:p>
        </w:tc>
        <w:tc>
          <w:tcPr>
            <w:tcW w:w="149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149AF65">
            <w:pPr>
              <w:pStyle w:val="9"/>
              <w:keepNext w:val="0"/>
              <w:keepLines w:val="0"/>
              <w:pageBreakBefore w:val="0"/>
              <w:kinsoku/>
              <w:overflowPunct/>
              <w:topLinePunct w:val="0"/>
              <w:autoSpaceDE/>
              <w:autoSpaceDN/>
              <w:bidi w:val="0"/>
              <w:adjustRightInd/>
              <w:spacing w:beforeAutospacing="0" w:afterAutospacing="0" w:line="360" w:lineRule="auto"/>
              <w:ind w:left="0" w:leftChars="0" w:right="0" w:rightChars="0"/>
              <w:jc w:val="center"/>
              <w:textAlignment w:val="auto"/>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团结片区徐五线、徐五线团南支、永淳十七太华支、达利支、小临支等五条10KV电力线路落地工程</w:t>
            </w:r>
          </w:p>
        </w:tc>
        <w:tc>
          <w:tcPr>
            <w:tcW w:w="109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5C7A125">
            <w:pPr>
              <w:pStyle w:val="9"/>
              <w:keepNext w:val="0"/>
              <w:keepLines w:val="0"/>
              <w:pageBreakBefore w:val="0"/>
              <w:kinsoku/>
              <w:overflowPunct/>
              <w:topLinePunct w:val="0"/>
              <w:autoSpaceDE/>
              <w:autoSpaceDN/>
              <w:bidi w:val="0"/>
              <w:adjustRightInd/>
              <w:spacing w:beforeAutospacing="0" w:afterAutospacing="0" w:line="360" w:lineRule="auto"/>
              <w:ind w:left="0" w:leftChars="0" w:right="0" w:rightChars="0"/>
              <w:jc w:val="center"/>
              <w:textAlignment w:val="auto"/>
              <w:rPr>
                <w:rFonts w:hint="eastAsia" w:ascii="仿宋" w:hAnsi="仿宋" w:eastAsia="仿宋" w:cs="仿宋"/>
                <w:color w:val="auto"/>
                <w:spacing w:val="0"/>
                <w:sz w:val="24"/>
                <w:szCs w:val="24"/>
                <w:highlight w:val="none"/>
                <w:vertAlign w:val="baseline"/>
                <w:lang w:val="en-US" w:eastAsia="zh-CN"/>
              </w:rPr>
            </w:pPr>
            <w:r>
              <w:rPr>
                <w:rFonts w:hint="eastAsia" w:ascii="仿宋" w:hAnsi="仿宋" w:eastAsia="仿宋" w:cs="仿宋"/>
                <w:color w:val="auto"/>
                <w:spacing w:val="0"/>
                <w:sz w:val="24"/>
                <w:szCs w:val="24"/>
                <w:highlight w:val="none"/>
                <w:vertAlign w:val="baseline"/>
                <w:lang w:val="en-US" w:eastAsia="zh-CN"/>
              </w:rPr>
              <w:t>1（项）</w:t>
            </w:r>
          </w:p>
        </w:tc>
        <w:tc>
          <w:tcPr>
            <w:tcW w:w="132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FE4CFBB">
            <w:pPr>
              <w:pStyle w:val="9"/>
              <w:keepNext w:val="0"/>
              <w:keepLines w:val="0"/>
              <w:pageBreakBefore w:val="0"/>
              <w:kinsoku/>
              <w:overflowPunct/>
              <w:topLinePunct w:val="0"/>
              <w:autoSpaceDE/>
              <w:autoSpaceDN/>
              <w:bidi w:val="0"/>
              <w:adjustRightInd/>
              <w:spacing w:beforeAutospacing="0" w:afterAutospacing="0" w:line="360" w:lineRule="auto"/>
              <w:ind w:left="0" w:leftChars="0" w:right="0" w:rightChars="0"/>
              <w:jc w:val="center"/>
              <w:textAlignment w:val="auto"/>
              <w:rPr>
                <w:rFonts w:hint="eastAsia" w:ascii="仿宋" w:hAnsi="仿宋" w:eastAsia="仿宋" w:cs="仿宋"/>
                <w:color w:val="auto"/>
                <w:spacing w:val="0"/>
                <w:sz w:val="24"/>
                <w:szCs w:val="24"/>
                <w:highlight w:val="none"/>
                <w:vertAlign w:val="baseline"/>
                <w:lang w:val="en-US" w:eastAsia="zh-CN"/>
              </w:rPr>
            </w:pPr>
            <w:r>
              <w:rPr>
                <w:rFonts w:hint="eastAsia" w:ascii="仿宋" w:hAnsi="仿宋" w:eastAsia="仿宋" w:cs="仿宋"/>
                <w:color w:val="auto"/>
                <w:spacing w:val="0"/>
                <w:sz w:val="24"/>
                <w:szCs w:val="24"/>
                <w:highlight w:val="none"/>
                <w:vertAlign w:val="baseline"/>
                <w:lang w:val="en-US" w:eastAsia="zh-CN"/>
              </w:rPr>
              <w:t>详见招标文件</w:t>
            </w:r>
          </w:p>
        </w:tc>
        <w:tc>
          <w:tcPr>
            <w:tcW w:w="164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168CF9C">
            <w:pPr>
              <w:pStyle w:val="9"/>
              <w:keepNext w:val="0"/>
              <w:keepLines w:val="0"/>
              <w:pageBreakBefore w:val="0"/>
              <w:kinsoku/>
              <w:overflowPunct/>
              <w:topLinePunct w:val="0"/>
              <w:autoSpaceDE/>
              <w:autoSpaceDN/>
              <w:bidi w:val="0"/>
              <w:adjustRightInd/>
              <w:spacing w:beforeAutospacing="0" w:afterAutospacing="0" w:line="360" w:lineRule="auto"/>
              <w:ind w:left="0" w:leftChars="0" w:right="0" w:rightChars="0"/>
              <w:jc w:val="center"/>
              <w:textAlignment w:val="auto"/>
              <w:rPr>
                <w:rFonts w:hint="eastAsia" w:ascii="仿宋" w:hAnsi="仿宋" w:eastAsia="仿宋" w:cs="仿宋"/>
                <w:color w:val="auto"/>
                <w:spacing w:val="0"/>
                <w:sz w:val="24"/>
                <w:szCs w:val="24"/>
                <w:highlight w:val="none"/>
                <w:vertAlign w:val="baseline"/>
                <w:lang w:val="en-US" w:eastAsia="zh-CN"/>
              </w:rPr>
            </w:pPr>
            <w:r>
              <w:rPr>
                <w:rFonts w:hint="eastAsia" w:ascii="仿宋" w:hAnsi="仿宋" w:eastAsia="仿宋" w:cs="仿宋"/>
                <w:color w:val="auto"/>
                <w:spacing w:val="0"/>
                <w:sz w:val="24"/>
                <w:szCs w:val="24"/>
                <w:highlight w:val="none"/>
                <w:vertAlign w:val="baseline"/>
                <w:lang w:val="en-US" w:eastAsia="zh-CN"/>
              </w:rPr>
              <w:t>7422987.67</w:t>
            </w:r>
          </w:p>
        </w:tc>
        <w:tc>
          <w:tcPr>
            <w:tcW w:w="164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AA6D21A">
            <w:pPr>
              <w:pStyle w:val="9"/>
              <w:keepNext w:val="0"/>
              <w:keepLines w:val="0"/>
              <w:pageBreakBefore w:val="0"/>
              <w:kinsoku/>
              <w:overflowPunct/>
              <w:topLinePunct w:val="0"/>
              <w:autoSpaceDE/>
              <w:autoSpaceDN/>
              <w:bidi w:val="0"/>
              <w:adjustRightInd/>
              <w:spacing w:beforeAutospacing="0" w:afterAutospacing="0" w:line="360" w:lineRule="auto"/>
              <w:ind w:left="0" w:leftChars="0" w:right="0" w:rightChars="0"/>
              <w:jc w:val="center"/>
              <w:textAlignment w:val="auto"/>
              <w:rPr>
                <w:rFonts w:hint="eastAsia" w:ascii="仿宋" w:hAnsi="仿宋" w:eastAsia="仿宋" w:cs="仿宋"/>
                <w:color w:val="auto"/>
                <w:spacing w:val="0"/>
                <w:sz w:val="24"/>
                <w:szCs w:val="24"/>
                <w:highlight w:val="none"/>
                <w:vertAlign w:val="baseline"/>
                <w:lang w:val="en-US" w:eastAsia="zh-CN"/>
              </w:rPr>
            </w:pPr>
            <w:r>
              <w:rPr>
                <w:rFonts w:hint="eastAsia" w:ascii="仿宋" w:hAnsi="仿宋" w:eastAsia="仿宋" w:cs="仿宋"/>
                <w:color w:val="auto"/>
                <w:spacing w:val="0"/>
                <w:sz w:val="24"/>
                <w:szCs w:val="24"/>
                <w:highlight w:val="none"/>
                <w:vertAlign w:val="baseline"/>
                <w:lang w:val="en-US" w:eastAsia="zh-CN"/>
              </w:rPr>
              <w:t>7422987.67</w:t>
            </w:r>
          </w:p>
        </w:tc>
      </w:tr>
    </w:tbl>
    <w:p w14:paraId="51B744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630"/>
        <w:jc w:val="both"/>
        <w:rPr>
          <w:rFonts w:hint="eastAsia" w:ascii="仿宋" w:hAnsi="仿宋" w:eastAsia="仿宋" w:cs="仿宋"/>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本合同包不接受联合体投标</w:t>
      </w:r>
    </w:p>
    <w:p w14:paraId="6243C5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63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合同履行期限：</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自合同签订之日起180天完工</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p>
    <w:p w14:paraId="4CC756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二、申请人的资格要求</w:t>
      </w:r>
    </w:p>
    <w:p w14:paraId="0D120F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1.满足《中华人民共和国政府采购法》第二十二条规定;</w:t>
      </w:r>
    </w:p>
    <w:p w14:paraId="74D751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2.落实政府采购政策需满足的资格要求：</w:t>
      </w:r>
    </w:p>
    <w:p w14:paraId="717409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color w:val="000000" w:themeColor="text1"/>
          <w:spacing w:val="0"/>
          <w:sz w:val="24"/>
          <w:szCs w:val="24"/>
          <w:highlight w:val="none"/>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团结片区徐五线、徐五线团南支、永淳十七太华支、达利支、小临支等五条10KV电力线路落地工程</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)落实政府采购政策需满足的资格要求如下</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p>
    <w:p w14:paraId="1AFB4D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本项目专门面向中小企业采购；</w:t>
      </w:r>
    </w:p>
    <w:p w14:paraId="0CEEED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3.本项目的特定资格要求：</w:t>
      </w:r>
    </w:p>
    <w:p w14:paraId="2E7B5A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color w:val="000000" w:themeColor="text1"/>
          <w:spacing w:val="0"/>
          <w:sz w:val="24"/>
          <w:szCs w:val="24"/>
          <w:highlight w:val="none"/>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团结片区徐五线、徐五线团南支、永淳十七太华支、达利支、小临支等五条10KV电力线路落地工程</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一标段</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)特定资格要求如下</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p>
    <w:p w14:paraId="4D9E02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有效的主体资格证明：具有独立承担民事责任能力的法人、其他组织或自然人，并出具合法有效的统一社会信用代码的营业执照或事业单位法人证书等国家规定的相关证明，自然人参与的提供其身份证明。</w:t>
      </w:r>
    </w:p>
    <w:p w14:paraId="2EBDBA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财务状况报告（任选其一）：</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①2025年度经审计的完整财务审计报告</w:t>
      </w:r>
      <w:r>
        <w:rPr>
          <w:rFonts w:hint="eastAsia" w:ascii="仿宋" w:hAnsi="仿宋" w:eastAsia="仿宋" w:cs="仿宋"/>
          <w:b/>
          <w:bCs/>
          <w:spacing w:val="0"/>
        </w:rPr>
        <w:t>（有注册会计师行业统一监管平台赋予的专属验证码）</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（成立时间至提交投标文件截止时间不足一年的可提供成立后任意时段的资产负债表）；②提交投标文件截止时间（不含开标当月）三个月内其基本账户开户银行出具的资信证明（附基本存款账户信息）</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。此项可提供基本资格条件承诺函。</w:t>
      </w:r>
    </w:p>
    <w:p w14:paraId="7B3FD4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社保缴纳证明：提交</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投标文件</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截止时间</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（不含开标当月）</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前一年内至少一个月社会保障资金缴存单据或社保机构开具的社会保险参保缴费情况证明，单据或证明上应有社保机构或代收机构的公章或业务专用章；依法不需要缴纳社会保障资金的单位应提供书面说明和相关证明材料。此项可提供基本资格条件承诺函。</w:t>
      </w:r>
    </w:p>
    <w:p w14:paraId="396A60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税收缴纳证明：提供递交</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投标文件</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截止</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时间</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（不含开标当月）</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前一年内任意一个月依法缴纳税收的相关凭据，凭据应有税务机关或代收机关的公章或业务专用章。依法免税或无须缴纳税收的供应商，应提供书面说明和相关证明材料。此项可提供基本资格条件承诺函。</w:t>
      </w:r>
    </w:p>
    <w:p w14:paraId="68CE40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无重大违法记录声明：提供参加本次政府采购活动前3年内在经营活动中没有重大违法记录的书面声明。此项可提供基本资格条件承诺函。</w:t>
      </w:r>
    </w:p>
    <w:p w14:paraId="01B42F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具有履行合同所必需的设备和专业技术能力：提供具有履行合同所必需的设备和专业技术能力声明。此项可提供基本资格条件承诺函。</w:t>
      </w:r>
    </w:p>
    <w:p w14:paraId="5E81E0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资质要求：投标人①具备建设行政主管部门颁发的【电力工程施工总承包三级】及以上资质或【输变电工程专业承包三级】及以上资质</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②</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【承装类承装(修、试)电力设施许可证</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三</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级】</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及</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以上</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资质，③具有合</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格有效的安全生产许可证</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 xml:space="preserve">省外企业须在陕西省住房和城乡建设厅企业库可查询。 </w:t>
      </w:r>
    </w:p>
    <w:p w14:paraId="2E4B89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拟派项目经理</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要求</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投标人拟派项目经理</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须具备【机电二级注册建造师】及以上</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执业资格，具有</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有效的安全生产考核合格证书（B类）</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，在本单位注册</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且未担任其他在建工程项目的项目经理(提供无在建承诺函)</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p>
    <w:p w14:paraId="01DAA4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9</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合法授权人授权委托书：法定代表人授权书（附法定代表人、被授权人身份证复印件及被授权人本单位近三个月内（不含开标当月）任意一个月的社保缴纳证明资料）（法定代表人直接参加的，须提供法定代表人身份证明及身份证复印件且与营业执照上信息须一致）。</w:t>
      </w:r>
    </w:p>
    <w:p w14:paraId="6B8B4E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信用记录：供应商不得为“信用中国”网站（www.creditchina.gov.cn）中列入失信被执行人和重大税收违法失信主体</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名单</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，不得为中国政府采购网（www.ccgp.gov.cn）政府采购严重违法失信行为记录名单中被财政部门禁止参加政府采购活动的供应商</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；（此项投标人无需提供，以开标当日采购代理机构现场查询为准）</w:t>
      </w:r>
    </w:p>
    <w:p w14:paraId="0CA472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（11）控股、管理关系要求：</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单位负责人为同一人或者存在直接控股、管理关系的不同投标人，不得参加同一合同项下的政府采购活动。</w:t>
      </w:r>
    </w:p>
    <w:p w14:paraId="1127D7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80" w:firstLineChars="200"/>
        <w:jc w:val="both"/>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（12）非联合体不分包要求：</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本项目不接受联合体投标，不允许分包：供应商应提供《非联合体不分包投标声明》，视为独立投标，不分包。</w:t>
      </w:r>
    </w:p>
    <w:p w14:paraId="568C36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三、获取招标文件</w:t>
      </w:r>
    </w:p>
    <w:p w14:paraId="0D0346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时间：2026年10月24日至2026年10月30日，每天上午00</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00</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00至12</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00</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00，下午12</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00</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00至23</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59</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59（北京时间）</w:t>
      </w:r>
    </w:p>
    <w:p w14:paraId="7233EE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途径：</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全国公共资源交易平台（陕西省·西安市）</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网站〖首页〉电子交易平台〉陕西政府采购交易系统〉企业端〗</w:t>
      </w:r>
    </w:p>
    <w:p w14:paraId="6E0F64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方式：在线获取</w:t>
      </w:r>
    </w:p>
    <w:p w14:paraId="2579C6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售价：0元</w:t>
      </w:r>
    </w:p>
    <w:p w14:paraId="7299E1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四、提交投标文件截止时间、开标时间和地点</w:t>
      </w:r>
    </w:p>
    <w:p w14:paraId="1A677C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时间：</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2026年11月13日 09时30分00秒</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（北京时间）</w:t>
      </w:r>
    </w:p>
    <w:p w14:paraId="1BE409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提交投标文件地点：全国公共资源交易平台（陕西省·西安市）网站〖首页〉电子交易平台&lt;陕西政府采购交易系统&gt;企业端〗，在线提交</w:t>
      </w:r>
    </w:p>
    <w:p w14:paraId="3ECDA7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开标地点：</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全国公共资源交易平台（陕西省·西安市）</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不见面开标大厅</w:t>
      </w:r>
    </w:p>
    <w:p w14:paraId="502100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五、公告期限</w:t>
      </w:r>
    </w:p>
    <w:p w14:paraId="2C3599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0" w:beforeAutospacing="0" w:after="0" w:afterAutospacing="0" w:line="360" w:lineRule="auto"/>
        <w:ind w:left="0" w:leftChars="0" w:right="0" w:rightChars="0" w:firstLine="480"/>
        <w:jc w:val="both"/>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自本公告发布之日起5个工作日。</w:t>
      </w:r>
    </w:p>
    <w:p w14:paraId="04622E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topLinePunct w:val="0"/>
        <w:bidi w:val="0"/>
        <w:spacing w:beforeAutospacing="0" w:afterAutospacing="0" w:line="360" w:lineRule="auto"/>
        <w:ind w:left="0" w:leftChars="0" w:right="0" w:rightChars="0" w:firstLine="0"/>
        <w:jc w:val="left"/>
        <w:rPr>
          <w:rFonts w:hint="eastAsia" w:ascii="仿宋" w:hAnsi="仿宋" w:eastAsia="仿宋" w:cs="仿宋"/>
          <w:b w:val="0"/>
          <w:bCs w:val="0"/>
          <w:i w:val="0"/>
          <w:iCs w:val="0"/>
          <w:caps w:val="0"/>
          <w:color w:val="000000" w:themeColor="text1"/>
          <w:spacing w:val="0"/>
          <w:sz w:val="24"/>
          <w:szCs w:val="24"/>
          <w:highlight w:val="none"/>
          <w14:textFill>
            <w14:solidFill>
              <w14:schemeClr w14:val="tx1"/>
            </w14:solidFill>
          </w14:textFill>
        </w:rPr>
      </w:pPr>
      <w:r>
        <w:rPr>
          <w:rStyle w:val="7"/>
          <w:rFonts w:hint="eastAsia" w:ascii="仿宋" w:hAnsi="仿宋" w:eastAsia="仿宋" w:cs="仿宋"/>
          <w:b/>
          <w:bCs/>
          <w:i w:val="0"/>
          <w:iCs w:val="0"/>
          <w:caps w:val="0"/>
          <w:color w:val="000000" w:themeColor="text1"/>
          <w:spacing w:val="0"/>
          <w:sz w:val="24"/>
          <w:szCs w:val="24"/>
          <w:highlight w:val="none"/>
          <w:shd w:val="clear" w:fill="FFFFFF"/>
          <w14:textFill>
            <w14:solidFill>
              <w14:schemeClr w14:val="tx1"/>
            </w14:solidFill>
          </w14:textFill>
        </w:rPr>
        <w:t>六、其他补充事宜</w:t>
      </w:r>
    </w:p>
    <w:p w14:paraId="10F477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本次招标公告同时在《陕西省政府采购网》《全国公共资源交易平台（陕西省·西安市）》发布。</w:t>
      </w:r>
    </w:p>
    <w:p w14:paraId="0B69E6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color w:val="000000" w:themeColor="text1"/>
          <w:spacing w:val="0"/>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投标单位须按照陕西省财政厅《关于政府采购供应商注册登记有关事项的通知》中的要求，通过陕西省政府采购网（http</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//www.ccgp-shaanxi.gov.cn/）注册登记加入陕西省政府采购供应商库。</w:t>
      </w:r>
    </w:p>
    <w:p w14:paraId="237734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）投标单位初次使用电子交易平台时，请先阅读【全国公共资源交易平台（陕西省·西安市）】（http</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//sxggzyjy.xa.gov.cn/）网站〖首页〉服务指南〉下载专区〗中的《西安市市级单位电子化政府采购项目投标指南》，并按要求完成诚信入库登记、CA认证及企业信息绑定。</w:t>
      </w:r>
    </w:p>
    <w:p w14:paraId="18197BE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firstLineChars="0"/>
        <w:jc w:val="left"/>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t>（4）</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办理CA认证：电子交易平台现已接入陕西CA、深圳CA、西部CA、北京CA四家数字证书公司，各供应商在交易过程中登录系统、加密/解密投标文件、文件签章等均可使用上述四家CA公司签发的数字证书。办理须知及所需资料详见：</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fldChar w:fldCharType="begin"/>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instrText xml:space="preserve"> HYPERLINK "http://www.sxggzyjy.cn/fwzn/004003/20220701/6972fe02-f996-4928-951e-545dab02e53c.htm" </w:instrTex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fldChar w:fldCharType="separate"/>
      </w:r>
      <w:r>
        <w:rPr>
          <w:rStyle w:val="8"/>
          <w:rFonts w:hint="eastAsia" w:ascii="仿宋" w:hAnsi="仿宋" w:eastAsia="仿宋" w:cs="仿宋"/>
          <w:i w:val="0"/>
          <w:iCs w:val="0"/>
          <w:caps w:val="0"/>
          <w:spacing w:val="0"/>
          <w:sz w:val="24"/>
          <w:szCs w:val="24"/>
          <w:highlight w:val="none"/>
          <w:shd w:val="clear" w:fill="FFFFFF"/>
        </w:rPr>
        <w:t>http</w:t>
      </w:r>
      <w:r>
        <w:rPr>
          <w:rStyle w:val="8"/>
          <w:rFonts w:hint="eastAsia" w:ascii="仿宋" w:hAnsi="仿宋" w:eastAsia="仿宋" w:cs="仿宋"/>
          <w:i w:val="0"/>
          <w:iCs w:val="0"/>
          <w:caps w:val="0"/>
          <w:spacing w:val="0"/>
          <w:sz w:val="24"/>
          <w:szCs w:val="24"/>
          <w:highlight w:val="none"/>
          <w:shd w:val="clear" w:fill="FFFFFF"/>
          <w:lang w:eastAsia="zh-CN"/>
        </w:rPr>
        <w:t>：</w:t>
      </w:r>
      <w:r>
        <w:rPr>
          <w:rStyle w:val="8"/>
          <w:rFonts w:hint="eastAsia" w:ascii="仿宋" w:hAnsi="仿宋" w:eastAsia="仿宋" w:cs="仿宋"/>
          <w:i w:val="0"/>
          <w:iCs w:val="0"/>
          <w:caps w:val="0"/>
          <w:spacing w:val="0"/>
          <w:sz w:val="24"/>
          <w:szCs w:val="24"/>
          <w:highlight w:val="none"/>
          <w:shd w:val="clear" w:fill="FFFFFF"/>
        </w:rPr>
        <w:t>//www.sxggzyjy.cn/fwzn/004003/20220701/6972fe02-f996-4928-951e-545dab02e53c.htm</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fldChar w:fldCharType="end"/>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l</w:t>
      </w:r>
    </w:p>
    <w:p w14:paraId="13FAC6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t>（5）供应商于文件发售时间内登录全国公共资源交易平台（陕西省·西安市）系统（http：//sxggzyjy.xa.gov.cn/），选择本项目点击“我要投标”，参与投标活动；网上报名成功后，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下载通道将关闭，未及时下载招标文件将会影响投标文件编制及后续投标活动；</w:t>
      </w:r>
    </w:p>
    <w:p w14:paraId="3A9FA4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t>(6)制作电子投标文件（*.SXSTF）需要使用专用制作工具进行编制，编制完成后使用CA锁对电子投标文件进行签章、加密递交电子投标文件。软件下载及操作说明详见西安市公共资源交易平台〖首页·〉服务指南·〉下载专区〗中的《政府采购项目投标文件制作软件及操作手册》。提交电子投标文件：在提交投标文件截止时间前及时提交加密后电子投标文件，逾期提交的，系统将会拒收。</w:t>
      </w:r>
    </w:p>
    <w:p w14:paraId="11A395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t>(7)提交投标文件截止时间前，供应商应随时留意【陕西省政府采购网〗、【全国公共资源交易平台（陕西省·西安市）〗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p w14:paraId="457E3B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t>(8)本项目采用“不见面开标”方式，供应商无须到达开标现场，即可在网上直接参与开标活动。不见面开标大厅登录方式为：全国公共资源交易平台（陕西省·西安市）→不见面开标系统。相关操作流程详见全国公共资源交易平台（西安市）网站〖首页·〉服务指南·〉下载专区〗中的《西安公共资源交易不见面开标大厅供应商操作手册》。</w:t>
      </w:r>
    </w:p>
    <w:p w14:paraId="295B93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pPr>
      <w:r>
        <w:rPr>
          <w:rFonts w:hint="eastAsia" w:ascii="仿宋" w:hAnsi="仿宋" w:eastAsia="仿宋" w:cs="仿宋"/>
          <w:i w:val="0"/>
          <w:iCs w:val="0"/>
          <w:caps w:val="0"/>
          <w:color w:val="000000" w:themeColor="text1"/>
          <w:spacing w:val="0"/>
          <w:kern w:val="0"/>
          <w:sz w:val="24"/>
          <w:szCs w:val="24"/>
          <w:highlight w:val="none"/>
          <w:shd w:val="clear" w:fill="FFFFFF"/>
          <w:lang w:val="en-US" w:eastAsia="zh-CN" w:bidi="ar-SA"/>
          <w14:textFill>
            <w14:solidFill>
              <w14:schemeClr w14:val="tx1"/>
            </w14:solidFill>
          </w14:textFill>
        </w:rPr>
        <w:t>(9)因供应商自身设施故障或自身原因导致无法完成签到、解密或投标的，由供应商自行承担后果。</w:t>
      </w:r>
    </w:p>
    <w:p w14:paraId="1BA26E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）需落实的政府采购政策</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w:t>
      </w:r>
    </w:p>
    <w:p w14:paraId="5D498A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1.《国务院办公厅关于建立政府强制采购节能产品制度的通知》（国办发〔2007〕51号）；</w:t>
      </w:r>
    </w:p>
    <w:p w14:paraId="6537BE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2.《关于印发环境标志产品政府采购品目清单的通知》（财库〔2019〕18号）</w:t>
      </w:r>
    </w:p>
    <w:p w14:paraId="4D568D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3.《关于印发节能产品政府采购品目清单的通知》（财库〔2019〕19号）</w:t>
      </w:r>
    </w:p>
    <w:p w14:paraId="4523EA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4.《财政部司法部关于政府采购支持监狱企业发展有关问题的通知》（财库〔2014〕68号）；</w:t>
      </w:r>
    </w:p>
    <w:p w14:paraId="40DFBF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5.《关于促进残疾人就业政府采购政策的通知》（财库〔2017〕141号）；</w:t>
      </w:r>
    </w:p>
    <w:p w14:paraId="1E6843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6.《关于调整优化节能产品、环境标志产品政府采购执行机制的通知》（财库〔2019〕9号）；</w:t>
      </w:r>
    </w:p>
    <w:p w14:paraId="1772AF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7.《关于运用政府采购政策支持乡村产业振兴的通知》（财库〔2021〕19号）；</w:t>
      </w:r>
    </w:p>
    <w:p w14:paraId="5C0FFE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8.《政府采购促进中小企业发展管理办法》（财库〔2020〕46号）；</w:t>
      </w:r>
    </w:p>
    <w:p w14:paraId="2F8920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9.《陕西省财政厅关于印发&lt;陕西省中小企业政府采购信用融资办法〉的通知》（陕财办采〔2018〕23号）；</w:t>
      </w:r>
    </w:p>
    <w:p w14:paraId="6E778A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10.陕西省财政厅《关于进一步加强政府绿色采购有关问题的通知》（陕财办采〔2021〕29号）；</w:t>
      </w:r>
    </w:p>
    <w:p w14:paraId="0EC270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11.《关于进一步加大政府采购支持中小企业力度的通知》（财库〔2022〕19号）；</w:t>
      </w:r>
    </w:p>
    <w:p w14:paraId="6A169E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12.《关于扩大政府采购支持绿色建材促进建筑品质提升政策实施范围的通知》（财库〔2022〕35号）；</w:t>
      </w:r>
    </w:p>
    <w:p w14:paraId="21A69E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13.《陕西省财政厅中国人民银行西安分行关于深入推进政府采购信用融资业务通知》(陕财办20235号)；</w:t>
      </w:r>
    </w:p>
    <w:p w14:paraId="092DFE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14.《国务院办公厅关于在政府采购中实施本国产品标准及相关政策的通知》国办发〔2025〕34号</w:t>
      </w:r>
    </w:p>
    <w:p w14:paraId="772445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topLinePunct w:val="0"/>
        <w:bidi w:val="0"/>
        <w:spacing w:before="0" w:beforeAutospacing="0" w:after="0" w:afterAutospacing="0" w:line="360" w:lineRule="auto"/>
        <w:ind w:left="0" w:leftChars="0" w:right="0" w:rightChars="0" w:firstLine="420"/>
        <w:jc w:val="left"/>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15.本项目专门面向中小企业采购，仅限符合《政府采购促进中小企业发展暂行办法》（财库〔2020〕46号）条件的中小企业参与，供应商应填写中小企业声明函并对真实性负责。（残疾人福利性单位及监狱企业视同为小型、微型企业）</w:t>
      </w:r>
    </w:p>
    <w:p w14:paraId="58C6A31F">
      <w:pPr>
        <w:ind w:firstLine="480" w:firstLineChars="200"/>
      </w:pP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16.其他需执行的政府采购政策。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9A0C80"/>
    <w:rsid w:val="269A0C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9"/>
    <w:pPr>
      <w:spacing w:beforeAutospacing="1" w:afterAutospacing="1"/>
      <w:jc w:val="left"/>
      <w:outlineLvl w:val="3"/>
    </w:pPr>
    <w:rPr>
      <w:rFonts w:hint="eastAsia" w:ascii="宋体" w:hAnsi="宋体" w:eastAsia="宋体" w:cs="Times New Roman"/>
      <w:b/>
      <w:bCs/>
      <w:kern w:val="0"/>
      <w:sz w:val="24"/>
      <w:szCs w:val="24"/>
    </w:rPr>
  </w:style>
  <w:style w:type="paragraph" w:styleId="3">
    <w:name w:val="heading 6"/>
    <w:basedOn w:val="1"/>
    <w:next w:val="1"/>
    <w:semiHidden/>
    <w:unhideWhenUsed/>
    <w:qFormat/>
    <w:uiPriority w:val="9"/>
    <w:pPr>
      <w:spacing w:beforeAutospacing="1" w:afterAutospacing="1"/>
      <w:jc w:val="left"/>
      <w:outlineLvl w:val="5"/>
    </w:pPr>
    <w:rPr>
      <w:rFonts w:hint="eastAsia" w:ascii="宋体" w:hAnsi="宋体" w:eastAsia="宋体" w:cs="Times New Roman"/>
      <w:b/>
      <w:bCs/>
      <w:kern w:val="0"/>
      <w:sz w:val="15"/>
      <w:szCs w:val="15"/>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7">
    <w:name w:val="Strong"/>
    <w:basedOn w:val="6"/>
    <w:qFormat/>
    <w:uiPriority w:val="22"/>
    <w:rPr>
      <w:b/>
    </w:rPr>
  </w:style>
  <w:style w:type="character" w:styleId="8">
    <w:name w:val="Hyperlink"/>
    <w:basedOn w:val="6"/>
    <w:qFormat/>
    <w:uiPriority w:val="99"/>
    <w:rPr>
      <w:color w:val="000000"/>
      <w:sz w:val="18"/>
      <w:szCs w:val="18"/>
      <w:u w:val="none"/>
    </w:r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2026-10-23T08:51:00Z</dcterms:created>
  <dc:creator>杜某某</dc:creator>
  <cp:lastModifiedBy>杜某某</cp:lastModifiedBy>
  <dcterms:modified xsi:type="dcterms:W3CDTF">2026-10-23T08:52:03Z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375C110C3C8F40E1A6F39F6DA6F19F0B_11</vt:lpwstr>
  </property>
  <property fmtid="{D5CDD505-2E9C-101B-9397-08002B2CF9AE}" pid="4" name="KSOTemplateDocerSaveRecord">
    <vt:lpwstr>eyJoZGlkIjoiM2RkMzBiZDIxN2JjZTY3MjU2NDJmZmIzNjhiMGMzNzkiLCJ1c2VySWQiOiI0NjMyNzA4NzEifQ==</vt:lpwstr>
  </property>
</Properties>
</file>