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版本号：SCZD2026-ZB-0470-001.1B220260617001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医保智能监管系统AI升级改造项目(三次)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SCZD2026-ZB-0470-001.1B2</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医保智能监管系统AI升级改造项目(三次)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SCZD2026-ZB-0470-001.1B2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医保智能监管系统AI升级改造项目(三次)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基于国家、省、市医保监管规则库、飞行检查规则库，使用AI大数据模型解析、推理、预警、审核对医院医保全流程诊疗物价行为进行事前审核质控和申诉反馈系统，及其配套的算力服务器。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采购包1（陕西省人民医院医保智能监管系统AI升级改造项目）：属于专门面向中小企业采购。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特定资格条件2：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3、特定资格条件3：投标人不得存在下列情形之一：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4、特定资格条件4：需按照招标公告要求的方式获取招标文件并登记备案，未按招标公告要求的方式获取招标文件并登记备案的投标人均无资格参加投标。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029-85251331-3458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银行账号：102862459992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代理服务费收费标准：按照国家计委颁布的《招标代理服务收费管理暂行办法》（计价格[2002]1980号）规定的招标代理服务收费标准，50万元（不含）以上的项目按照下浮43%进行收取。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联系人：马超、王亚宁</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基于国家、省、市医保监管规则库、飞行检查规则库，使用AI大数据模型解析、推理、预警、审核对医院医保全流程诊疗物价行为进行事前审核质控和申诉反馈系统，及其配套的算力服务器。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医保智能监管系统AI升级改造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标的名称：医保智能监管系统AI升级改造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1.项目概述</w:t>
            </w:r>
          </w:p>
          <w:p>
            <w:pPr>
              <w:pStyle w:val="null3"/>
              <w:spacing w:after="120"/>
              <w:ind w:firstLine="360"/>
              <w:jc w:val="both"/>
            </w:pPr>
            <w:r>
              <w:rPr>
                <w:rFonts w:ascii="仿宋_GB2312" w:hAnsi="仿宋_GB2312" w:cs="仿宋_GB2312" w:eastAsia="仿宋_GB2312"/>
                <w:sz w:val="21"/>
                <w:color w:val="000000"/>
              </w:rPr>
              <w:t>国家医疗保障局2025年5月陆续推出六批智能监管“两库”（知识库、规则库）规则和知识点，完善了监管政策框架，达到事前审核要求。在新的监管制度下，为提升医保审核工作质量，加强事中提醒能力，满足国家、省、市医保政策对医疗机构审核能力的要求，医院拟对现有医保智能审核系统进行升级扩展，在医院当前医保智能审核系统基础上建设AI内涵质控模块，并配置相应算力服务器硬件设备。通过AI内涵质控的自然语言处理和深度学习技术，实时分析病历、处方等医疗数据，识别潜在违规行为（如过度医疗、不合理用药），实现在医生开出院医嘱、护士执行医嘱、患者办理预出院时进行病历质控，局端扣款智能申诉推荐功能，病历文书质控赋能医院自查自纠违规审核和上报功能，并支持查看内涵质控规则明细、开启或关闭内涵质控规则。</w:t>
            </w:r>
          </w:p>
          <w:p>
            <w:pPr>
              <w:pStyle w:val="null3"/>
              <w:spacing w:after="120"/>
              <w:jc w:val="both"/>
            </w:pPr>
            <w:r>
              <w:rPr>
                <w:rFonts w:ascii="仿宋_GB2312" w:hAnsi="仿宋_GB2312" w:cs="仿宋_GB2312" w:eastAsia="仿宋_GB2312"/>
                <w:sz w:val="21"/>
                <w:color w:val="000000"/>
              </w:rPr>
              <w:t>2.采购清单及技术标准、配置要求：</w:t>
            </w:r>
          </w:p>
          <w:p>
            <w:pPr>
              <w:pStyle w:val="null3"/>
              <w:jc w:val="both"/>
            </w:pPr>
            <w:r>
              <w:rPr>
                <w:rFonts w:ascii="仿宋_GB2312" w:hAnsi="仿宋_GB2312" w:cs="仿宋_GB2312" w:eastAsia="仿宋_GB2312"/>
                <w:sz w:val="21"/>
                <w:color w:val="000000"/>
              </w:rPr>
              <w:t>一、项目建设总目标</w:t>
            </w:r>
          </w:p>
          <w:p>
            <w:pPr>
              <w:pStyle w:val="null3"/>
              <w:ind w:firstLine="360"/>
              <w:jc w:val="both"/>
            </w:pPr>
            <w:r>
              <w:rPr>
                <w:rFonts w:ascii="仿宋_GB2312" w:hAnsi="仿宋_GB2312" w:cs="仿宋_GB2312" w:eastAsia="仿宋_GB2312"/>
                <w:sz w:val="21"/>
                <w:color w:val="000000"/>
              </w:rPr>
              <w:t>医保智能审核系统基础上升级增加AI内涵质控模块，以国家政策与“两库”为基础，结合自然语言处理、大数据分析、机器学习等技术，构建“预防-监控-审核-自查-复核”全链路管理体系。实现在医生开出院医嘱、护士执行医嘱、患者办理预出院时进行病历质控，局端扣款智能申诉推荐功能，病历文书质控赋能医院自查自纠违规审核和上报功能。构建 AI 驱动的事中病历质控能力，建设可扩展的医保审核规则库。并支持查看内涵质控规则明细、开启或关闭内涵质控规则。具体功能的参数及要求如下：</w:t>
            </w:r>
          </w:p>
          <w:p>
            <w:pPr>
              <w:pStyle w:val="null3"/>
              <w:jc w:val="both"/>
            </w:pPr>
            <w:r>
              <w:rPr>
                <w:rFonts w:ascii="仿宋_GB2312" w:hAnsi="仿宋_GB2312" w:cs="仿宋_GB2312" w:eastAsia="仿宋_GB2312"/>
                <w:sz w:val="21"/>
                <w:color w:val="000000"/>
              </w:rPr>
              <w:t>二、系统参数及要求</w:t>
            </w:r>
          </w:p>
          <w:p>
            <w:pPr>
              <w:pStyle w:val="null3"/>
              <w:ind w:firstLine="360"/>
              <w:jc w:val="both"/>
            </w:pPr>
            <w:r>
              <w:rPr>
                <w:rFonts w:ascii="仿宋_GB2312" w:hAnsi="仿宋_GB2312" w:cs="仿宋_GB2312" w:eastAsia="仿宋_GB2312"/>
                <w:sz w:val="21"/>
                <w:color w:val="000000"/>
              </w:rPr>
              <w:t>投标方需提供完整的系统总体架构方案，包括以下内容：</w:t>
            </w:r>
          </w:p>
          <w:p>
            <w:pPr>
              <w:pStyle w:val="null3"/>
              <w:ind w:firstLine="360"/>
              <w:jc w:val="both"/>
            </w:pPr>
            <w:r>
              <w:rPr>
                <w:rFonts w:ascii="仿宋_GB2312" w:hAnsi="仿宋_GB2312" w:cs="仿宋_GB2312" w:eastAsia="仿宋_GB2312"/>
                <w:sz w:val="21"/>
                <w:color w:val="000000"/>
              </w:rPr>
              <w:t>业务架构图（审核业务流程、事中提醒流程、自查流程）</w:t>
            </w:r>
          </w:p>
          <w:p>
            <w:pPr>
              <w:pStyle w:val="null3"/>
              <w:ind w:firstLine="360"/>
              <w:jc w:val="both"/>
            </w:pPr>
            <w:r>
              <w:rPr>
                <w:rFonts w:ascii="仿宋_GB2312" w:hAnsi="仿宋_GB2312" w:cs="仿宋_GB2312" w:eastAsia="仿宋_GB2312"/>
                <w:sz w:val="21"/>
                <w:color w:val="000000"/>
              </w:rPr>
              <w:t>应用架构图（前端、业务层、AI 模型层、接口层）</w:t>
            </w:r>
          </w:p>
          <w:p>
            <w:pPr>
              <w:pStyle w:val="null3"/>
              <w:ind w:firstLine="360"/>
              <w:jc w:val="both"/>
            </w:pPr>
            <w:r>
              <w:rPr>
                <w:rFonts w:ascii="仿宋_GB2312" w:hAnsi="仿宋_GB2312" w:cs="仿宋_GB2312" w:eastAsia="仿宋_GB2312"/>
                <w:sz w:val="21"/>
                <w:color w:val="000000"/>
              </w:rPr>
              <w:t>数据架构（数据来源、ETL 流程、CDR 模型、数据质量控制）</w:t>
            </w:r>
          </w:p>
          <w:p>
            <w:pPr>
              <w:pStyle w:val="null3"/>
              <w:ind w:firstLine="360"/>
              <w:jc w:val="both"/>
            </w:pPr>
            <w:r>
              <w:rPr>
                <w:rFonts w:ascii="仿宋_GB2312" w:hAnsi="仿宋_GB2312" w:cs="仿宋_GB2312" w:eastAsia="仿宋_GB2312"/>
                <w:sz w:val="21"/>
                <w:color w:val="000000"/>
              </w:rPr>
              <w:t>AI 架构设计（模型部署方式、解释性机制、模型更新机制）</w:t>
            </w:r>
          </w:p>
          <w:p>
            <w:pPr>
              <w:pStyle w:val="null3"/>
              <w:ind w:firstLine="360"/>
              <w:jc w:val="both"/>
            </w:pPr>
            <w:r>
              <w:rPr>
                <w:rFonts w:ascii="仿宋_GB2312" w:hAnsi="仿宋_GB2312" w:cs="仿宋_GB2312" w:eastAsia="仿宋_GB2312"/>
                <w:sz w:val="21"/>
                <w:color w:val="000000"/>
              </w:rPr>
              <w:t>安全架构设计（认证、加密、日志、审计、RBAC）</w:t>
            </w:r>
          </w:p>
          <w:p>
            <w:pPr>
              <w:pStyle w:val="null3"/>
              <w:ind w:firstLine="360"/>
              <w:jc w:val="both"/>
            </w:pPr>
            <w:r>
              <w:rPr>
                <w:rFonts w:ascii="仿宋_GB2312" w:hAnsi="仿宋_GB2312" w:cs="仿宋_GB2312" w:eastAsia="仿宋_GB2312"/>
                <w:sz w:val="21"/>
                <w:color w:val="000000"/>
              </w:rPr>
              <w:t>部署架构图（软硬件部署图、一院两区部署示意）</w:t>
            </w:r>
          </w:p>
          <w:p>
            <w:pPr>
              <w:pStyle w:val="null3"/>
              <w:ind w:firstLine="360"/>
              <w:jc w:val="both"/>
            </w:pPr>
            <w:r>
              <w:rPr>
                <w:rFonts w:ascii="仿宋_GB2312" w:hAnsi="仿宋_GB2312" w:cs="仿宋_GB2312" w:eastAsia="仿宋_GB2312"/>
                <w:sz w:val="21"/>
                <w:color w:val="000000"/>
              </w:rPr>
              <w:t>架构方案需符合我院技术环境，不得要求医院进行大规模二次开发。</w:t>
            </w:r>
          </w:p>
          <w:p>
            <w:pPr>
              <w:pStyle w:val="null3"/>
              <w:jc w:val="both"/>
            </w:pPr>
            <w:r>
              <w:rPr>
                <w:rFonts w:ascii="仿宋_GB2312" w:hAnsi="仿宋_GB2312" w:cs="仿宋_GB2312" w:eastAsia="仿宋_GB2312"/>
                <w:sz w:val="21"/>
                <w:color w:val="000000"/>
              </w:rPr>
              <w:t>三、功能描述与接口</w:t>
            </w:r>
          </w:p>
          <w:tbl>
            <w:tblPr>
              <w:tblInd w:type="dxa" w:w="120"/>
              <w:tblBorders>
                <w:top w:val="none" w:color="000000" w:sz="4"/>
                <w:left w:val="none" w:color="000000" w:sz="4"/>
                <w:bottom w:val="none" w:color="000000" w:sz="4"/>
                <w:right w:val="none" w:color="000000" w:sz="4"/>
                <w:insideH w:val="none"/>
                <w:insideV w:val="none"/>
              </w:tblBorders>
            </w:tblPr>
            <w:tblGrid>
              <w:gridCol w:w="253"/>
              <w:gridCol w:w="344"/>
              <w:gridCol w:w="1955"/>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模块</w:t>
                  </w:r>
                </w:p>
              </w:tc>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功能点</w:t>
                  </w:r>
                </w:p>
              </w:tc>
              <w:tc>
                <w:tcPr>
                  <w:tcW w:type="dxa" w:w="19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详细参数</w:t>
                  </w:r>
                </w:p>
              </w:tc>
            </w:tr>
            <w:tr>
              <w:tc>
                <w:tcPr>
                  <w:tcW w:type="dxa" w:w="2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内涵质控模块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AI病历质控</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▲1）在医生开立出院医嘱、护士执行医嘱时，对患者医保用药、检查、治疗、收费等合规性进行预审，AI智能化分析患者病历书写情况，输出医保限定用药使用是否合规、以及病历文书书写是否完整；</w:t>
                  </w:r>
                </w:p>
                <w:p>
                  <w:pPr>
                    <w:pStyle w:val="null3"/>
                  </w:pPr>
                  <w:r>
                    <w:rPr>
                      <w:rFonts w:ascii="仿宋_GB2312" w:hAnsi="仿宋_GB2312" w:cs="仿宋_GB2312" w:eastAsia="仿宋_GB2312"/>
                      <w:sz w:val="21"/>
                      <w:color w:val="000000"/>
                    </w:rPr>
                    <w:t>2）在护士执行医嘱和办理预出院时，对患者出院前的病历信息预审，AI大模型智能化分析患者医保用药与病历内容的一致性；支持医保专员在线审核，针对预出院失败患者，可补充完善信息；即在HIS系统中进行一致性和完整性检查，质控判断。之后向输出违规描述，违规依据，AI推荐处理意见。</w:t>
                  </w:r>
                </w:p>
                <w:p>
                  <w:pPr>
                    <w:pStyle w:val="null3"/>
                  </w:pPr>
                  <w:r>
                    <w:rPr>
                      <w:rFonts w:ascii="仿宋_GB2312" w:hAnsi="仿宋_GB2312" w:cs="仿宋_GB2312" w:eastAsia="仿宋_GB2312"/>
                      <w:sz w:val="21"/>
                      <w:color w:val="000000"/>
                    </w:rPr>
                    <w:t>3）病历结构化抽取准确率 ≥ 95%</w:t>
                  </w:r>
                </w:p>
                <w:p>
                  <w:pPr>
                    <w:pStyle w:val="null3"/>
                  </w:pPr>
                  <w:r>
                    <w:rPr>
                      <w:rFonts w:ascii="仿宋_GB2312" w:hAnsi="仿宋_GB2312" w:cs="仿宋_GB2312" w:eastAsia="仿宋_GB2312"/>
                      <w:sz w:val="21"/>
                      <w:color w:val="000000"/>
                    </w:rPr>
                    <w:t>用药适应症判断准确率 ≥ 92%</w:t>
                  </w:r>
                  <w:r>
                    <w:rPr>
                      <w:rFonts w:ascii="仿宋_GB2312" w:hAnsi="仿宋_GB2312" w:cs="仿宋_GB2312" w:eastAsia="仿宋_GB2312"/>
                      <w:sz w:val="21"/>
                      <w:color w:val="000000"/>
                    </w:rPr>
                    <w:t>审核延迟 ≤ 30 秒</w:t>
                  </w:r>
                </w:p>
              </w:tc>
            </w:tr>
            <w:tr>
              <w:tc>
                <w:tcPr>
                  <w:tcW w:type="dxa" w:w="253"/>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局端扣款智能申诉</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left="105" w:right="18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针对医保局违规扣款，如药品限适应症、物价限适应症、无指</w:t>
                  </w:r>
                  <w:r>
                    <w:rPr>
                      <w:rFonts w:ascii="仿宋_GB2312" w:hAnsi="仿宋_GB2312" w:cs="仿宋_GB2312" w:eastAsia="仿宋_GB2312"/>
                      <w:sz w:val="21"/>
                      <w:color w:val="000000"/>
                    </w:rPr>
                    <w:t>征治疗和检查的项目，</w:t>
                  </w:r>
                  <w:r>
                    <w:rPr>
                      <w:rFonts w:ascii="仿宋_GB2312" w:hAnsi="仿宋_GB2312" w:cs="仿宋_GB2312" w:eastAsia="仿宋_GB2312"/>
                      <w:sz w:val="21"/>
                      <w:color w:val="000000"/>
                    </w:rPr>
                    <w:t>自动化生成</w:t>
                  </w:r>
                  <w:r>
                    <w:rPr>
                      <w:rFonts w:ascii="仿宋_GB2312" w:hAnsi="仿宋_GB2312" w:cs="仿宋_GB2312" w:eastAsia="仿宋_GB2312"/>
                      <w:sz w:val="21"/>
                      <w:color w:val="000000"/>
                    </w:rPr>
                    <w:t>AI</w:t>
                  </w:r>
                  <w:r>
                    <w:rPr>
                      <w:rFonts w:ascii="仿宋_GB2312" w:hAnsi="仿宋_GB2312" w:cs="仿宋_GB2312" w:eastAsia="仿宋_GB2312"/>
                      <w:sz w:val="21"/>
                      <w:color w:val="000000"/>
                    </w:rPr>
                    <w:t>智能申诉推荐内容，辅助医生、医保</w:t>
                  </w:r>
                  <w:r>
                    <w:rPr>
                      <w:rFonts w:ascii="仿宋_GB2312" w:hAnsi="仿宋_GB2312" w:cs="仿宋_GB2312" w:eastAsia="仿宋_GB2312"/>
                      <w:sz w:val="21"/>
                      <w:color w:val="000000"/>
                    </w:rPr>
                    <w:t>办一键申诉；即自动识别扣款原因</w:t>
                  </w:r>
                  <w:r>
                    <w:rPr>
                      <w:rFonts w:ascii="仿宋_GB2312" w:hAnsi="仿宋_GB2312" w:cs="仿宋_GB2312" w:eastAsia="仿宋_GB2312"/>
                      <w:sz w:val="21"/>
                      <w:color w:val="000000"/>
                    </w:rPr>
                    <w:t xml:space="preserve"> ,</w:t>
                  </w:r>
                  <w:r>
                    <w:rPr>
                      <w:rFonts w:ascii="仿宋_GB2312" w:hAnsi="仿宋_GB2312" w:cs="仿宋_GB2312" w:eastAsia="仿宋_GB2312"/>
                      <w:sz w:val="21"/>
                    </w:rPr>
                    <w:t xml:space="preserve"> </w:t>
                  </w:r>
                  <w:r>
                    <w:rPr>
                      <w:rFonts w:ascii="仿宋_GB2312" w:hAnsi="仿宋_GB2312" w:cs="仿宋_GB2312" w:eastAsia="仿宋_GB2312"/>
                      <w:sz w:val="21"/>
                      <w:color w:val="000000"/>
                    </w:rPr>
                    <w:t>自动生成申诉理由</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申诉文本准确性应 </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90%</w:t>
                  </w:r>
                  <w:r>
                    <w:rPr>
                      <w:rFonts w:ascii="仿宋_GB2312" w:hAnsi="仿宋_GB2312" w:cs="仿宋_GB2312" w:eastAsia="仿宋_GB2312"/>
                      <w:sz w:val="21"/>
                    </w:rPr>
                    <w:t xml:space="preserve"> </w:t>
                  </w:r>
                  <w:r>
                    <w:rPr>
                      <w:rFonts w:ascii="仿宋_GB2312" w:hAnsi="仿宋_GB2312" w:cs="仿宋_GB2312" w:eastAsia="仿宋_GB2312"/>
                      <w:sz w:val="21"/>
                      <w:color w:val="000000"/>
                    </w:rPr>
                    <w:t>，生成时间</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20</w:t>
                  </w:r>
                  <w:r>
                    <w:rPr>
                      <w:rFonts w:ascii="仿宋_GB2312" w:hAnsi="仿宋_GB2312" w:cs="仿宋_GB2312" w:eastAsia="仿宋_GB2312"/>
                      <w:sz w:val="21"/>
                      <w:color w:val="000000"/>
                    </w:rPr>
                    <w:t>秒</w:t>
                  </w:r>
                  <w:r>
                    <w:rPr>
                      <w:rFonts w:ascii="仿宋_GB2312" w:hAnsi="仿宋_GB2312" w:cs="仿宋_GB2312" w:eastAsia="仿宋_GB2312"/>
                      <w:sz w:val="21"/>
                      <w:color w:val="000000"/>
                    </w:rPr>
                    <w:t>/</w:t>
                  </w:r>
                  <w:r>
                    <w:rPr>
                      <w:rFonts w:ascii="仿宋_GB2312" w:hAnsi="仿宋_GB2312" w:cs="仿宋_GB2312" w:eastAsia="仿宋_GB2312"/>
                      <w:sz w:val="21"/>
                      <w:color w:val="000000"/>
                    </w:rPr>
                    <w:t>单条</w:t>
                  </w:r>
                </w:p>
              </w:tc>
            </w:tr>
            <w:tr>
              <w:tc>
                <w:tcPr>
                  <w:tcW w:type="dxa" w:w="253"/>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自查违规的文书质控</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left="105"/>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）支持查看文书质控规则，灵活配置启用开关；</w:t>
                  </w:r>
                  <w:r>
                    <w:rPr>
                      <w:rFonts w:ascii="仿宋_GB2312" w:hAnsi="仿宋_GB2312" w:cs="仿宋_GB2312" w:eastAsia="仿宋_GB2312"/>
                      <w:sz w:val="21"/>
                      <w:color w:val="000000"/>
                    </w:rPr>
                    <w:t>2</w:t>
                  </w:r>
                  <w:r>
                    <w:rPr>
                      <w:rFonts w:ascii="仿宋_GB2312" w:hAnsi="仿宋_GB2312" w:cs="仿宋_GB2312" w:eastAsia="仿宋_GB2312"/>
                      <w:sz w:val="21"/>
                      <w:color w:val="000000"/>
                    </w:rPr>
                    <w:t>）针对自查自纠违规结果，进行违规点识别（无指征检查、无指征治疗等</w:t>
                  </w:r>
                  <w:r>
                    <w:rPr>
                      <w:rFonts w:ascii="仿宋_GB2312" w:hAnsi="仿宋_GB2312" w:cs="仿宋_GB2312" w:eastAsia="仿宋_GB2312"/>
                      <w:sz w:val="21"/>
                      <w:color w:val="000000"/>
                    </w:rPr>
                    <w:t>），</w:t>
                  </w:r>
                  <w:r>
                    <w:rPr>
                      <w:rFonts w:ascii="仿宋_GB2312" w:hAnsi="仿宋_GB2312" w:cs="仿宋_GB2312" w:eastAsia="仿宋_GB2312"/>
                      <w:sz w:val="21"/>
                      <w:color w:val="000000"/>
                    </w:rPr>
                    <w:t>对违规项目支持文书质控，</w:t>
                  </w:r>
                  <w:r>
                    <w:rPr>
                      <w:rFonts w:ascii="仿宋_GB2312" w:hAnsi="仿宋_GB2312" w:cs="仿宋_GB2312" w:eastAsia="仿宋_GB2312"/>
                      <w:sz w:val="21"/>
                    </w:rPr>
                    <w:t xml:space="preserve"> </w:t>
                  </w:r>
                  <w:r>
                    <w:rPr>
                      <w:rFonts w:ascii="仿宋_GB2312" w:hAnsi="仿宋_GB2312" w:cs="仿宋_GB2312" w:eastAsia="仿宋_GB2312"/>
                      <w:sz w:val="21"/>
                      <w:color w:val="000000"/>
                    </w:rPr>
                    <w:t>自动生成</w:t>
                  </w:r>
                  <w:r>
                    <w:rPr>
                      <w:rFonts w:ascii="仿宋_GB2312" w:hAnsi="仿宋_GB2312" w:cs="仿宋_GB2312" w:eastAsia="仿宋_GB2312"/>
                      <w:sz w:val="21"/>
                      <w:color w:val="000000"/>
                    </w:rPr>
                    <w:t>AI</w:t>
                  </w:r>
                  <w:r>
                    <w:rPr>
                      <w:rFonts w:ascii="仿宋_GB2312" w:hAnsi="仿宋_GB2312" w:cs="仿宋_GB2312" w:eastAsia="仿宋_GB2312"/>
                      <w:sz w:val="21"/>
                      <w:color w:val="000000"/>
                    </w:rPr>
                    <w:t>病历文书质控结</w:t>
                  </w:r>
                  <w:r>
                    <w:rPr>
                      <w:rFonts w:ascii="仿宋_GB2312" w:hAnsi="仿宋_GB2312" w:cs="仿宋_GB2312" w:eastAsia="仿宋_GB2312"/>
                      <w:sz w:val="21"/>
                      <w:color w:val="000000"/>
                    </w:rPr>
                    <w:t>果，辅助医保快速审核；</w:t>
                  </w:r>
                </w:p>
              </w:tc>
            </w:tr>
            <w:tr>
              <w:tc>
                <w:tcPr>
                  <w:tcW w:type="dxa" w:w="253"/>
                  <w:vMerge/>
                  <w:tcBorders>
                    <w:top w:val="none" w:color="000000" w:sz="4"/>
                    <w:left w:val="single" w:color="000000" w:sz="4"/>
                    <w:bottom w:val="single" w:color="000000" w:sz="4"/>
                    <w:right w:val="single" w:color="000000" w:sz="4"/>
                  </w:tcBorders>
                </w:tcP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内涵质控规则库</w:t>
                  </w:r>
                </w:p>
              </w:tc>
              <w:tc>
                <w:tcPr>
                  <w:tcW w:type="dxa" w:w="1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ind w:left="90" w:right="90" w:firstLine="8"/>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）支持查看内涵质控规则明细，灵活配置启</w:t>
                  </w:r>
                  <w:r>
                    <w:rPr>
                      <w:rFonts w:ascii="仿宋_GB2312" w:hAnsi="仿宋_GB2312" w:cs="仿宋_GB2312" w:eastAsia="仿宋_GB2312"/>
                      <w:sz w:val="21"/>
                      <w:color w:val="000000"/>
                    </w:rPr>
                    <w:t>用开关与使用场景；对规则库应进行来源</w:t>
                  </w:r>
                  <w:r>
                    <w:rPr>
                      <w:rFonts w:ascii="仿宋_GB2312" w:hAnsi="仿宋_GB2312" w:cs="仿宋_GB2312" w:eastAsia="仿宋_GB2312"/>
                      <w:sz w:val="21"/>
                      <w:color w:val="000000"/>
                    </w:rPr>
                    <w:t>分类和分别可控。</w:t>
                  </w:r>
                </w:p>
                <w:p>
                  <w:pPr>
                    <w:pStyle w:val="null3"/>
                    <w:spacing w:before="210"/>
                    <w:ind w:left="90"/>
                  </w:pPr>
                  <w:r>
                    <w:rPr>
                      <w:rFonts w:ascii="仿宋_GB2312" w:hAnsi="仿宋_GB2312" w:cs="仿宋_GB2312" w:eastAsia="仿宋_GB2312"/>
                      <w:sz w:val="21"/>
                      <w:color w:val="000000"/>
                    </w:rPr>
                    <w:t>2</w:t>
                  </w:r>
                  <w:r>
                    <w:rPr>
                      <w:rFonts w:ascii="仿宋_GB2312" w:hAnsi="仿宋_GB2312" w:cs="仿宋_GB2312" w:eastAsia="仿宋_GB2312"/>
                      <w:sz w:val="21"/>
                      <w:color w:val="000000"/>
                    </w:rPr>
                    <w:t>）内置于局端扣款申诉功能，针对局端扣款项目自动生成智能申诉理由；</w:t>
                  </w:r>
                </w:p>
                <w:p>
                  <w:pPr>
                    <w:pStyle w:val="null3"/>
                    <w:spacing w:before="195"/>
                    <w:ind w:left="90" w:right="90" w:firstLine="5"/>
                  </w:pPr>
                  <w:r>
                    <w:rPr>
                      <w:rFonts w:ascii="仿宋_GB2312" w:hAnsi="仿宋_GB2312" w:cs="仿宋_GB2312" w:eastAsia="仿宋_GB2312"/>
                      <w:sz w:val="21"/>
                      <w:color w:val="000000"/>
                    </w:rPr>
                    <w:t>3</w:t>
                  </w:r>
                  <w:r>
                    <w:rPr>
                      <w:rFonts w:ascii="仿宋_GB2312" w:hAnsi="仿宋_GB2312" w:cs="仿宋_GB2312" w:eastAsia="仿宋_GB2312"/>
                      <w:sz w:val="21"/>
                      <w:color w:val="000000"/>
                    </w:rPr>
                    <w:t>）内置于事中提醒功能，针对患者在院诊疗过程的用药</w:t>
                  </w:r>
                  <w:r>
                    <w:rPr>
                      <w:rFonts w:ascii="仿宋_GB2312" w:hAnsi="仿宋_GB2312" w:cs="仿宋_GB2312" w:eastAsia="仿宋_GB2312"/>
                      <w:sz w:val="21"/>
                      <w:color w:val="000000"/>
                    </w:rPr>
                    <w:t>合规性、诊疗疾病类、无指征检验检查与病历完整性进行质控；</w:t>
                  </w:r>
                  <w:r>
                    <w:rPr>
                      <w:rFonts w:ascii="仿宋_GB2312" w:hAnsi="仿宋_GB2312" w:cs="仿宋_GB2312" w:eastAsia="仿宋_GB2312"/>
                      <w:sz w:val="21"/>
                      <w:color w:val="000000"/>
                    </w:rPr>
                    <w:t>4</w:t>
                  </w:r>
                  <w:r>
                    <w:rPr>
                      <w:rFonts w:ascii="仿宋_GB2312" w:hAnsi="仿宋_GB2312" w:cs="仿宋_GB2312" w:eastAsia="仿宋_GB2312"/>
                      <w:sz w:val="21"/>
                      <w:color w:val="000000"/>
                    </w:rPr>
                    <w:t>）在医保政策调整</w:t>
                  </w:r>
                  <w:r>
                    <w:rPr>
                      <w:rFonts w:ascii="仿宋_GB2312" w:hAnsi="仿宋_GB2312" w:cs="仿宋_GB2312" w:eastAsia="仿宋_GB2312"/>
                      <w:sz w:val="21"/>
                      <w:color w:val="000000"/>
                    </w:rPr>
                    <w:t>7</w:t>
                  </w:r>
                  <w:r>
                    <w:rPr>
                      <w:rFonts w:ascii="仿宋_GB2312" w:hAnsi="仿宋_GB2312" w:cs="仿宋_GB2312" w:eastAsia="仿宋_GB2312"/>
                      <w:sz w:val="21"/>
                      <w:color w:val="000000"/>
                    </w:rPr>
                    <w:t>日内完成对规则库的更新</w:t>
                  </w:r>
                </w:p>
              </w:tc>
            </w:tr>
          </w:tbl>
          <w:p>
            <w:pPr>
              <w:pStyle w:val="null3"/>
              <w:jc w:val="both"/>
            </w:pPr>
            <w:r>
              <w:rPr>
                <w:rFonts w:ascii="仿宋_GB2312" w:hAnsi="仿宋_GB2312" w:cs="仿宋_GB2312" w:eastAsia="仿宋_GB2312"/>
                <w:sz w:val="21"/>
                <w:color w:val="000000"/>
              </w:rPr>
              <w:t xml:space="preserve">    接口及扩展要求：</w:t>
            </w:r>
          </w:p>
          <w:p>
            <w:pPr>
              <w:pStyle w:val="null3"/>
              <w:ind w:left="420"/>
            </w:pPr>
            <w:r>
              <w:rPr>
                <w:rFonts w:ascii="仿宋_GB2312" w:hAnsi="仿宋_GB2312" w:cs="仿宋_GB2312" w:eastAsia="仿宋_GB2312"/>
                <w:sz w:val="21"/>
                <w:color w:val="000000"/>
              </w:rPr>
              <w:t>投标方向须提供接口说明书，接口需满足以下要求：</w:t>
            </w:r>
          </w:p>
          <w:p>
            <w:pPr>
              <w:pStyle w:val="null3"/>
              <w:ind w:left="420"/>
            </w:pPr>
            <w:r>
              <w:rPr>
                <w:rFonts w:ascii="仿宋_GB2312" w:hAnsi="仿宋_GB2312" w:cs="仿宋_GB2312" w:eastAsia="仿宋_GB2312"/>
                <w:sz w:val="21"/>
                <w:color w:val="000000"/>
              </w:rPr>
              <w:t>采用 RESTful / WebService / ETL 等标准技术</w:t>
            </w:r>
          </w:p>
          <w:p>
            <w:pPr>
              <w:pStyle w:val="null3"/>
              <w:ind w:left="420"/>
            </w:pPr>
            <w:r>
              <w:rPr>
                <w:rFonts w:ascii="仿宋_GB2312" w:hAnsi="仿宋_GB2312" w:cs="仿宋_GB2312" w:eastAsia="仿宋_GB2312"/>
                <w:sz w:val="21"/>
                <w:color w:val="000000"/>
              </w:rPr>
              <w:t>支持数据加密、日志记录、异常补传</w:t>
            </w:r>
          </w:p>
          <w:p>
            <w:pPr>
              <w:pStyle w:val="null3"/>
              <w:ind w:left="420"/>
            </w:pPr>
            <w:r>
              <w:rPr>
                <w:rFonts w:ascii="仿宋_GB2312" w:hAnsi="仿宋_GB2312" w:cs="仿宋_GB2312" w:eastAsia="仿宋_GB2312"/>
                <w:sz w:val="21"/>
                <w:color w:val="000000"/>
              </w:rPr>
              <w:t>对接医院现有相关业务系统，包括但不限于 HIS 、集成平台等</w:t>
            </w:r>
          </w:p>
          <w:p>
            <w:pPr>
              <w:pStyle w:val="null3"/>
              <w:ind w:left="420"/>
            </w:pPr>
            <w:r>
              <w:rPr>
                <w:rFonts w:ascii="仿宋_GB2312" w:hAnsi="仿宋_GB2312" w:cs="仿宋_GB2312" w:eastAsia="仿宋_GB2312"/>
                <w:sz w:val="21"/>
                <w:color w:val="000000"/>
              </w:rPr>
              <w:t>数据范围</w:t>
            </w:r>
            <w:r>
              <w:rPr>
                <w:rFonts w:ascii="仿宋_GB2312" w:hAnsi="仿宋_GB2312" w:cs="仿宋_GB2312" w:eastAsia="仿宋_GB2312"/>
                <w:sz w:val="21"/>
                <w:color w:val="000000"/>
              </w:rPr>
              <w:t>包含且不限于：</w:t>
            </w:r>
          </w:p>
          <w:p>
            <w:pPr>
              <w:pStyle w:val="null3"/>
              <w:ind w:left="420"/>
            </w:pPr>
            <w:r>
              <w:rPr>
                <w:rFonts w:ascii="仿宋_GB2312" w:hAnsi="仿宋_GB2312" w:cs="仿宋_GB2312" w:eastAsia="仿宋_GB2312"/>
                <w:sz w:val="21"/>
                <w:color w:val="000000"/>
              </w:rPr>
              <w:t xml:space="preserve">检查报告结果信息  </w:t>
            </w:r>
          </w:p>
          <w:p>
            <w:pPr>
              <w:pStyle w:val="null3"/>
              <w:ind w:left="420"/>
            </w:pPr>
            <w:r>
              <w:rPr>
                <w:rFonts w:ascii="仿宋_GB2312" w:hAnsi="仿宋_GB2312" w:cs="仿宋_GB2312" w:eastAsia="仿宋_GB2312"/>
                <w:sz w:val="21"/>
                <w:color w:val="000000"/>
              </w:rPr>
              <w:t>门诊病历信息</w:t>
            </w:r>
            <w:r>
              <w:rPr>
                <w:rFonts w:ascii="仿宋_GB2312" w:hAnsi="仿宋_GB2312" w:cs="仿宋_GB2312" w:eastAsia="仿宋_GB2312"/>
                <w:sz w:val="21"/>
                <w:color w:val="000000"/>
              </w:rPr>
              <w:t xml:space="preserve">   </w:t>
            </w:r>
          </w:p>
          <w:p>
            <w:pPr>
              <w:pStyle w:val="null3"/>
              <w:ind w:left="420"/>
            </w:pPr>
            <w:r>
              <w:rPr>
                <w:rFonts w:ascii="仿宋_GB2312" w:hAnsi="仿宋_GB2312" w:cs="仿宋_GB2312" w:eastAsia="仿宋_GB2312"/>
                <w:sz w:val="21"/>
                <w:color w:val="000000"/>
              </w:rPr>
              <w:t>住院病历信息</w:t>
            </w:r>
            <w:r>
              <w:rPr>
                <w:rFonts w:ascii="仿宋_GB2312" w:hAnsi="仿宋_GB2312" w:cs="仿宋_GB2312" w:eastAsia="仿宋_GB2312"/>
                <w:sz w:val="21"/>
                <w:color w:val="000000"/>
              </w:rPr>
              <w:t xml:space="preserve"> </w:t>
            </w:r>
          </w:p>
          <w:p>
            <w:pPr>
              <w:pStyle w:val="null3"/>
              <w:ind w:left="420"/>
            </w:pPr>
            <w:r>
              <w:rPr>
                <w:rFonts w:ascii="仿宋_GB2312" w:hAnsi="仿宋_GB2312" w:cs="仿宋_GB2312" w:eastAsia="仿宋_GB2312"/>
                <w:sz w:val="21"/>
                <w:color w:val="000000"/>
              </w:rPr>
              <w:t>检验报告主表</w:t>
            </w:r>
          </w:p>
          <w:p>
            <w:pPr>
              <w:pStyle w:val="null3"/>
              <w:ind w:left="420"/>
            </w:pPr>
            <w:r>
              <w:rPr>
                <w:rFonts w:ascii="仿宋_GB2312" w:hAnsi="仿宋_GB2312" w:cs="仿宋_GB2312" w:eastAsia="仿宋_GB2312"/>
                <w:sz w:val="21"/>
                <w:color w:val="000000"/>
              </w:rPr>
              <w:t>检验报告结果信息</w:t>
            </w:r>
          </w:p>
          <w:p>
            <w:pPr>
              <w:pStyle w:val="null3"/>
              <w:ind w:left="420"/>
            </w:pPr>
            <w:r>
              <w:rPr>
                <w:rFonts w:ascii="仿宋_GB2312" w:hAnsi="仿宋_GB2312" w:cs="仿宋_GB2312" w:eastAsia="仿宋_GB2312"/>
                <w:sz w:val="21"/>
                <w:color w:val="000000"/>
              </w:rPr>
              <w:t>病历类型字典</w:t>
            </w:r>
          </w:p>
          <w:p>
            <w:pPr>
              <w:pStyle w:val="null3"/>
              <w:ind w:left="420"/>
            </w:pPr>
            <w:r>
              <w:rPr>
                <w:rFonts w:ascii="仿宋_GB2312" w:hAnsi="仿宋_GB2312" w:cs="仿宋_GB2312" w:eastAsia="仿宋_GB2312"/>
                <w:sz w:val="21"/>
                <w:color w:val="000000"/>
              </w:rPr>
              <w:t>扩展性要求：接口开发参考《病历书写与管理基本规范（2022年版）》等相关政策文件，根据医院实际情况支持数据库横向扩容。接口开发费用包含在总费用内，由</w:t>
            </w:r>
            <w:r>
              <w:rPr>
                <w:rFonts w:ascii="仿宋_GB2312" w:hAnsi="仿宋_GB2312" w:cs="仿宋_GB2312" w:eastAsia="仿宋_GB2312"/>
                <w:sz w:val="21"/>
                <w:color w:val="000000"/>
              </w:rPr>
              <w:t>程序开发方自行承担。</w:t>
            </w:r>
          </w:p>
          <w:p>
            <w:pPr>
              <w:pStyle w:val="null3"/>
              <w:jc w:val="both"/>
            </w:pPr>
            <w:r>
              <w:rPr>
                <w:rFonts w:ascii="仿宋_GB2312" w:hAnsi="仿宋_GB2312" w:cs="仿宋_GB2312" w:eastAsia="仿宋_GB2312"/>
                <w:sz w:val="21"/>
                <w:color w:val="000000"/>
              </w:rPr>
              <w:t>（二）性能要求</w:t>
            </w:r>
          </w:p>
          <w:p>
            <w:pPr>
              <w:pStyle w:val="null3"/>
              <w:ind w:firstLine="360"/>
              <w:jc w:val="both"/>
            </w:pPr>
            <w:r>
              <w:rPr>
                <w:rFonts w:ascii="仿宋_GB2312" w:hAnsi="仿宋_GB2312" w:cs="仿宋_GB2312" w:eastAsia="仿宋_GB2312"/>
                <w:sz w:val="21"/>
                <w:color w:val="000000"/>
              </w:rPr>
              <w:t>AI</w:t>
            </w:r>
            <w:r>
              <w:rPr>
                <w:rFonts w:ascii="仿宋_GB2312" w:hAnsi="仿宋_GB2312" w:cs="仿宋_GB2312" w:eastAsia="仿宋_GB2312"/>
                <w:sz w:val="21"/>
                <w:color w:val="000000"/>
              </w:rPr>
              <w:t xml:space="preserve">单次审核时间 </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r>
              <w:rPr>
                <w:rFonts w:ascii="仿宋_GB2312" w:hAnsi="仿宋_GB2312" w:cs="仿宋_GB2312" w:eastAsia="仿宋_GB2312"/>
                <w:sz w:val="21"/>
                <w:color w:val="000000"/>
              </w:rPr>
              <w:t>秒</w:t>
            </w:r>
            <w:r>
              <w:rPr>
                <w:rFonts w:ascii="仿宋_GB2312" w:hAnsi="仿宋_GB2312" w:cs="仿宋_GB2312" w:eastAsia="仿宋_GB2312"/>
                <w:sz w:val="21"/>
                <w:color w:val="000000"/>
              </w:rPr>
              <w:t>/</w:t>
            </w:r>
            <w:r>
              <w:rPr>
                <w:rFonts w:ascii="仿宋_GB2312" w:hAnsi="仿宋_GB2312" w:cs="仿宋_GB2312" w:eastAsia="仿宋_GB2312"/>
                <w:sz w:val="21"/>
                <w:color w:val="000000"/>
              </w:rPr>
              <w:t>单条</w:t>
            </w:r>
          </w:p>
          <w:p>
            <w:pPr>
              <w:pStyle w:val="null3"/>
              <w:spacing w:before="210"/>
              <w:ind w:left="390" w:right="30"/>
            </w:pPr>
            <w:r>
              <w:rPr>
                <w:rFonts w:ascii="仿宋_GB2312" w:hAnsi="仿宋_GB2312" w:cs="仿宋_GB2312" w:eastAsia="仿宋_GB2312"/>
                <w:sz w:val="21"/>
                <w:color w:val="000000"/>
              </w:rPr>
              <w:t xml:space="preserve">支持并发用户 </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20</w:t>
            </w:r>
            <w:r>
              <w:rPr>
                <w:rFonts w:ascii="仿宋_GB2312" w:hAnsi="仿宋_GB2312" w:cs="仿宋_GB2312" w:eastAsia="仿宋_GB2312"/>
                <w:sz w:val="21"/>
                <w:color w:val="000000"/>
              </w:rPr>
              <w:t>个</w:t>
            </w:r>
          </w:p>
          <w:p>
            <w:pPr>
              <w:pStyle w:val="null3"/>
              <w:spacing w:before="120"/>
              <w:ind w:left="390"/>
            </w:pPr>
            <w:r>
              <w:rPr>
                <w:rFonts w:ascii="仿宋_GB2312" w:hAnsi="仿宋_GB2312" w:cs="仿宋_GB2312" w:eastAsia="仿宋_GB2312"/>
                <w:sz w:val="21"/>
                <w:color w:val="000000"/>
              </w:rPr>
              <w:t>支持每日新增患者</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100</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个，新增明细数据 </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万条</w:t>
            </w:r>
          </w:p>
          <w:p>
            <w:pPr>
              <w:pStyle w:val="null3"/>
              <w:spacing w:before="195"/>
              <w:ind w:left="390"/>
            </w:pPr>
            <w:r>
              <w:rPr>
                <w:rFonts w:ascii="仿宋_GB2312" w:hAnsi="仿宋_GB2312" w:cs="仿宋_GB2312" w:eastAsia="仿宋_GB2312"/>
                <w:sz w:val="21"/>
                <w:color w:val="000000"/>
              </w:rPr>
              <w:t xml:space="preserve">系统可用性 </w:t>
            </w:r>
            <w:r>
              <w:rPr>
                <w:rFonts w:ascii="仿宋_GB2312" w:hAnsi="仿宋_GB2312" w:cs="仿宋_GB2312" w:eastAsia="仿宋_GB2312"/>
                <w:sz w:val="21"/>
                <w:color w:val="000000"/>
              </w:rPr>
              <w:t>≥ 99.99%</w:t>
            </w:r>
          </w:p>
          <w:p>
            <w:pPr>
              <w:pStyle w:val="null3"/>
              <w:ind w:firstLine="360"/>
              <w:jc w:val="both"/>
            </w:pPr>
            <w:r>
              <w:rPr>
                <w:rFonts w:ascii="仿宋_GB2312" w:hAnsi="仿宋_GB2312" w:cs="仿宋_GB2312" w:eastAsia="仿宋_GB2312"/>
                <w:sz w:val="21"/>
                <w:color w:val="000000"/>
              </w:rPr>
              <w:t>响应时间（界面操作）</w:t>
            </w:r>
            <w:r>
              <w:rPr>
                <w:rFonts w:ascii="仿宋_GB2312" w:hAnsi="仿宋_GB2312" w:cs="仿宋_GB2312" w:eastAsia="仿宋_GB2312"/>
                <w:sz w:val="21"/>
              </w:rPr>
              <w:t xml:space="preserve"> </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3</w:t>
            </w:r>
            <w:r>
              <w:rPr>
                <w:rFonts w:ascii="仿宋_GB2312" w:hAnsi="仿宋_GB2312" w:cs="仿宋_GB2312" w:eastAsia="仿宋_GB2312"/>
                <w:sz w:val="21"/>
                <w:color w:val="000000"/>
              </w:rPr>
              <w:t>秒</w:t>
            </w:r>
          </w:p>
          <w:p>
            <w:pPr>
              <w:pStyle w:val="null3"/>
              <w:jc w:val="both"/>
            </w:pPr>
            <w:r>
              <w:rPr>
                <w:rFonts w:ascii="仿宋_GB2312" w:hAnsi="仿宋_GB2312" w:cs="仿宋_GB2312" w:eastAsia="仿宋_GB2312"/>
                <w:sz w:val="21"/>
                <w:color w:val="000000"/>
              </w:rPr>
              <w:t>（三）实施要求</w:t>
            </w:r>
          </w:p>
          <w:p>
            <w:pPr>
              <w:pStyle w:val="null3"/>
              <w:ind w:firstLine="360"/>
              <w:jc w:val="both"/>
            </w:pPr>
            <w:r>
              <w:rPr>
                <w:rFonts w:ascii="仿宋_GB2312" w:hAnsi="仿宋_GB2312" w:cs="仿宋_GB2312" w:eastAsia="仿宋_GB2312"/>
                <w:sz w:val="21"/>
                <w:color w:val="000000"/>
              </w:rPr>
              <w:t>在需求调研、详细设计、开发与配置、接口调试、业务流程验证、用户验收测试、上线与优化、项目总结等开发全流程的每一阶段需提交对应文档。</w:t>
            </w:r>
          </w:p>
          <w:p>
            <w:pPr>
              <w:pStyle w:val="null3"/>
              <w:jc w:val="both"/>
            </w:pPr>
            <w:r>
              <w:rPr>
                <w:rFonts w:ascii="仿宋_GB2312" w:hAnsi="仿宋_GB2312" w:cs="仿宋_GB2312" w:eastAsia="仿宋_GB2312"/>
                <w:sz w:val="21"/>
                <w:color w:val="000000"/>
              </w:rPr>
              <w:t>★（四）一院两区部署</w:t>
            </w:r>
          </w:p>
          <w:p>
            <w:pPr>
              <w:pStyle w:val="null3"/>
              <w:ind w:firstLine="360"/>
              <w:jc w:val="both"/>
            </w:pPr>
            <w:r>
              <w:rPr>
                <w:rFonts w:ascii="仿宋_GB2312" w:hAnsi="仿宋_GB2312" w:cs="仿宋_GB2312" w:eastAsia="仿宋_GB2312"/>
                <w:sz w:val="21"/>
                <w:color w:val="000000"/>
              </w:rPr>
              <w:t>本项目前期应用于友谊院区，在项目上线，经过优化验收完成后，本项目应可以部署到使用同一HIS系统的西咸院区，不额外收取对接费用，双院区应使用同一规则库、同一版本系统。</w:t>
            </w:r>
          </w:p>
          <w:p>
            <w:pPr>
              <w:pStyle w:val="null3"/>
              <w:ind w:firstLine="360"/>
              <w:jc w:val="both"/>
            </w:pPr>
            <w:r>
              <w:rPr>
                <w:rFonts w:ascii="仿宋_GB2312" w:hAnsi="仿宋_GB2312" w:cs="仿宋_GB2312" w:eastAsia="仿宋_GB2312"/>
                <w:sz w:val="21"/>
                <w:color w:val="000000"/>
              </w:rPr>
              <w:t>如需新增硬件或网络，由医院另行采购，产品供应商负责部署。</w:t>
            </w:r>
          </w:p>
          <w:p>
            <w:pPr>
              <w:pStyle w:val="null3"/>
              <w:jc w:val="both"/>
            </w:pPr>
            <w:r>
              <w:rPr>
                <w:rFonts w:ascii="仿宋_GB2312" w:hAnsi="仿宋_GB2312" w:cs="仿宋_GB2312" w:eastAsia="仿宋_GB2312"/>
                <w:sz w:val="21"/>
                <w:color w:val="000000"/>
              </w:rPr>
              <w:t>（五）在医保提出新的数据要求后可实现功能更新</w:t>
            </w:r>
          </w:p>
          <w:p>
            <w:pPr>
              <w:pStyle w:val="null3"/>
              <w:ind w:firstLine="360"/>
              <w:jc w:val="both"/>
            </w:pPr>
            <w:r>
              <w:rPr>
                <w:rFonts w:ascii="仿宋_GB2312" w:hAnsi="仿宋_GB2312" w:cs="仿宋_GB2312" w:eastAsia="仿宋_GB2312"/>
                <w:sz w:val="21"/>
                <w:color w:val="000000"/>
              </w:rPr>
              <w:t>本项目基于医保规则进行院内审核，今后在医保等监管部门进行规则更新时，本项目应于1日内适配并提出新的升级方案。</w:t>
            </w:r>
          </w:p>
          <w:p>
            <w:pPr>
              <w:pStyle w:val="null3"/>
              <w:jc w:val="both"/>
            </w:pPr>
            <w:r>
              <w:rPr>
                <w:rFonts w:ascii="仿宋_GB2312" w:hAnsi="仿宋_GB2312" w:cs="仿宋_GB2312" w:eastAsia="仿宋_GB2312"/>
                <w:sz w:val="21"/>
                <w:color w:val="000000"/>
              </w:rPr>
              <w:t>（六） 培训要求</w:t>
            </w:r>
          </w:p>
          <w:p>
            <w:pPr>
              <w:pStyle w:val="null3"/>
              <w:ind w:firstLine="360"/>
              <w:jc w:val="both"/>
            </w:pPr>
            <w:r>
              <w:rPr>
                <w:rFonts w:ascii="仿宋_GB2312" w:hAnsi="仿宋_GB2312" w:cs="仿宋_GB2312" w:eastAsia="仿宋_GB2312"/>
                <w:sz w:val="21"/>
                <w:color w:val="000000"/>
              </w:rPr>
              <w:t>制定培训计划、形成培训教材电子文档或培训视频，对医生端、医保办端、管理员端分别进行针对培训，形成培训考核记录。</w:t>
            </w:r>
          </w:p>
          <w:p>
            <w:pPr>
              <w:pStyle w:val="null3"/>
              <w:jc w:val="both"/>
            </w:pPr>
            <w:r>
              <w:rPr>
                <w:rFonts w:ascii="仿宋_GB2312" w:hAnsi="仿宋_GB2312" w:cs="仿宋_GB2312" w:eastAsia="仿宋_GB2312"/>
                <w:sz w:val="21"/>
                <w:color w:val="000000"/>
              </w:rPr>
              <w:t>（七）验收标准</w:t>
            </w:r>
          </w:p>
          <w:p>
            <w:pPr>
              <w:pStyle w:val="null3"/>
              <w:ind w:firstLine="360"/>
              <w:jc w:val="both"/>
            </w:pPr>
            <w:r>
              <w:rPr>
                <w:rFonts w:ascii="仿宋_GB2312" w:hAnsi="仿宋_GB2312" w:cs="仿宋_GB2312" w:eastAsia="仿宋_GB2312"/>
                <w:sz w:val="21"/>
                <w:color w:val="000000"/>
              </w:rPr>
              <w:t>对各业务模块进行功能性验收，对规则库完整性和接口对接效果进行验收，用户试运行验收（不少1周），验收中各项不合格需整改直至合格。</w:t>
            </w:r>
          </w:p>
          <w:p>
            <w:pPr>
              <w:pStyle w:val="null3"/>
              <w:jc w:val="both"/>
            </w:pPr>
            <w:r>
              <w:rPr>
                <w:rFonts w:ascii="仿宋_GB2312" w:hAnsi="仿宋_GB2312" w:cs="仿宋_GB2312" w:eastAsia="仿宋_GB2312"/>
                <w:sz w:val="21"/>
                <w:color w:val="000000"/>
              </w:rPr>
              <w:t>四、设备参数</w:t>
            </w:r>
          </w:p>
          <w:p>
            <w:pPr>
              <w:pStyle w:val="null3"/>
              <w:ind w:firstLine="360"/>
              <w:jc w:val="both"/>
            </w:pPr>
            <w:r>
              <w:rPr>
                <w:rFonts w:ascii="仿宋_GB2312" w:hAnsi="仿宋_GB2312" w:cs="仿宋_GB2312" w:eastAsia="仿宋_GB2312"/>
                <w:sz w:val="21"/>
                <w:color w:val="000000"/>
              </w:rPr>
              <w:t>投标方需提供算力服务器一台，费用包含在项目总费用</w:t>
            </w:r>
            <w:r>
              <w:rPr>
                <w:rFonts w:ascii="仿宋_GB2312" w:hAnsi="仿宋_GB2312" w:cs="仿宋_GB2312" w:eastAsia="仿宋_GB2312"/>
                <w:sz w:val="21"/>
                <w:color w:val="000000"/>
              </w:rPr>
              <w:t>中，投标方未响应此条款则视为废标。</w:t>
            </w:r>
            <w:r>
              <w:rPr>
                <w:rFonts w:ascii="仿宋_GB2312" w:hAnsi="仿宋_GB2312" w:cs="仿宋_GB2312" w:eastAsia="仿宋_GB2312"/>
                <w:sz w:val="21"/>
                <w:color w:val="000000"/>
              </w:rPr>
              <w:t>设备具体参数如下：</w:t>
            </w:r>
          </w:p>
          <w:p>
            <w:pPr>
              <w:pStyle w:val="null3"/>
              <w:ind w:firstLine="360"/>
              <w:jc w:val="both"/>
            </w:pPr>
            <w:r>
              <w:rPr>
                <w:rFonts w:ascii="仿宋_GB2312" w:hAnsi="仿宋_GB2312" w:cs="仿宋_GB2312" w:eastAsia="仿宋_GB2312"/>
                <w:sz w:val="21"/>
                <w:color w:val="000000"/>
              </w:rPr>
              <w:t>1. 算力服务器</w:t>
            </w:r>
          </w:p>
          <w:p>
            <w:pPr>
              <w:pStyle w:val="null3"/>
              <w:ind w:firstLine="360"/>
              <w:jc w:val="both"/>
            </w:pPr>
            <w:r>
              <w:rPr>
                <w:rFonts w:ascii="仿宋_GB2312" w:hAnsi="仿宋_GB2312" w:cs="仿宋_GB2312" w:eastAsia="仿宋_GB2312"/>
                <w:sz w:val="21"/>
                <w:color w:val="000000"/>
              </w:rPr>
              <w:t>标准2U-4U机架服务器一台，配置参考如下（不低于）：</w:t>
            </w:r>
          </w:p>
          <w:p>
            <w:pPr>
              <w:pStyle w:val="null3"/>
              <w:ind w:firstLine="360"/>
              <w:jc w:val="both"/>
            </w:pPr>
            <w:r>
              <w:rPr>
                <w:rFonts w:ascii="仿宋_GB2312" w:hAnsi="仿宋_GB2312" w:cs="仿宋_GB2312" w:eastAsia="仿宋_GB2312"/>
                <w:sz w:val="21"/>
                <w:color w:val="000000"/>
              </w:rPr>
              <w:t>1、所投服务器的CPU须符合安全可靠测评要求，提供CPU符合安全可靠测评要求的证明材料；</w:t>
            </w:r>
          </w:p>
          <w:p>
            <w:pPr>
              <w:pStyle w:val="null3"/>
              <w:ind w:firstLine="3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2、CPU：配置≥2颗国产CPU，每颗CPU核心数≥48 核，每颗CPU基频（非超频）≥2.6Ghz；</w:t>
            </w:r>
          </w:p>
          <w:p>
            <w:pPr>
              <w:pStyle w:val="null3"/>
              <w:ind w:firstLine="3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3、内存：配置不少于128GB；</w:t>
            </w:r>
          </w:p>
          <w:p>
            <w:pPr>
              <w:pStyle w:val="null3"/>
              <w:ind w:firstLine="360"/>
              <w:jc w:val="both"/>
            </w:pPr>
            <w:r>
              <w:rPr>
                <w:rFonts w:ascii="仿宋_GB2312" w:hAnsi="仿宋_GB2312" w:cs="仿宋_GB2312" w:eastAsia="仿宋_GB2312"/>
                <w:sz w:val="21"/>
                <w:color w:val="000000"/>
              </w:rPr>
              <w:t>4、网卡：支持多种网络扩展能力，配置不少于2个万兆或25G光口（含光模块）；</w:t>
            </w:r>
          </w:p>
          <w:p>
            <w:pPr>
              <w:pStyle w:val="null3"/>
              <w:ind w:firstLine="36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5、硬盘：配置不少于1块960GB SATA SSD，不少于1块7680GB NVMe SSD；</w:t>
            </w:r>
          </w:p>
          <w:p>
            <w:pPr>
              <w:pStyle w:val="null3"/>
              <w:ind w:firstLine="360"/>
              <w:jc w:val="both"/>
            </w:pPr>
            <w:r>
              <w:rPr>
                <w:rFonts w:ascii="仿宋_GB2312" w:hAnsi="仿宋_GB2312" w:cs="仿宋_GB2312" w:eastAsia="仿宋_GB2312"/>
                <w:sz w:val="21"/>
                <w:color w:val="000000"/>
              </w:rPr>
              <w:t>6、RAID卡，配置RAID卡缓存2G*1,RAID0,1.5,6,10,50,60；</w:t>
            </w:r>
          </w:p>
          <w:p>
            <w:pPr>
              <w:pStyle w:val="null3"/>
              <w:ind w:firstLine="360"/>
              <w:jc w:val="both"/>
            </w:pPr>
            <w:r>
              <w:rPr>
                <w:rFonts w:ascii="仿宋_GB2312" w:hAnsi="仿宋_GB2312" w:cs="仿宋_GB2312" w:eastAsia="仿宋_GB2312"/>
                <w:sz w:val="21"/>
                <w:color w:val="000000"/>
              </w:rPr>
              <w:t>7、显卡：PCIe标卡单卡算力FP16≥280T，INT8≥560T，显存≥128GB，GPU主芯片为自主可控芯片，配置不少于4张高性能国产显卡；</w:t>
            </w:r>
          </w:p>
          <w:p>
            <w:pPr>
              <w:pStyle w:val="null3"/>
              <w:ind w:firstLine="360"/>
              <w:jc w:val="both"/>
            </w:pPr>
            <w:r>
              <w:rPr>
                <w:rFonts w:ascii="仿宋_GB2312" w:hAnsi="仿宋_GB2312" w:cs="仿宋_GB2312" w:eastAsia="仿宋_GB2312"/>
                <w:sz w:val="21"/>
                <w:color w:val="000000"/>
              </w:rPr>
              <w:t>8、电源：配置不少于4个2000W冗余电源；</w:t>
            </w:r>
          </w:p>
          <w:p>
            <w:pPr>
              <w:pStyle w:val="null3"/>
              <w:ind w:firstLine="360"/>
              <w:jc w:val="both"/>
            </w:pPr>
            <w:r>
              <w:rPr>
                <w:rFonts w:ascii="仿宋_GB2312" w:hAnsi="仿宋_GB2312" w:cs="仿宋_GB2312" w:eastAsia="仿宋_GB2312"/>
                <w:sz w:val="21"/>
                <w:color w:val="000000"/>
              </w:rPr>
              <w:t>9、至少含三年原厂质保；</w:t>
            </w:r>
          </w:p>
          <w:p>
            <w:pPr>
              <w:pStyle w:val="null3"/>
              <w:ind w:firstLine="360"/>
              <w:jc w:val="both"/>
            </w:pPr>
            <w:r>
              <w:rPr>
                <w:rFonts w:ascii="仿宋_GB2312" w:hAnsi="仿宋_GB2312" w:cs="仿宋_GB2312" w:eastAsia="仿宋_GB2312"/>
                <w:sz w:val="21"/>
                <w:color w:val="000000"/>
              </w:rPr>
              <w:t>投标方需提供所供设备的佐证材料，相关材料包含但不限于：检测报告、产品彩页等内容，证明材料需加盖、公章。</w:t>
            </w:r>
          </w:p>
          <w:p>
            <w:pPr>
              <w:pStyle w:val="null3"/>
              <w:jc w:val="both"/>
            </w:pPr>
            <w:r>
              <w:rPr>
                <w:rFonts w:ascii="仿宋_GB2312" w:hAnsi="仿宋_GB2312" w:cs="仿宋_GB2312" w:eastAsia="仿宋_GB2312"/>
                <w:sz w:val="21"/>
                <w:color w:val="000000"/>
              </w:rPr>
              <w:t>五、安全要求</w:t>
            </w:r>
          </w:p>
          <w:p>
            <w:pPr>
              <w:pStyle w:val="null3"/>
              <w:jc w:val="both"/>
            </w:pPr>
            <w:r>
              <w:rPr>
                <w:rFonts w:ascii="仿宋_GB2312" w:hAnsi="仿宋_GB2312" w:cs="仿宋_GB2312" w:eastAsia="仿宋_GB2312"/>
                <w:sz w:val="21"/>
                <w:color w:val="000000"/>
              </w:rPr>
              <w:t>1. 客户端要求</w:t>
            </w:r>
          </w:p>
          <w:p>
            <w:pPr>
              <w:pStyle w:val="null3"/>
              <w:spacing w:before="195"/>
              <w:ind w:left="105" w:right="105" w:firstLine="284"/>
            </w:pPr>
            <w:r>
              <w:rPr>
                <w:rFonts w:ascii="仿宋_GB2312" w:hAnsi="仿宋_GB2312" w:cs="仿宋_GB2312" w:eastAsia="仿宋_GB2312"/>
                <w:sz w:val="21"/>
                <w:color w:val="000000"/>
              </w:rPr>
              <w:t>PC客户端操作系统须满足能正常运行在Windows 10神州网信政府版，64位环境下，并随系统和硬件的更新无条件向上兼容</w:t>
            </w:r>
            <w:r>
              <w:rPr>
                <w:rFonts w:ascii="仿宋_GB2312" w:hAnsi="仿宋_GB2312" w:cs="仿宋_GB2312" w:eastAsia="仿宋_GB2312"/>
                <w:sz w:val="21"/>
                <w:color w:val="000000"/>
              </w:rPr>
              <w:t>。后期如有类似国家政策变化等不可抗力因素，</w:t>
            </w:r>
            <w:r>
              <w:rPr>
                <w:rFonts w:ascii="仿宋_GB2312" w:hAnsi="仿宋_GB2312" w:cs="仿宋_GB2312" w:eastAsia="仿宋_GB2312"/>
                <w:sz w:val="21"/>
                <w:color w:val="000000"/>
              </w:rPr>
              <w:t>甲方提出后</w:t>
            </w:r>
            <w:r>
              <w:rPr>
                <w:rFonts w:ascii="仿宋_GB2312" w:hAnsi="仿宋_GB2312" w:cs="仿宋_GB2312" w:eastAsia="仿宋_GB2312"/>
                <w:sz w:val="21"/>
                <w:color w:val="000000"/>
              </w:rPr>
              <w:t>乙方应无条件配合甲方完成</w:t>
            </w:r>
            <w:r>
              <w:rPr>
                <w:rFonts w:ascii="仿宋_GB2312" w:hAnsi="仿宋_GB2312" w:cs="仿宋_GB2312" w:eastAsia="仿宋_GB2312"/>
                <w:sz w:val="21"/>
                <w:color w:val="000000"/>
              </w:rPr>
              <w:t>操作系统</w:t>
            </w:r>
            <w:r>
              <w:rPr>
                <w:rFonts w:ascii="仿宋_GB2312" w:hAnsi="仿宋_GB2312" w:cs="仿宋_GB2312" w:eastAsia="仿宋_GB2312"/>
                <w:sz w:val="21"/>
                <w:color w:val="000000"/>
              </w:rPr>
              <w:t>的调整与适配工作。调整适配费用包含在合同总费用中，不再另行付费。</w:t>
            </w:r>
          </w:p>
          <w:p>
            <w:pPr>
              <w:pStyle w:val="null3"/>
              <w:spacing w:before="195"/>
              <w:ind w:left="105" w:right="105" w:firstLine="284"/>
            </w:pPr>
            <w:r>
              <w:rPr>
                <w:rFonts w:ascii="仿宋_GB2312" w:hAnsi="仿宋_GB2312" w:cs="仿宋_GB2312" w:eastAsia="仿宋_GB2312"/>
                <w:sz w:val="21"/>
                <w:color w:val="000000"/>
              </w:rPr>
              <w:t>服务器端操作系统不得使用红帽、CentOS或相关衍生版本，并随系统和硬件的更新无条件向上兼容。</w:t>
            </w:r>
            <w:r>
              <w:rPr>
                <w:rFonts w:ascii="仿宋_GB2312" w:hAnsi="仿宋_GB2312" w:cs="仿宋_GB2312" w:eastAsia="仿宋_GB2312"/>
                <w:sz w:val="21"/>
                <w:color w:val="000000"/>
              </w:rPr>
              <w:t>后期如有类似国家政策变化等不可抗力因素，</w:t>
            </w:r>
            <w:r>
              <w:rPr>
                <w:rFonts w:ascii="仿宋_GB2312" w:hAnsi="仿宋_GB2312" w:cs="仿宋_GB2312" w:eastAsia="仿宋_GB2312"/>
                <w:sz w:val="21"/>
                <w:color w:val="000000"/>
              </w:rPr>
              <w:t>甲方提出后</w:t>
            </w:r>
            <w:r>
              <w:rPr>
                <w:rFonts w:ascii="仿宋_GB2312" w:hAnsi="仿宋_GB2312" w:cs="仿宋_GB2312" w:eastAsia="仿宋_GB2312"/>
                <w:sz w:val="21"/>
                <w:color w:val="000000"/>
              </w:rPr>
              <w:t>乙方应无条件配合甲方完成</w:t>
            </w:r>
            <w:r>
              <w:rPr>
                <w:rFonts w:ascii="仿宋_GB2312" w:hAnsi="仿宋_GB2312" w:cs="仿宋_GB2312" w:eastAsia="仿宋_GB2312"/>
                <w:sz w:val="21"/>
                <w:color w:val="000000"/>
              </w:rPr>
              <w:t>操作系统</w:t>
            </w:r>
            <w:r>
              <w:rPr>
                <w:rFonts w:ascii="仿宋_GB2312" w:hAnsi="仿宋_GB2312" w:cs="仿宋_GB2312" w:eastAsia="仿宋_GB2312"/>
                <w:sz w:val="21"/>
                <w:color w:val="000000"/>
              </w:rPr>
              <w:t>的调整与适配工作。调整适配费用包含在合同总费用中，不再另行付费。</w:t>
            </w:r>
          </w:p>
          <w:p>
            <w:pPr>
              <w:pStyle w:val="null3"/>
              <w:spacing w:before="195"/>
              <w:ind w:left="105" w:right="105" w:firstLine="284"/>
            </w:pPr>
            <w:r>
              <w:rPr>
                <w:rFonts w:ascii="仿宋_GB2312" w:hAnsi="仿宋_GB2312" w:cs="仿宋_GB2312" w:eastAsia="仿宋_GB2312"/>
                <w:sz w:val="21"/>
                <w:color w:val="000000"/>
              </w:rPr>
              <w:t>数据库部署应满足甲方业务开展需求，后期如有类似国家政策变化等不可抗力因素，</w:t>
            </w:r>
            <w:r>
              <w:rPr>
                <w:rFonts w:ascii="仿宋_GB2312" w:hAnsi="仿宋_GB2312" w:cs="仿宋_GB2312" w:eastAsia="仿宋_GB2312"/>
                <w:sz w:val="21"/>
                <w:color w:val="000000"/>
              </w:rPr>
              <w:t>甲方提出后</w:t>
            </w:r>
            <w:r>
              <w:rPr>
                <w:rFonts w:ascii="仿宋_GB2312" w:hAnsi="仿宋_GB2312" w:cs="仿宋_GB2312" w:eastAsia="仿宋_GB2312"/>
                <w:sz w:val="21"/>
                <w:color w:val="000000"/>
              </w:rPr>
              <w:t>乙方应无条件配合甲方完成数据库的调整与适配工作。调整适配费用包含在合同总费用中，不再另行付费。</w:t>
            </w:r>
          </w:p>
          <w:p>
            <w:pPr>
              <w:pStyle w:val="null3"/>
              <w:ind w:firstLine="360"/>
              <w:jc w:val="both"/>
            </w:pPr>
            <w:r>
              <w:rPr>
                <w:rFonts w:ascii="仿宋_GB2312" w:hAnsi="仿宋_GB2312" w:cs="仿宋_GB2312" w:eastAsia="仿宋_GB2312"/>
                <w:sz w:val="21"/>
                <w:color w:val="000000"/>
              </w:rPr>
              <w:t>操作系统、数据库均应支持国产芯片组架构指令集。</w:t>
            </w:r>
          </w:p>
          <w:p>
            <w:pPr>
              <w:pStyle w:val="null3"/>
              <w:jc w:val="both"/>
            </w:pPr>
            <w:r>
              <w:rPr>
                <w:rFonts w:ascii="仿宋_GB2312" w:hAnsi="仿宋_GB2312" w:cs="仿宋_GB2312" w:eastAsia="仿宋_GB2312"/>
                <w:sz w:val="21"/>
                <w:color w:val="000000"/>
              </w:rPr>
              <w:t>2.系统安全检测要求</w:t>
            </w:r>
          </w:p>
          <w:p>
            <w:pPr>
              <w:pStyle w:val="null3"/>
              <w:ind w:firstLine="360"/>
              <w:jc w:val="both"/>
            </w:pPr>
            <w:r>
              <w:rPr>
                <w:rFonts w:ascii="仿宋_GB2312" w:hAnsi="仿宋_GB2312" w:cs="仿宋_GB2312" w:eastAsia="仿宋_GB2312"/>
                <w:sz w:val="21"/>
                <w:color w:val="000000"/>
              </w:rPr>
              <w:t>2.1安全测试内容要求</w:t>
            </w:r>
          </w:p>
          <w:p>
            <w:pPr>
              <w:pStyle w:val="null3"/>
              <w:ind w:firstLine="360"/>
              <w:jc w:val="both"/>
            </w:pPr>
            <w:r>
              <w:rPr>
                <w:rFonts w:ascii="仿宋_GB2312" w:hAnsi="仿宋_GB2312" w:cs="仿宋_GB2312" w:eastAsia="仿宋_GB2312"/>
                <w:sz w:val="21"/>
                <w:color w:val="000000"/>
              </w:rPr>
              <w:t>渗透测试内容应针对本次项目所涉及的应用内容进行。包括但不限于资产发现、漏洞扫描、渗透测试和整改修复四个部分。</w:t>
            </w:r>
          </w:p>
          <w:p>
            <w:pPr>
              <w:pStyle w:val="null3"/>
              <w:ind w:firstLine="360"/>
              <w:jc w:val="both"/>
            </w:pPr>
            <w:r>
              <w:rPr>
                <w:rFonts w:ascii="仿宋_GB2312" w:hAnsi="仿宋_GB2312" w:cs="仿宋_GB2312" w:eastAsia="仿宋_GB2312"/>
                <w:sz w:val="21"/>
                <w:color w:val="000000"/>
              </w:rPr>
              <w:t>2.1.1 资产发现</w:t>
            </w:r>
          </w:p>
          <w:p>
            <w:pPr>
              <w:pStyle w:val="null3"/>
              <w:ind w:firstLine="360"/>
              <w:jc w:val="both"/>
            </w:pPr>
            <w:r>
              <w:rPr>
                <w:rFonts w:ascii="仿宋_GB2312" w:hAnsi="仿宋_GB2312" w:cs="仿宋_GB2312" w:eastAsia="仿宋_GB2312"/>
                <w:sz w:val="21"/>
                <w:color w:val="000000"/>
              </w:rPr>
              <w:t>基于网络扫描、搜索引擎、互联</w:t>
            </w:r>
            <w:r>
              <w:rPr>
                <w:rFonts w:ascii="仿宋_GB2312" w:hAnsi="仿宋_GB2312" w:cs="仿宋_GB2312" w:eastAsia="仿宋_GB2312"/>
                <w:sz w:val="21"/>
                <w:color w:val="000000"/>
              </w:rPr>
              <w:t>网基础数据引擎主动探测用户在互联网上报的资产，可以形成明确的资产清单。</w:t>
            </w:r>
          </w:p>
          <w:p>
            <w:pPr>
              <w:pStyle w:val="null3"/>
              <w:ind w:firstLine="360"/>
              <w:jc w:val="both"/>
            </w:pPr>
            <w:r>
              <w:rPr>
                <w:rFonts w:ascii="仿宋_GB2312" w:hAnsi="仿宋_GB2312" w:cs="仿宋_GB2312" w:eastAsia="仿宋_GB2312"/>
                <w:sz w:val="21"/>
                <w:color w:val="000000"/>
              </w:rPr>
              <w:t>2.1.2 漏洞扫描</w:t>
            </w:r>
          </w:p>
          <w:p>
            <w:pPr>
              <w:pStyle w:val="null3"/>
              <w:ind w:firstLine="360"/>
              <w:jc w:val="both"/>
            </w:pPr>
            <w:r>
              <w:rPr>
                <w:rFonts w:ascii="仿宋_GB2312" w:hAnsi="仿宋_GB2312" w:cs="仿宋_GB2312" w:eastAsia="仿宋_GB2312"/>
                <w:sz w:val="21"/>
                <w:color w:val="000000"/>
              </w:rPr>
              <w:t>对重保系统的服务器、终端、网络设备、安全设备、网站及应用系统进行扫描，发现可能存在硬件、软件、协议的具体实现或系统安全策略上的缺陷。</w:t>
            </w:r>
          </w:p>
          <w:p>
            <w:pPr>
              <w:pStyle w:val="null3"/>
              <w:ind w:firstLine="360"/>
              <w:jc w:val="both"/>
            </w:pPr>
            <w:r>
              <w:rPr>
                <w:rFonts w:ascii="仿宋_GB2312" w:hAnsi="仿宋_GB2312" w:cs="仿宋_GB2312" w:eastAsia="仿宋_GB2312"/>
                <w:sz w:val="21"/>
                <w:color w:val="000000"/>
              </w:rPr>
              <w:t>2.1.3 渗透测试</w:t>
            </w:r>
          </w:p>
          <w:p>
            <w:pPr>
              <w:pStyle w:val="null3"/>
              <w:ind w:firstLine="360"/>
              <w:jc w:val="both"/>
            </w:pPr>
            <w:r>
              <w:rPr>
                <w:rFonts w:ascii="仿宋_GB2312" w:hAnsi="仿宋_GB2312" w:cs="仿宋_GB2312" w:eastAsia="仿宋_GB2312"/>
                <w:sz w:val="21"/>
                <w:color w:val="000000"/>
              </w:rPr>
              <w:t>按照Web安全、网络传输安全、业务逻辑安全、中间件安全、服务器安全等五个类别进行渗透测试。包括常见漏洞（如：SQL注入、弱口令、跨站脚本攻击XSS、XML 外部实体XXE注入、跨站点伪造请求CSRF、任意文件下载或读取、任意目录遍历等）、框架类漏洞（如：spring漏洞、struts2漏洞、ThinkPHP漏洞、java反序列化漏洞等）、最新披露的热点漏洞（如：shiro反序列化、Weblogic反序列化漏洞、Apache Log4j 反序列化代码执行、微软server服务器远程命令执行漏洞等）。</w:t>
            </w:r>
          </w:p>
          <w:p>
            <w:pPr>
              <w:pStyle w:val="null3"/>
              <w:ind w:firstLine="360"/>
              <w:jc w:val="both"/>
            </w:pPr>
            <w:r>
              <w:rPr>
                <w:rFonts w:ascii="仿宋_GB2312" w:hAnsi="仿宋_GB2312" w:cs="仿宋_GB2312" w:eastAsia="仿宋_GB2312"/>
                <w:sz w:val="21"/>
                <w:color w:val="000000"/>
              </w:rPr>
              <w:t>2.1.4 整改复查要求</w:t>
            </w:r>
          </w:p>
          <w:p>
            <w:pPr>
              <w:pStyle w:val="null3"/>
              <w:ind w:firstLine="360"/>
              <w:jc w:val="both"/>
            </w:pPr>
            <w:r>
              <w:rPr>
                <w:rFonts w:ascii="仿宋_GB2312" w:hAnsi="仿宋_GB2312" w:cs="仿宋_GB2312" w:eastAsia="仿宋_GB2312"/>
                <w:sz w:val="21"/>
                <w:color w:val="000000"/>
              </w:rPr>
              <w:t>针对已发现的安全风险的进行修复后复查，确保消除安全隐患，并提供相应证明。</w:t>
            </w:r>
          </w:p>
          <w:p>
            <w:pPr>
              <w:pStyle w:val="null3"/>
              <w:jc w:val="both"/>
            </w:pPr>
            <w:r>
              <w:rPr>
                <w:rFonts w:ascii="仿宋_GB2312" w:hAnsi="仿宋_GB2312" w:cs="仿宋_GB2312" w:eastAsia="仿宋_GB2312"/>
                <w:sz w:val="21"/>
                <w:color w:val="000000"/>
              </w:rPr>
              <w:t xml:space="preserve">   3.数据安全要求</w:t>
            </w:r>
          </w:p>
          <w:p>
            <w:pPr>
              <w:pStyle w:val="null3"/>
              <w:ind w:firstLine="360"/>
              <w:jc w:val="both"/>
            </w:pPr>
            <w:r>
              <w:rPr>
                <w:rFonts w:ascii="仿宋_GB2312" w:hAnsi="仿宋_GB2312" w:cs="仿宋_GB2312" w:eastAsia="仿宋_GB2312"/>
                <w:sz w:val="21"/>
                <w:color w:val="000000"/>
              </w:rPr>
              <w:t>3.1根据数据的敏感程度和重要性，对数据进行分类和分级管理，参考国家《数据安全技术数据分类分级规则》。</w:t>
            </w:r>
          </w:p>
          <w:p>
            <w:pPr>
              <w:pStyle w:val="null3"/>
              <w:ind w:firstLine="360"/>
              <w:jc w:val="both"/>
            </w:pPr>
            <w:r>
              <w:rPr>
                <w:rFonts w:ascii="仿宋_GB2312" w:hAnsi="仿宋_GB2312" w:cs="仿宋_GB2312" w:eastAsia="仿宋_GB2312"/>
                <w:sz w:val="21"/>
                <w:color w:val="000000"/>
              </w:rPr>
              <w:t>3.2 通过设置用户权限级别，对用户进行限制，实现不同用户对数据的访问权限，防止内部攻击、破坏和泄露敏感数据。</w:t>
            </w:r>
          </w:p>
          <w:p>
            <w:pPr>
              <w:pStyle w:val="null3"/>
              <w:ind w:firstLine="360"/>
              <w:jc w:val="both"/>
            </w:pPr>
            <w:r>
              <w:rPr>
                <w:rFonts w:ascii="仿宋_GB2312" w:hAnsi="仿宋_GB2312" w:cs="仿宋_GB2312" w:eastAsia="仿宋_GB2312"/>
                <w:sz w:val="21"/>
                <w:color w:val="000000"/>
              </w:rPr>
              <w:t>3.3 数据的备份与还原是内网安全的重要环节。需要实施定期数据备份，确保在系统崩溃和遭受攻击后，可以通过还原数据将系统恢复至原状。为防止不安全数据进入系统，在还原时需要仔细检查数据的来源。</w:t>
            </w:r>
          </w:p>
          <w:p>
            <w:pPr>
              <w:pStyle w:val="null3"/>
              <w:jc w:val="both"/>
            </w:pPr>
            <w:r>
              <w:rPr>
                <w:rFonts w:ascii="仿宋_GB2312" w:hAnsi="仿宋_GB2312" w:cs="仿宋_GB2312" w:eastAsia="仿宋_GB2312"/>
                <w:sz w:val="21"/>
                <w:color w:val="000000"/>
              </w:rPr>
              <w:t>六、服务要求</w:t>
            </w:r>
          </w:p>
          <w:p>
            <w:pPr>
              <w:pStyle w:val="null3"/>
              <w:ind w:firstLine="360"/>
              <w:jc w:val="both"/>
            </w:pPr>
            <w:r>
              <w:rPr>
                <w:rFonts w:ascii="仿宋_GB2312" w:hAnsi="仿宋_GB2312" w:cs="仿宋_GB2312" w:eastAsia="仿宋_GB2312"/>
                <w:sz w:val="21"/>
                <w:color w:val="000000"/>
              </w:rPr>
              <w:t>1.服务要求</w:t>
            </w:r>
          </w:p>
          <w:p>
            <w:pPr>
              <w:pStyle w:val="null3"/>
              <w:ind w:firstLine="360"/>
              <w:jc w:val="both"/>
            </w:pPr>
            <w:r>
              <w:rPr>
                <w:rFonts w:ascii="仿宋_GB2312" w:hAnsi="仿宋_GB2312" w:cs="仿宋_GB2312" w:eastAsia="仿宋_GB2312"/>
                <w:sz w:val="21"/>
                <w:color w:val="000000"/>
              </w:rPr>
              <w:t>厂家应承诺保持技术服务人员的连续性和稳定性，对技术服务人员必须进行相关安全保密教育，签订保密协议，有履行保密的责任和义务。</w:t>
            </w:r>
          </w:p>
          <w:p>
            <w:pPr>
              <w:pStyle w:val="null3"/>
              <w:ind w:firstLine="360"/>
              <w:jc w:val="both"/>
            </w:pPr>
            <w:r>
              <w:rPr>
                <w:rFonts w:ascii="仿宋_GB2312" w:hAnsi="仿宋_GB2312" w:cs="仿宋_GB2312" w:eastAsia="仿宋_GB2312"/>
                <w:sz w:val="21"/>
                <w:color w:val="000000"/>
              </w:rPr>
              <w:t>2.运维要求</w:t>
            </w:r>
          </w:p>
          <w:p>
            <w:pPr>
              <w:pStyle w:val="null3"/>
              <w:ind w:firstLine="360"/>
              <w:jc w:val="both"/>
            </w:pPr>
            <w:r>
              <w:rPr>
                <w:rFonts w:ascii="仿宋_GB2312" w:hAnsi="仿宋_GB2312" w:cs="仿宋_GB2312" w:eastAsia="仿宋_GB2312"/>
                <w:sz w:val="21"/>
                <w:color w:val="000000"/>
              </w:rPr>
              <w:t>厂家应提供定期巡检服务，对软件、硬件设备进行性能、安全等方面的评估，确保相关业务系统服务功能正常、数据安全、系统稳定。厂家在运维工作中，有义务对代维设备作好标签制定、技术文件入档编辑、配置版本的保留和归档、软件版本的保留。厂家应在维护期结束后提系统维保巡检工作记录单。</w:t>
            </w:r>
          </w:p>
          <w:p>
            <w:pPr>
              <w:pStyle w:val="null3"/>
              <w:ind w:firstLine="360"/>
              <w:jc w:val="both"/>
            </w:pPr>
            <w:r>
              <w:rPr>
                <w:rFonts w:ascii="仿宋_GB2312" w:hAnsi="仿宋_GB2312" w:cs="仿宋_GB2312" w:eastAsia="仿宋_GB2312"/>
                <w:sz w:val="21"/>
                <w:color w:val="000000"/>
              </w:rPr>
              <w:t>3.响应时间</w:t>
            </w:r>
          </w:p>
          <w:p>
            <w:pPr>
              <w:pStyle w:val="null3"/>
              <w:ind w:firstLine="360"/>
              <w:jc w:val="both"/>
            </w:pPr>
            <w:r>
              <w:rPr>
                <w:rFonts w:ascii="仿宋_GB2312" w:hAnsi="仿宋_GB2312" w:cs="仿宋_GB2312" w:eastAsia="仿宋_GB2312"/>
                <w:sz w:val="21"/>
                <w:color w:val="000000"/>
              </w:rPr>
              <w:t>3.1 厂家需提供7*24小时响应服务，保证30分钟内容给予做出电话回应。</w:t>
            </w:r>
          </w:p>
          <w:p>
            <w:pPr>
              <w:pStyle w:val="null3"/>
              <w:ind w:firstLine="360"/>
              <w:jc w:val="both"/>
            </w:pPr>
            <w:r>
              <w:rPr>
                <w:rFonts w:ascii="仿宋_GB2312" w:hAnsi="仿宋_GB2312" w:cs="仿宋_GB2312" w:eastAsia="仿宋_GB2312"/>
                <w:sz w:val="21"/>
                <w:color w:val="000000"/>
              </w:rPr>
              <w:t>3.2 对于硬件故障，厂家应免费提供备用设备，并在4小时内更换故障产品并恢复系统正常运行。</w:t>
            </w:r>
          </w:p>
          <w:p>
            <w:pPr>
              <w:pStyle w:val="null3"/>
              <w:ind w:firstLine="360"/>
              <w:jc w:val="both"/>
            </w:pPr>
            <w:r>
              <w:rPr>
                <w:rFonts w:ascii="仿宋_GB2312" w:hAnsi="仿宋_GB2312" w:cs="仿宋_GB2312" w:eastAsia="仿宋_GB2312"/>
                <w:sz w:val="21"/>
                <w:color w:val="000000"/>
              </w:rPr>
              <w:t>3.3 对于系统软件故障，厂家在接到报修电话后2小时内解决，并恢复系统正常运行。</w:t>
            </w:r>
          </w:p>
          <w:p>
            <w:pPr>
              <w:pStyle w:val="null3"/>
              <w:ind w:firstLine="360"/>
              <w:jc w:val="both"/>
            </w:pPr>
            <w:r>
              <w:rPr>
                <w:rFonts w:ascii="仿宋_GB2312" w:hAnsi="仿宋_GB2312" w:cs="仿宋_GB2312" w:eastAsia="仿宋_GB2312"/>
                <w:sz w:val="21"/>
                <w:color w:val="000000"/>
              </w:rPr>
              <w:t>七、知识产权</w:t>
            </w:r>
          </w:p>
          <w:p>
            <w:pPr>
              <w:pStyle w:val="null3"/>
              <w:ind w:firstLine="360"/>
              <w:jc w:val="both"/>
            </w:pPr>
            <w:r>
              <w:rPr>
                <w:rFonts w:ascii="仿宋_GB2312" w:hAnsi="仿宋_GB2312" w:cs="仿宋_GB2312" w:eastAsia="仿宋_GB2312"/>
                <w:sz w:val="21"/>
                <w:color w:val="000000"/>
              </w:rPr>
              <w:t>1.乙方需保证本项目涉及的软硬件、技术成果及交付物（包括但不限于源代码、文档、数据等）均为合法取得，拥有完整、合法的权利来源，不存在任何侵犯第三方专利权、著作权、商标权或其他知识产权的行为，亦不存在任何知识产权方面的潜在纠纷或权利瑕疵。如因乙方提供的产品或服务侵犯任何第三方知识产权而导致甲方遭受任何形式的索赔、诉讼、仲裁或行政处罚，乙方应承担全部法律责任，并赔偿甲方因此遭受的全部损失（包括但不限于赔偿款、诉讼费、仲裁费、律师费、保全费、公证费、鉴定费及其他合理维权费用等）。</w:t>
            </w:r>
          </w:p>
          <w:p>
            <w:pPr>
              <w:pStyle w:val="null3"/>
              <w:ind w:firstLine="360"/>
              <w:jc w:val="both"/>
            </w:pPr>
            <w:r>
              <w:rPr>
                <w:rFonts w:ascii="仿宋_GB2312" w:hAnsi="仿宋_GB2312" w:cs="仿宋_GB2312" w:eastAsia="仿宋_GB2312"/>
                <w:sz w:val="21"/>
                <w:color w:val="000000"/>
              </w:rPr>
              <w:t>2.本项目在开发过程中形成的技术成果及与之对应的源代码等均为甲方所有。乙方应在项目建设完毕后向甲方交付完整、可编译运行的项目源代码及相关技术文档，并保证所提供的源代码及文档资料真实、完整、有效。</w:t>
            </w:r>
          </w:p>
          <w:p>
            <w:pPr>
              <w:pStyle w:val="null3"/>
              <w:ind w:firstLine="360"/>
              <w:jc w:val="both"/>
            </w:pPr>
            <w:r>
              <w:rPr>
                <w:rFonts w:ascii="仿宋_GB2312" w:hAnsi="仿宋_GB2312" w:cs="仿宋_GB2312" w:eastAsia="仿宋_GB2312"/>
                <w:sz w:val="21"/>
                <w:color w:val="000000"/>
              </w:rPr>
              <w:t>3.乙方应无条件配合甲方进行本项目相关成果的转化及相关知识产权申报工作，包括但不限于协助甲方撰写学术论文、申请软件著作权等。配合义务包括但不限于：（1）按照甲方要求及时提供申报所需的技术资料、源代码片段、系统截图、技术说明等材料；（2）在软件著作权登记、专利申请等行政程序中，为甲方提供必要的技术说明及文件签署支持；（3）在学术论文撰写及发表过程中，提供必要的技术数据、实验结果及论证支持。</w:t>
            </w:r>
          </w:p>
          <w:p>
            <w:pPr>
              <w:pStyle w:val="null3"/>
              <w:ind w:firstLine="360"/>
              <w:jc w:val="both"/>
            </w:pPr>
            <w:r>
              <w:rPr>
                <w:rFonts w:ascii="仿宋_GB2312" w:hAnsi="仿宋_GB2312" w:cs="仿宋_GB2312" w:eastAsia="仿宋_GB2312"/>
                <w:sz w:val="21"/>
                <w:color w:val="000000"/>
              </w:rPr>
              <w:t>乙方履行上述义务所发生的合理费用已包含在合同总价款中，甲方无需另行支付。</w:t>
            </w:r>
          </w:p>
          <w:p>
            <w:pPr>
              <w:pStyle w:val="null3"/>
            </w:pPr>
            <w:r>
              <w:rPr>
                <w:rFonts w:ascii="仿宋_GB2312" w:hAnsi="仿宋_GB2312" w:cs="仿宋_GB2312" w:eastAsia="仿宋_GB2312"/>
                <w:sz w:val="21"/>
                <w:color w:val="000000"/>
              </w:rPr>
              <w:t>八、商务条款</w:t>
            </w:r>
          </w:p>
          <w:p>
            <w:pPr>
              <w:pStyle w:val="null3"/>
            </w:pPr>
            <w:r>
              <w:rPr>
                <w:rFonts w:ascii="仿宋_GB2312" w:hAnsi="仿宋_GB2312" w:cs="仿宋_GB2312" w:eastAsia="仿宋_GB2312"/>
                <w:sz w:val="21"/>
                <w:color w:val="000000"/>
              </w:rPr>
              <w:t xml:space="preserve">   1、交货期</w:t>
            </w:r>
          </w:p>
          <w:p>
            <w:pPr>
              <w:pStyle w:val="null3"/>
            </w:pPr>
            <w:r>
              <w:rPr>
                <w:rFonts w:ascii="仿宋_GB2312" w:hAnsi="仿宋_GB2312" w:cs="仿宋_GB2312" w:eastAsia="仿宋_GB2312"/>
                <w:sz w:val="21"/>
                <w:color w:val="000000"/>
              </w:rPr>
              <w:t xml:space="preserve">   本项目交付周期为180个日历日，在项目签约后，以甲方通知入场为起始日，180个日历日内完成；因甲方项目需求变化或第三方接口配合度等因素导致延期，本项目交付日期正常顺延。</w:t>
            </w:r>
          </w:p>
          <w:p>
            <w:pPr>
              <w:pStyle w:val="null3"/>
            </w:pPr>
            <w:r>
              <w:rPr>
                <w:rFonts w:ascii="仿宋_GB2312" w:hAnsi="仿宋_GB2312" w:cs="仿宋_GB2312" w:eastAsia="仿宋_GB2312"/>
                <w:sz w:val="21"/>
                <w:color w:val="000000"/>
              </w:rPr>
              <w:t xml:space="preserve">   2、质保期</w:t>
            </w:r>
          </w:p>
          <w:p>
            <w:pPr>
              <w:pStyle w:val="null3"/>
            </w:pPr>
            <w:r>
              <w:rPr>
                <w:rFonts w:ascii="仿宋_GB2312" w:hAnsi="仿宋_GB2312" w:cs="仿宋_GB2312" w:eastAsia="仿宋_GB2312"/>
                <w:sz w:val="21"/>
                <w:color w:val="000000"/>
              </w:rPr>
              <w:t xml:space="preserve">   自最终验收通过之日起，提供为期36个月原厂的免费质保服务。质保服务期内免费提供需要更换升级的软硬件，免维修人工及相关费用。</w:t>
            </w:r>
          </w:p>
          <w:p>
            <w:pPr>
              <w:pStyle w:val="null3"/>
              <w:ind w:firstLine="360"/>
              <w:jc w:val="both"/>
            </w:pPr>
            <w:r>
              <w:rPr>
                <w:rFonts w:ascii="仿宋_GB2312" w:hAnsi="仿宋_GB2312" w:cs="仿宋_GB2312" w:eastAsia="仿宋_GB2312"/>
                <w:sz w:val="21"/>
                <w:color w:val="000000"/>
              </w:rPr>
              <w:t>3、付款方式</w:t>
            </w:r>
          </w:p>
          <w:p>
            <w:pPr>
              <w:pStyle w:val="null3"/>
            </w:pPr>
            <w:r>
              <w:rPr>
                <w:rFonts w:ascii="仿宋_GB2312" w:hAnsi="仿宋_GB2312" w:cs="仿宋_GB2312" w:eastAsia="仿宋_GB2312"/>
                <w:sz w:val="21"/>
                <w:color w:val="000000"/>
              </w:rPr>
              <w:t xml:space="preserve">    本项目验收合格无质量问题，根据合同约定付款。</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本项目交付周期为 180个日历日，在项目签约后，以甲方通知入场为起始日，180个日历日内完成；因甲方项目需求变化或第三方接口配合度等因素导致延期，本项目交付日期正常顺延。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陕西省人民医院友谊院区及西咸院区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对各业务模块进行功能性验收，对规则库完整性和接口对接效果进行验收，用户试运行验收（不少1周），验收中各项不合格需整改直至合格。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本项目验收合格无质量问题，根据合同约定</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（1）满足国家信息安全法律法规及医院信息安全管理制度，签署数据安全保密协议。 （2）项目开发完成后需对甲方相关人员进行软件功能介绍，软件操作流程等方面的培训。根据国家省市医保政策调整，及时更新对应审核策略。 （3）质保期：自验收合格之日起，提供为期36个月的免费质保服务。质保服务期内免费提供需要更换升级的软硬件，免维修人工及相关费用。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2、投标人依法缴纳税收和社会保障资金的证明材料复印件； 3、投标人具备履行合同所必需的设备和专业技术能力的承诺原件； 4、投标人参加政府采购活动前3年内在经营活动中没有重大违法记录的书面声明原件；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投标函 资格证明文件-招标.docx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投标人提供2024年度经审计的财务报表复印件，或本年度银行出具的资信证明；</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投标函 资格证明文件-招标.docx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特定资格条件1</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特定资格条件2</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特定资格条件3</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特定资格条件4</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资格证明文件-招标.docx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投标内容满足招标文件的所有“★”要求，不得存在漏项或数量不符合招标文件规定情形</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监狱企业的证明文件 资格证明文件-招标.docx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监狱企业的证明文件 资格证明文件-招标.docx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投标人提供2022年1月1日至今的相关项目业绩，业绩证明资料包含项目合同复印件。每项计2分，满分10分。未完整提供或内容不符合要求的不得分。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资质</w:t>
            </w:r>
          </w:p>
        </w:tc>
        <w:tc>
          <w:tcPr>
            <w:tcW w:type="dxa" w:w="2492"/>
          </w:tcPr>
          <w:p>
            <w:pPr>
              <w:pStyle w:val="null3"/>
            </w:pPr>
            <w:r>
              <w:rPr>
                <w:rFonts w:ascii="仿宋_GB2312" w:hAnsi="仿宋_GB2312" w:cs="仿宋_GB2312" w:eastAsia="仿宋_GB2312"/>
              </w:rPr>
              <w:t>投标人具备ISO9001质量管理体系认证证书、知识产权合规管理体系认证证书，每提供1项得2分，不提供不得分。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功能模块</w:t>
            </w:r>
          </w:p>
        </w:tc>
        <w:tc>
          <w:tcPr>
            <w:tcW w:type="dxa" w:w="2492"/>
          </w:tcPr>
          <w:p>
            <w:pPr>
              <w:pStyle w:val="null3"/>
            </w:pPr>
            <w:r>
              <w:rPr>
                <w:rFonts w:ascii="仿宋_GB2312" w:hAnsi="仿宋_GB2312" w:cs="仿宋_GB2312" w:eastAsia="仿宋_GB2312"/>
              </w:rPr>
              <w:t>1、根据招标文件“服务内容及服务要求-详细参数”表格中的响应情况进行打分，所投产品技术参数完全满足的得满分。标注“▲”符合的技术参数（共计2项），每项提供相关系统截图或其他材料佐证的得3分，不提供不得分。2、其余未标注符号的技术参数（共计9项），不符合/不响应/负偏离的，每项扣2分，扣完为止。（需提供佐证材料，材料包括但不限于功能截图、产品彩页及其它可以佐证具备相关功能研发能力的证明材料等） 此项满分24分。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一、对投标人提供的总体设计、技术架构及数据架构，重难点分析及解决措施、建设方案等四项内容进行赋分。 二、评审专家针对每项内容的完整性、针对性、可实施性三个方向进行评审，每个方向满足招标文件要求计1分，每项共计3分，四项满分共12分。 三、未提供或内容不符的不得分。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数据接口与集成方案</w:t>
            </w:r>
          </w:p>
        </w:tc>
        <w:tc>
          <w:tcPr>
            <w:tcW w:type="dxa" w:w="2492"/>
          </w:tcPr>
          <w:p>
            <w:pPr>
              <w:pStyle w:val="null3"/>
            </w:pPr>
            <w:r>
              <w:rPr>
                <w:rFonts w:ascii="仿宋_GB2312" w:hAnsi="仿宋_GB2312" w:cs="仿宋_GB2312" w:eastAsia="仿宋_GB2312"/>
              </w:rPr>
              <w:t>一、根据投标人提供数据中心架构设计说明、数据规范设计方案、接口说明书、提供HIS/集成平台实现方式进行赋分。 二、评审专家针对每项内容的完整性、针对两个方向进行评审，每个方向满足招标文件要求计0.5分，每项共计1分，四项满分共4分。 三、未提供或内容不符的不得分。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一、根据投标人提供的项目实施方案进行综合评审，包含但不限于项目管理方案、系统实施方案、项目实施进度控制、项目质量保障措施、验收方案、安全措施方案等六项内容进行赋分： 二、评审专家针对每项内容的完整性、针对性两个方向进行评审，每个方向满足招标文件要求计1分，每项共计2分，六项满分共12分。 三、未提供或内容不符的不得分。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项目组成员情况： 1）项目经理同时具有高级信息系统项目管理师证书、软件设计师证书（中级或以上的) 、数据库系统工程师（中级或以上的) 证书的得3分，具备其中任意两项证书的，得2分，具备其中任意一项证书的，得1分； 2）项目组成员具有统计专业技术资格证书（中级及以上）的得1分； 3）项目组成员具有医学类中级职称证书的得1分； 4）项目组成员具有病案信息技术证书的得1分； （注：投标方需提供人员岗位名单，人员姓名、资质证书复印件等信息及投标单位近三个月内为团队人员缴纳社保的证明截图并加盖公章，未提供相关证明材料不得分。）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一、根据投标人提供的售后服务方案，内容包含：①售后服务承诺 ②故障处理计划 ③在项目实施所在地具有相应的技术支持④售后服务能力等四项内容进行赋分； 二、评审专家针对每项内容的完整性、针对性两个方向进行评审，每个方向满足招标文件要求计1分，每项共计2分，四项满分共8分。 三、未提供或内容不符的不得分。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一、根据投标人提供的培训方案，内容包含：提培训文档、培训课件，培训内容，针对不同身份的用户培训计划等四项内容进行赋分。 二、评审专家针对每项内容的完整性、针对性两个方向进行评审，每个方向满足招标文件要求计0.5分，每项共计1分，四项满分共4分。 三、未提供或内容不符的不得分。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节能认证</w:t>
            </w:r>
          </w:p>
        </w:tc>
        <w:tc>
          <w:tcPr>
            <w:tcW w:type="dxa" w:w="2492"/>
          </w:tcPr>
          <w:p>
            <w:pPr>
              <w:pStyle w:val="null3"/>
            </w:pPr>
            <w:r>
              <w:rPr>
                <w:rFonts w:ascii="仿宋_GB2312" w:hAnsi="仿宋_GB2312" w:cs="仿宋_GB2312" w:eastAsia="仿宋_GB2312"/>
              </w:rPr>
              <w:t>投标人所投服务器产品属于《节能产品政府采购品目清单》范围内，且提供国家市场监督管理总局认可的认证机构出具的、处于有效期内的节能产品认证证书得1分；未提供或提供无效证书不得分。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价格分统一采用低价优先法计算，即满足招标文件要求且投标报价最低的报价为评标基准价，其价格分为满分。其他投标人的价格分统一按照下列公式计算： 报价得分=(评标基准价／投标报价)×价格权值×100 计算分数时四舍五入取小数点后两位。 （一、评审中出现下列情形之一的，评标委员会应当启动异常低价投标审查程序：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详见附件：资格证明文件-招标.docx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