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版本号：SXLX-FW-2026-20220260522001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机关食堂配送服务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SXLX-FW-2026-202</w:t>
      </w:r>
      <w:r>
        <w:br/>
      </w:r>
      <w:r>
        <w:br/>
      </w:r>
      <w:r>
        <w:br/>
      </w:r>
    </w:p>
    <w:p>
      <w:pPr>
        <w:pStyle w:val="null3"/>
        <w:jc w:val="center"/>
        <w:outlineLvl w:val="2"/>
      </w:pPr>
      <w:r>
        <w:rPr>
          <w:rFonts w:ascii="仿宋_GB2312" w:hAnsi="仿宋_GB2312" w:cs="仿宋_GB2312" w:eastAsia="仿宋_GB2312"/>
          <w:sz w:val="28"/>
          <w:b/>
        </w:rPr>
        <w:t>西安市莲湖区西关街道办事处</w:t>
      </w:r>
    </w:p>
    <w:p>
      <w:pPr>
        <w:pStyle w:val="null3"/>
        <w:jc w:val="center"/>
        <w:outlineLvl w:val="2"/>
      </w:pPr>
      <w:r>
        <w:rPr>
          <w:rFonts w:ascii="仿宋_GB2312" w:hAnsi="仿宋_GB2312" w:cs="仿宋_GB2312" w:eastAsia="仿宋_GB2312"/>
          <w:sz w:val="28"/>
          <w:b/>
        </w:rPr>
        <w:t>陕西立信工程项目管理有限公司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陕西立信工程项目管理有限公司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西安市莲湖区西关街道办事处</w:t>
      </w:r>
      <w:r>
        <w:rPr>
          <w:rFonts w:ascii="仿宋_GB2312" w:hAnsi="仿宋_GB2312" w:cs="仿宋_GB2312" w:eastAsia="仿宋_GB2312"/>
        </w:rPr>
        <w:t>委托，拟对</w:t>
      </w:r>
      <w:r>
        <w:rPr>
          <w:rFonts w:ascii="仿宋_GB2312" w:hAnsi="仿宋_GB2312" w:cs="仿宋_GB2312" w:eastAsia="仿宋_GB2312"/>
        </w:rPr>
        <w:t>机关食堂配送服务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SXLX-FW-2026-202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机关食堂配送服务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街道食堂提供配送服务，配送食材包括米面粮油类、肉类、禽蛋类、蔬菜水果类、水产海鲜类、冷冻制品类、调味品及副食品等其他零星采购，要求供应商每日在约定时间提供新鲜食材及原料，保证食品安全标准，高品质供应。</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采购包1（机关食堂配送服务）：属于专门面向中小企业采购。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书或法定代表人授权委托书：法定代表人直接参加投标的，须提供法定代表人身份证明(附法人身份证复印件）；法定代表人授权代表参加投标的，须提供法定代表人授权委托书(附法人及被授权人身份证复印件）被授权人需提供在本单位近三个月任意一个月的社保缴纳证明；</w:t>
      </w:r>
    </w:p>
    <w:p>
      <w:pPr>
        <w:pStyle w:val="null3"/>
      </w:pPr>
      <w:r>
        <w:rPr>
          <w:rFonts w:ascii="仿宋_GB2312" w:hAnsi="仿宋_GB2312" w:cs="仿宋_GB2312" w:eastAsia="仿宋_GB2312"/>
        </w:rPr>
        <w:t>3、财务状况报告：提供经财务审计机构出具的2024年度或2025年度财务审计报告（依据财政部、国务院国资委、金融监管总局印发&lt;&lt;关于加强审计报告查验工作的通知&gt;&gt;(财会(2023]15号)报告须在注册会计师行业统一监管平台备案并由该平台赋予二维码）或基本存款账户所在银行出具的满足本次招标有效时间内资信证明（资信证明须后附基本户开户许可证或基本存款账户信息）；</w:t>
      </w:r>
    </w:p>
    <w:p>
      <w:pPr>
        <w:pStyle w:val="null3"/>
      </w:pPr>
      <w:r>
        <w:rPr>
          <w:rFonts w:ascii="仿宋_GB2312" w:hAnsi="仿宋_GB2312" w:cs="仿宋_GB2312" w:eastAsia="仿宋_GB2312"/>
        </w:rPr>
        <w:t>4、社会保障资金缴纳证明：提供磋商截止日前六个月内任意一个月的社保资金交纳证明，依法不需要缴纳社保资金的单位提供相关证明材料；</w:t>
      </w:r>
    </w:p>
    <w:p>
      <w:pPr>
        <w:pStyle w:val="null3"/>
      </w:pPr>
      <w:r>
        <w:rPr>
          <w:rFonts w:ascii="仿宋_GB2312" w:hAnsi="仿宋_GB2312" w:cs="仿宋_GB2312" w:eastAsia="仿宋_GB2312"/>
        </w:rPr>
        <w:t>5、税收缴纳证明：提供磋商截止日前六个月内任意一个月的纳税证明或完税证明（增值税、印花税、城市维护建设费、企业所得税等一种或多种税种），依法免税的单位提供相关证明材料；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6、资质证明：供应商为生产厂家的须具有《食品生产许可证》、《食品经营许可证》及《动物防疫条件合格证》（仅肉类）；供应商为代理商的须提供《食品经营许可证》，并提供所代理产品生产厂家的《食品生产许可证》及《动物防疫条件合格证》（仅肉类）；</w:t>
      </w:r>
    </w:p>
    <w:p>
      <w:pPr>
        <w:pStyle w:val="null3"/>
      </w:pPr>
      <w:r>
        <w:rPr>
          <w:rFonts w:ascii="仿宋_GB2312" w:hAnsi="仿宋_GB2312" w:cs="仿宋_GB2312" w:eastAsia="仿宋_GB2312"/>
        </w:rPr>
        <w:t>7、信用信息查询记录：供应商未被“信用中国”网站（www.creditchina.gov.cn）列入失信被执行人和重大税收违法失信主体，未被中国政府采购网（www.ccgp.gov.cn）列入政府采购严重违法失信行为记录名单；（提供网站截图，加盖供应商公章或电子章，供应商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pPr>
      <w:r>
        <w:rPr>
          <w:rFonts w:ascii="仿宋_GB2312" w:hAnsi="仿宋_GB2312" w:cs="仿宋_GB2312" w:eastAsia="仿宋_GB2312"/>
        </w:rPr>
        <w:t>8、承诺书：提供具有履行合同所必需的设备和专业技术能力的承诺书；</w:t>
      </w:r>
    </w:p>
    <w:p>
      <w:pPr>
        <w:pStyle w:val="null3"/>
      </w:pPr>
      <w:r>
        <w:rPr>
          <w:rFonts w:ascii="仿宋_GB2312" w:hAnsi="仿宋_GB2312" w:cs="仿宋_GB2312" w:eastAsia="仿宋_GB2312"/>
        </w:rPr>
        <w:t>9、没有重大违法记录的书面声明：提供参加政府采购活动前三年内在经营活动中没有重大违法记录的书面声明；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10、非联合体声明：本项目不接受联合体投标；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西安市莲湖区西关街道办事处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丰庆路39号御溪望城4号楼21层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丁女士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029-88615048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陕西立信工程项目管理有限公司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陕西省西安市雁塔区陕西省西安市雁塔区太白南路39号金石柏朗大厦12层1201、1202、1205室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孔祥妍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13629283757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 号文和国家发改委发改办价格〔2003〕857 号文的计算方法收取。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西安市莲湖区西关街道办事处</w:t>
      </w:r>
      <w:r>
        <w:rPr>
          <w:rFonts w:ascii="仿宋_GB2312" w:hAnsi="仿宋_GB2312" w:cs="仿宋_GB2312" w:eastAsia="仿宋_GB2312"/>
        </w:rPr>
        <w:t>和</w:t>
      </w:r>
      <w:r>
        <w:rPr>
          <w:rFonts w:ascii="仿宋_GB2312" w:hAnsi="仿宋_GB2312" w:cs="仿宋_GB2312" w:eastAsia="仿宋_GB2312"/>
        </w:rPr>
        <w:t>陕西立信工程项目管理有限公司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西安市莲湖区西关街道办事处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陕西立信工程项目管理有限公司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西安市莲湖区西关街道办事处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陕西立信工程项目管理有限公司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1.磋商文件； 2.成交单位的响应文件及食品检验报告单； 3.合同文本及合同补充文件（条款）； 4.生产厂家的企业资质、检验报告、货物的执行标准； 5.国家有关的验收标准及规范。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联系人：孔祥妍</w:t>
      </w:r>
    </w:p>
    <w:p>
      <w:pPr>
        <w:pStyle w:val="null3"/>
      </w:pPr>
      <w:r>
        <w:rPr>
          <w:rFonts w:ascii="仿宋_GB2312" w:hAnsi="仿宋_GB2312" w:cs="仿宋_GB2312" w:eastAsia="仿宋_GB2312"/>
        </w:rPr>
        <w:t>联系电话：13629283757</w:t>
      </w:r>
    </w:p>
    <w:p>
      <w:pPr>
        <w:pStyle w:val="null3"/>
      </w:pPr>
      <w:r>
        <w:rPr>
          <w:rFonts w:ascii="仿宋_GB2312" w:hAnsi="仿宋_GB2312" w:cs="仿宋_GB2312" w:eastAsia="仿宋_GB2312"/>
        </w:rPr>
        <w:t>地址：陕西省西安市雁塔区太白南39号金石柏朗大厦12层1201、1202、1205室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街道食堂配送服务，供应食材包括米面粮油类、肉类、禽蛋类、蔬菜水果类、水产海鲜类、冷冻制品类、调味品及副食品等其他零星采购，要求供应商每日在约定时间提供新鲜食材及原料，保证食品安全标准，高品质供应。</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980,000.00</w:t>
      </w:r>
    </w:p>
    <w:p>
      <w:pPr>
        <w:pStyle w:val="null3"/>
      </w:pPr>
      <w:r>
        <w:rPr>
          <w:rFonts w:ascii="仿宋_GB2312" w:hAnsi="仿宋_GB2312" w:cs="仿宋_GB2312" w:eastAsia="仿宋_GB2312"/>
        </w:rPr>
        <w:t>采购包最高限价（元）: 980,000.00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机关食堂配送服务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980,000.00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标的名称：机关食堂配送服务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74"/>
              <w:gridCol w:w="2279"/>
            </w:tblGrid>
            <w:tr>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技术参数与性能指标</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b/>
                    </w:rPr>
                    <w:t>一、服务要求</w:t>
                  </w:r>
                </w:p>
                <w:p>
                  <w:pPr>
                    <w:pStyle w:val="null3"/>
                  </w:pPr>
                  <w:r>
                    <w:rPr>
                      <w:rFonts w:ascii="仿宋_GB2312" w:hAnsi="仿宋_GB2312" w:cs="仿宋_GB2312" w:eastAsia="仿宋_GB2312"/>
                      <w:sz w:val="18"/>
                      <w:b/>
                    </w:rPr>
                    <w:t>（一）供货要求</w:t>
                  </w:r>
                </w:p>
                <w:p>
                  <w:pPr>
                    <w:pStyle w:val="null3"/>
                    <w:ind w:firstLine="480"/>
                  </w:pPr>
                  <w:r>
                    <w:rPr>
                      <w:rFonts w:ascii="仿宋_GB2312" w:hAnsi="仿宋_GB2312" w:cs="仿宋_GB2312" w:eastAsia="仿宋_GB2312"/>
                      <w:sz w:val="18"/>
                    </w:rPr>
                    <w:t>1.供货要求：按照采购人要求指定配送点分批次送货，每批次采购人验收质量及数量并签字。</w:t>
                  </w:r>
                </w:p>
                <w:p>
                  <w:pPr>
                    <w:pStyle w:val="null3"/>
                    <w:ind w:firstLine="480"/>
                  </w:pPr>
                  <w:r>
                    <w:rPr>
                      <w:rFonts w:ascii="仿宋_GB2312" w:hAnsi="仿宋_GB2312" w:cs="仿宋_GB2312" w:eastAsia="仿宋_GB2312"/>
                      <w:sz w:val="18"/>
                    </w:rPr>
                    <w:t>2.若供货验收时出现质量问题或菜品不新鲜采购人有权拒签供货单，拒收货物。且在采购人规定的时间重新供货。</w:t>
                  </w:r>
                </w:p>
                <w:p>
                  <w:pPr>
                    <w:pStyle w:val="null3"/>
                  </w:pPr>
                  <w:r>
                    <w:rPr>
                      <w:rFonts w:ascii="仿宋_GB2312" w:hAnsi="仿宋_GB2312" w:cs="仿宋_GB2312" w:eastAsia="仿宋_GB2312"/>
                      <w:sz w:val="18"/>
                      <w:b/>
                    </w:rPr>
                    <w:t>（二）</w:t>
                  </w:r>
                  <w:r>
                    <w:rPr>
                      <w:rFonts w:ascii="仿宋_GB2312" w:hAnsi="仿宋_GB2312" w:cs="仿宋_GB2312" w:eastAsia="仿宋_GB2312"/>
                      <w:sz w:val="18"/>
                      <w:b/>
                    </w:rPr>
                    <w:t>服务人员要求</w:t>
                  </w:r>
                </w:p>
                <w:p>
                  <w:pPr>
                    <w:pStyle w:val="null3"/>
                    <w:ind w:firstLine="480"/>
                  </w:pPr>
                  <w:r>
                    <w:rPr>
                      <w:rFonts w:ascii="仿宋_GB2312" w:hAnsi="仿宋_GB2312" w:cs="仿宋_GB2312" w:eastAsia="仿宋_GB2312"/>
                      <w:sz w:val="18"/>
                    </w:rPr>
                    <w:t>人员工作经验丰富；团队人员具有（身份证、健康证、配送司机有驾驶证等相关证明材料）。</w:t>
                  </w:r>
                </w:p>
                <w:p>
                  <w:pPr>
                    <w:pStyle w:val="null3"/>
                  </w:pPr>
                  <w:r>
                    <w:rPr>
                      <w:rFonts w:ascii="仿宋_GB2312" w:hAnsi="仿宋_GB2312" w:cs="仿宋_GB2312" w:eastAsia="仿宋_GB2312"/>
                      <w:sz w:val="18"/>
                      <w:b/>
                    </w:rPr>
                    <w:t>（三）运输标准</w:t>
                  </w:r>
                </w:p>
                <w:p>
                  <w:pPr>
                    <w:pStyle w:val="null3"/>
                    <w:ind w:firstLine="480"/>
                  </w:pPr>
                  <w:r>
                    <w:rPr>
                      <w:rFonts w:ascii="仿宋_GB2312" w:hAnsi="仿宋_GB2312" w:cs="仿宋_GB2312" w:eastAsia="仿宋_GB2312"/>
                      <w:sz w:val="18"/>
                    </w:rPr>
                    <w:t>1.根据食品特点选择适宜的运输车辆，必要时应配备保温、冷藏、冷冻、保鲜、保湿等设施。</w:t>
                  </w:r>
                </w:p>
                <w:p>
                  <w:pPr>
                    <w:pStyle w:val="null3"/>
                    <w:ind w:firstLine="480"/>
                  </w:pPr>
                  <w:r>
                    <w:rPr>
                      <w:rFonts w:ascii="仿宋_GB2312" w:hAnsi="仿宋_GB2312" w:cs="仿宋_GB2312" w:eastAsia="仿宋_GB2312"/>
                      <w:sz w:val="18"/>
                    </w:rPr>
                    <w:t>2.运输前，对运输车辆进行清洁，必要时应进行消毒，防止食品受到污染。</w:t>
                  </w:r>
                </w:p>
                <w:p>
                  <w:pPr>
                    <w:pStyle w:val="null3"/>
                    <w:ind w:firstLine="480"/>
                  </w:pPr>
                  <w:r>
                    <w:rPr>
                      <w:rFonts w:ascii="仿宋_GB2312" w:hAnsi="仿宋_GB2312" w:cs="仿宋_GB2312" w:eastAsia="仿宋_GB2312"/>
                      <w:sz w:val="18"/>
                    </w:rPr>
                    <w:t>3.运输中，应防止食品包装破损，保持食品包装完整，避免食品受到日光直射、雨淋和剧烈撞击等。运输过程应符合保证食品安全所需的温度、湿度等特殊要求。</w:t>
                  </w:r>
                </w:p>
                <w:p>
                  <w:pPr>
                    <w:pStyle w:val="null3"/>
                    <w:ind w:firstLine="480"/>
                  </w:pPr>
                  <w:r>
                    <w:rPr>
                      <w:rFonts w:ascii="仿宋_GB2312" w:hAnsi="仿宋_GB2312" w:cs="仿宋_GB2312" w:eastAsia="仿宋_GB2312"/>
                      <w:sz w:val="18"/>
                    </w:rPr>
                    <w:t>4.食品与食品用洗涤剂、消毒剂等非食品同车运输，或者食品原料、半成品、成品同车运输时，应进行分隔。</w:t>
                  </w:r>
                </w:p>
                <w:p>
                  <w:pPr>
                    <w:pStyle w:val="null3"/>
                    <w:ind w:firstLine="480"/>
                  </w:pPr>
                  <w:r>
                    <w:rPr>
                      <w:rFonts w:ascii="仿宋_GB2312" w:hAnsi="仿宋_GB2312" w:cs="仿宋_GB2312" w:eastAsia="仿宋_GB2312"/>
                      <w:sz w:val="18"/>
                    </w:rPr>
                    <w:t>5.不应将食品与杀虫剂、杀鼠剂、醇基燃料等有毒、有害物品混装运输。运输食品和有毒、有害物品的车辆不应混用。</w:t>
                  </w:r>
                </w:p>
                <w:p>
                  <w:pPr>
                    <w:pStyle w:val="null3"/>
                  </w:pPr>
                  <w:r>
                    <w:rPr>
                      <w:rFonts w:ascii="仿宋_GB2312" w:hAnsi="仿宋_GB2312" w:cs="仿宋_GB2312" w:eastAsia="仿宋_GB2312"/>
                      <w:sz w:val="18"/>
                      <w:b/>
                    </w:rPr>
                    <w:t>（四）售后要求</w:t>
                  </w:r>
                </w:p>
                <w:p>
                  <w:pPr>
                    <w:pStyle w:val="null3"/>
                    <w:ind w:firstLine="480"/>
                  </w:pPr>
                  <w:r>
                    <w:rPr>
                      <w:rFonts w:ascii="仿宋_GB2312" w:hAnsi="仿宋_GB2312" w:cs="仿宋_GB2312" w:eastAsia="仿宋_GB2312"/>
                      <w:sz w:val="18"/>
                    </w:rPr>
                    <w:t>1.供应商提供的产品若出现不合格产品或在运输途中出现破损的，应在接到采购人通知12小时内响应，48小时内完成退换货工作。</w:t>
                  </w:r>
                </w:p>
                <w:p>
                  <w:pPr>
                    <w:pStyle w:val="null3"/>
                    <w:ind w:firstLine="480"/>
                  </w:pPr>
                  <w:r>
                    <w:rPr>
                      <w:rFonts w:ascii="仿宋_GB2312" w:hAnsi="仿宋_GB2312" w:cs="仿宋_GB2312" w:eastAsia="仿宋_GB2312"/>
                      <w:sz w:val="18"/>
                    </w:rPr>
                    <w:t>2.鲜活物品保证在送达指定地点后依旧新鲜。</w:t>
                  </w:r>
                </w:p>
                <w:p>
                  <w:pPr>
                    <w:pStyle w:val="null3"/>
                  </w:pPr>
                  <w:r>
                    <w:rPr>
                      <w:rFonts w:ascii="仿宋_GB2312" w:hAnsi="仿宋_GB2312" w:cs="仿宋_GB2312" w:eastAsia="仿宋_GB2312"/>
                      <w:sz w:val="18"/>
                      <w:b/>
                    </w:rPr>
                    <w:t>（</w:t>
                  </w:r>
                  <w:r>
                    <w:rPr>
                      <w:rFonts w:ascii="仿宋_GB2312" w:hAnsi="仿宋_GB2312" w:cs="仿宋_GB2312" w:eastAsia="仿宋_GB2312"/>
                      <w:sz w:val="18"/>
                      <w:b/>
                    </w:rPr>
                    <w:t>五</w:t>
                  </w:r>
                  <w:r>
                    <w:rPr>
                      <w:rFonts w:ascii="仿宋_GB2312" w:hAnsi="仿宋_GB2312" w:cs="仿宋_GB2312" w:eastAsia="仿宋_GB2312"/>
                      <w:sz w:val="18"/>
                      <w:b/>
                    </w:rPr>
                    <w:t>）其他要求</w:t>
                  </w:r>
                </w:p>
                <w:p>
                  <w:pPr>
                    <w:pStyle w:val="null3"/>
                    <w:ind w:firstLine="480"/>
                  </w:pPr>
                  <w:r>
                    <w:rPr>
                      <w:rFonts w:ascii="仿宋_GB2312" w:hAnsi="仿宋_GB2312" w:cs="仿宋_GB2312" w:eastAsia="仿宋_GB2312"/>
                      <w:sz w:val="18"/>
                    </w:rPr>
                    <w:t>1.供应商提供的产品必须是通过正规渠道采购。</w:t>
                  </w:r>
                </w:p>
                <w:p>
                  <w:pPr>
                    <w:pStyle w:val="null3"/>
                    <w:ind w:firstLine="480"/>
                  </w:pPr>
                  <w:r>
                    <w:rPr>
                      <w:rFonts w:ascii="仿宋_GB2312" w:hAnsi="仿宋_GB2312" w:cs="仿宋_GB2312" w:eastAsia="仿宋_GB2312"/>
                      <w:sz w:val="18"/>
                    </w:rPr>
                    <w:t>2.供应商根据街道食堂提供的所供食材的品牌、规格、大小、品种、数量、质量的要求准时向采购人提供配送服务。</w:t>
                  </w:r>
                </w:p>
                <w:p>
                  <w:pPr>
                    <w:pStyle w:val="null3"/>
                    <w:ind w:firstLine="480"/>
                  </w:pPr>
                  <w:r>
                    <w:rPr>
                      <w:rFonts w:ascii="仿宋_GB2312" w:hAnsi="仿宋_GB2312" w:cs="仿宋_GB2312" w:eastAsia="仿宋_GB2312"/>
                      <w:sz w:val="18"/>
                    </w:rPr>
                    <w:t>3.供应商自备送货车，安排专人及时供货，装卸费、送货费用及运输安全由供货方承担。</w:t>
                  </w:r>
                </w:p>
                <w:p>
                  <w:pPr>
                    <w:pStyle w:val="null3"/>
                    <w:ind w:firstLine="480"/>
                  </w:pPr>
                  <w:r>
                    <w:rPr>
                      <w:rFonts w:ascii="仿宋_GB2312" w:hAnsi="仿宋_GB2312" w:cs="仿宋_GB2312" w:eastAsia="仿宋_GB2312"/>
                      <w:sz w:val="18"/>
                    </w:rPr>
                    <w:t>4.特殊情况下，街道食堂需要的小批量的急用物资，供货方应予以满足解决。</w:t>
                  </w:r>
                </w:p>
                <w:p>
                  <w:pPr>
                    <w:pStyle w:val="null3"/>
                    <w:ind w:firstLine="480"/>
                  </w:pPr>
                  <w:r>
                    <w:rPr>
                      <w:rFonts w:ascii="仿宋_GB2312" w:hAnsi="仿宋_GB2312" w:cs="仿宋_GB2312" w:eastAsia="仿宋_GB2312"/>
                      <w:sz w:val="18"/>
                    </w:rPr>
                    <w:t>5.如遇法律法规、标准等对同一问题的处理出现歧义或不一致时，一律就高不就低。上述所有标准、规范均由供应商自备，采购人不另行提供。遇国家修改标准，自新标准施行之日起采用新标准。</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b/>
                    </w:rPr>
                    <w:t>二、</w:t>
                  </w:r>
                  <w:r>
                    <w:rPr>
                      <w:rFonts w:ascii="仿宋_GB2312" w:hAnsi="仿宋_GB2312" w:cs="仿宋_GB2312" w:eastAsia="仿宋_GB2312"/>
                      <w:sz w:val="18"/>
                      <w:b/>
                    </w:rPr>
                    <w:t>配送要求</w:t>
                  </w:r>
                </w:p>
                <w:p>
                  <w:pPr>
                    <w:pStyle w:val="null3"/>
                  </w:pPr>
                  <w:r>
                    <w:rPr>
                      <w:rFonts w:ascii="仿宋_GB2312" w:hAnsi="仿宋_GB2312" w:cs="仿宋_GB2312" w:eastAsia="仿宋_GB2312"/>
                      <w:sz w:val="18"/>
                      <w:b/>
                    </w:rPr>
                    <w:t>（一）大米</w:t>
                  </w:r>
                </w:p>
                <w:p>
                  <w:pPr>
                    <w:pStyle w:val="null3"/>
                    <w:ind w:firstLine="480"/>
                  </w:pPr>
                  <w:r>
                    <w:rPr>
                      <w:rFonts w:ascii="仿宋_GB2312" w:hAnsi="仿宋_GB2312" w:cs="仿宋_GB2312" w:eastAsia="仿宋_GB2312"/>
                      <w:sz w:val="18"/>
                    </w:rPr>
                    <w:t>1.规格：25公斤/装、10公斤/袋、5公斤/袋；</w:t>
                  </w:r>
                </w:p>
                <w:p>
                  <w:pPr>
                    <w:pStyle w:val="null3"/>
                    <w:ind w:firstLine="480"/>
                  </w:pPr>
                  <w:r>
                    <w:rPr>
                      <w:rFonts w:ascii="仿宋_GB2312" w:hAnsi="仿宋_GB2312" w:cs="仿宋_GB2312" w:eastAsia="仿宋_GB2312"/>
                      <w:sz w:val="18"/>
                    </w:rPr>
                    <w:t>2.质量要求</w:t>
                  </w:r>
                </w:p>
                <w:p>
                  <w:pPr>
                    <w:pStyle w:val="null3"/>
                    <w:ind w:firstLine="480"/>
                  </w:pPr>
                  <w:r>
                    <w:rPr>
                      <w:rFonts w:ascii="仿宋_GB2312" w:hAnsi="仿宋_GB2312" w:cs="仿宋_GB2312" w:eastAsia="仿宋_GB2312"/>
                      <w:sz w:val="18"/>
                    </w:rPr>
                    <w:t>（1）为国标一级或以上，颗粒饱满，色泽清白透明，无黄粒、无虫蛀，必须符合《国家产品质量法》、《国家食品安全法》为有效期限内安全卫生产品及国家行业标准的有关规定。物资验收实行索证制度，每批物资必须提供符合GB/T1354-2018大米国家标准的合格证或检验证，必须有食品安全标志。</w:t>
                  </w:r>
                </w:p>
                <w:p>
                  <w:pPr>
                    <w:pStyle w:val="null3"/>
                    <w:ind w:firstLine="480"/>
                  </w:pPr>
                  <w:r>
                    <w:rPr>
                      <w:rFonts w:ascii="仿宋_GB2312" w:hAnsi="仿宋_GB2312" w:cs="仿宋_GB2312" w:eastAsia="仿宋_GB2312"/>
                      <w:sz w:val="18"/>
                    </w:rPr>
                    <w:t>（2）无掺杂、无沙石，碎米少，无黄粒米。</w:t>
                  </w:r>
                </w:p>
                <w:p>
                  <w:pPr>
                    <w:pStyle w:val="null3"/>
                  </w:pPr>
                  <w:r>
                    <w:rPr>
                      <w:rFonts w:ascii="仿宋_GB2312" w:hAnsi="仿宋_GB2312" w:cs="仿宋_GB2312" w:eastAsia="仿宋_GB2312"/>
                      <w:sz w:val="18"/>
                      <w:b/>
                    </w:rPr>
                    <w:t>（二）面粉</w:t>
                  </w:r>
                </w:p>
                <w:p>
                  <w:pPr>
                    <w:pStyle w:val="null3"/>
                    <w:ind w:firstLine="480"/>
                  </w:pPr>
                  <w:r>
                    <w:rPr>
                      <w:rFonts w:ascii="仿宋_GB2312" w:hAnsi="仿宋_GB2312" w:cs="仿宋_GB2312" w:eastAsia="仿宋_GB2312"/>
                      <w:sz w:val="18"/>
                    </w:rPr>
                    <w:t>1.规格：1公斤/袋，2.5公斤/袋，5公斤/袋，25公斤/袋。</w:t>
                  </w:r>
                </w:p>
                <w:p>
                  <w:pPr>
                    <w:pStyle w:val="null3"/>
                    <w:ind w:firstLine="480"/>
                  </w:pPr>
                  <w:r>
                    <w:rPr>
                      <w:rFonts w:ascii="仿宋_GB2312" w:hAnsi="仿宋_GB2312" w:cs="仿宋_GB2312" w:eastAsia="仿宋_GB2312"/>
                      <w:sz w:val="18"/>
                    </w:rPr>
                    <w:t>2.质量要求</w:t>
                  </w:r>
                </w:p>
                <w:p>
                  <w:pPr>
                    <w:pStyle w:val="null3"/>
                    <w:ind w:firstLine="480"/>
                  </w:pPr>
                  <w:r>
                    <w:rPr>
                      <w:rFonts w:ascii="仿宋_GB2312" w:hAnsi="仿宋_GB2312" w:cs="仿宋_GB2312" w:eastAsia="仿宋_GB2312"/>
                      <w:sz w:val="18"/>
                    </w:rPr>
                    <w:t>（1）面粉等级一级，应符合GB/T1355-2021及行业相关标准。</w:t>
                  </w:r>
                </w:p>
                <w:p>
                  <w:pPr>
                    <w:pStyle w:val="null3"/>
                    <w:ind w:firstLine="480"/>
                  </w:pPr>
                  <w:r>
                    <w:rPr>
                      <w:rFonts w:ascii="仿宋_GB2312" w:hAnsi="仿宋_GB2312" w:cs="仿宋_GB2312" w:eastAsia="仿宋_GB2312"/>
                      <w:sz w:val="18"/>
                    </w:rPr>
                    <w:t>（2）色泽纯白，粉质细腻，无结块、无霉味。</w:t>
                  </w:r>
                </w:p>
                <w:p>
                  <w:pPr>
                    <w:pStyle w:val="null3"/>
                  </w:pPr>
                  <w:r>
                    <w:rPr>
                      <w:rFonts w:ascii="仿宋_GB2312" w:hAnsi="仿宋_GB2312" w:cs="仿宋_GB2312" w:eastAsia="仿宋_GB2312"/>
                      <w:sz w:val="18"/>
                      <w:b/>
                    </w:rPr>
                    <w:t>（三）食用油</w:t>
                  </w:r>
                </w:p>
                <w:p>
                  <w:pPr>
                    <w:pStyle w:val="null3"/>
                    <w:ind w:firstLine="480"/>
                  </w:pPr>
                  <w:r>
                    <w:rPr>
                      <w:rFonts w:ascii="仿宋_GB2312" w:hAnsi="仿宋_GB2312" w:cs="仿宋_GB2312" w:eastAsia="仿宋_GB2312"/>
                      <w:sz w:val="18"/>
                    </w:rPr>
                    <w:t>1.规格：一级大豆油，20L/桶；一级压榨花生油，5L/桶、2.5L/桶。</w:t>
                  </w:r>
                </w:p>
                <w:p>
                  <w:pPr>
                    <w:pStyle w:val="null3"/>
                    <w:ind w:firstLine="480"/>
                  </w:pPr>
                  <w:r>
                    <w:rPr>
                      <w:rFonts w:ascii="仿宋_GB2312" w:hAnsi="仿宋_GB2312" w:cs="仿宋_GB2312" w:eastAsia="仿宋_GB2312"/>
                      <w:sz w:val="18"/>
                    </w:rPr>
                    <w:t>2.质量要求</w:t>
                  </w:r>
                </w:p>
                <w:p>
                  <w:pPr>
                    <w:pStyle w:val="null3"/>
                    <w:ind w:firstLine="480"/>
                  </w:pPr>
                  <w:r>
                    <w:rPr>
                      <w:rFonts w:ascii="仿宋_GB2312" w:hAnsi="仿宋_GB2312" w:cs="仿宋_GB2312" w:eastAsia="仿宋_GB2312"/>
                      <w:sz w:val="18"/>
                    </w:rPr>
                    <w:t>（1）符合GB/T 1535-2017 一级大豆油，指标要求并提供相应批次合格证或检验证。外观透明无杂质；气味、口感较好；水分及挥发物不超过0.05%；不溶性杂质不超过0.05%。</w:t>
                  </w:r>
                </w:p>
                <w:p>
                  <w:pPr>
                    <w:pStyle w:val="null3"/>
                    <w:ind w:firstLine="480"/>
                  </w:pPr>
                  <w:r>
                    <w:rPr>
                      <w:rFonts w:ascii="仿宋_GB2312" w:hAnsi="仿宋_GB2312" w:cs="仿宋_GB2312" w:eastAsia="仿宋_GB2312"/>
                      <w:sz w:val="18"/>
                    </w:rPr>
                    <w:t>（2）符合GB/T 1534-2017 花生油指标要求，并提供相应批次合格证或检验证。外观澄清、透明；呈淡黄色或橙黄色。具有花生油固有的香味和滋味，无异味；水分及挥发物不超过0.10%；不溶性杂质不超过0.05%。</w:t>
                  </w:r>
                </w:p>
                <w:p>
                  <w:pPr>
                    <w:pStyle w:val="null3"/>
                    <w:ind w:firstLine="480"/>
                  </w:pPr>
                  <w:r>
                    <w:rPr>
                      <w:rFonts w:ascii="仿宋_GB2312" w:hAnsi="仿宋_GB2312" w:cs="仿宋_GB2312" w:eastAsia="仿宋_GB2312"/>
                      <w:sz w:val="18"/>
                    </w:rPr>
                    <w:t>（3）外观的色泽、透明度、气味滋味等无异常。</w:t>
                  </w:r>
                </w:p>
                <w:p>
                  <w:pPr>
                    <w:pStyle w:val="null3"/>
                  </w:pPr>
                  <w:r>
                    <w:rPr>
                      <w:rFonts w:ascii="仿宋_GB2312" w:hAnsi="仿宋_GB2312" w:cs="仿宋_GB2312" w:eastAsia="仿宋_GB2312"/>
                      <w:sz w:val="18"/>
                      <w:b/>
                    </w:rPr>
                    <w:t>（四）肉类、禽蛋类</w:t>
                  </w:r>
                </w:p>
                <w:p>
                  <w:pPr>
                    <w:pStyle w:val="null3"/>
                    <w:ind w:firstLine="480"/>
                  </w:pPr>
                  <w:r>
                    <w:rPr>
                      <w:rFonts w:ascii="仿宋_GB2312" w:hAnsi="仿宋_GB2312" w:cs="仿宋_GB2312" w:eastAsia="仿宋_GB2312"/>
                      <w:sz w:val="18"/>
                    </w:rPr>
                    <w:t>1.肉类</w:t>
                  </w:r>
                </w:p>
                <w:p>
                  <w:pPr>
                    <w:pStyle w:val="null3"/>
                    <w:numPr>
                      <w:ilvl w:val="0"/>
                      <w:numId w:val="1"/>
                    </w:numPr>
                  </w:pPr>
                  <w:r>
                    <w:rPr>
                      <w:rFonts w:ascii="仿宋_GB2312" w:hAnsi="仿宋_GB2312" w:cs="仿宋_GB2312" w:eastAsia="仿宋_GB2312"/>
                      <w:sz w:val="18"/>
                    </w:rPr>
                    <w:t>冷鲜肉品质量要求：新鲜、冷鲜肉，不注水，肉质紧密有弹性，色泽鲜红或淡红，脂肪洁白，无注水、无病害。必须来自定点屠宰场，肉上有屠宰场经质量检验合格的滚花，提供所供当批次的动物检疫和肉的肉品品质检验合格证。并按采购人要求的分割肉类别按时供应。</w:t>
                  </w:r>
                </w:p>
                <w:p>
                  <w:pPr>
                    <w:pStyle w:val="null3"/>
                    <w:numPr>
                      <w:ilvl w:val="0"/>
                      <w:numId w:val="1"/>
                    </w:numPr>
                  </w:pPr>
                  <w:r>
                    <w:rPr>
                      <w:rFonts w:ascii="仿宋_GB2312" w:hAnsi="仿宋_GB2312" w:cs="仿宋_GB2312" w:eastAsia="仿宋_GB2312"/>
                      <w:sz w:val="18"/>
                    </w:rPr>
                    <w:t>冻品质量要求：感官检验、化学检验、添加剂检验、有害金属的检验均符合要求。</w:t>
                  </w:r>
                </w:p>
                <w:p>
                  <w:pPr>
                    <w:pStyle w:val="null3"/>
                    <w:ind w:firstLine="480"/>
                  </w:pPr>
                  <w:r>
                    <w:rPr>
                      <w:rFonts w:ascii="仿宋_GB2312" w:hAnsi="仿宋_GB2312" w:cs="仿宋_GB2312" w:eastAsia="仿宋_GB2312"/>
                      <w:sz w:val="18"/>
                    </w:rPr>
                    <w:t>2.禽蛋类</w:t>
                  </w:r>
                </w:p>
                <w:p>
                  <w:pPr>
                    <w:pStyle w:val="null3"/>
                    <w:numPr>
                      <w:ilvl w:val="0"/>
                      <w:numId w:val="1"/>
                    </w:numPr>
                  </w:pPr>
                  <w:r>
                    <w:rPr>
                      <w:rFonts w:ascii="仿宋_GB2312" w:hAnsi="仿宋_GB2312" w:cs="仿宋_GB2312" w:eastAsia="仿宋_GB2312"/>
                      <w:sz w:val="18"/>
                    </w:rPr>
                    <w:t>主要是杀白鸡、鸭及蛋与相关禽类冻品。</w:t>
                  </w:r>
                </w:p>
                <w:p>
                  <w:pPr>
                    <w:pStyle w:val="null3"/>
                    <w:numPr>
                      <w:ilvl w:val="0"/>
                      <w:numId w:val="1"/>
                    </w:numPr>
                  </w:pPr>
                  <w:r>
                    <w:rPr>
                      <w:rFonts w:ascii="仿宋_GB2312" w:hAnsi="仿宋_GB2312" w:cs="仿宋_GB2312" w:eastAsia="仿宋_GB2312"/>
                      <w:sz w:val="18"/>
                    </w:rPr>
                    <w:t>质量要求：①符合《冷鲜禽加工经营卫生规范》要求及《鲜、冻禽产品》国家标准（GB 2707-2016）。②杀白禽类质量要求：新鲜，感官检验、化学检验均符合要求。③冻禽质量标准：产品无变质、无异味、无腐败、无杂质；产品无过保质期；产品非病死禽、畜制品；产品应经检验、检疫合格；产品不得超过国家食品卫生法规规定的指标；所有物资产品需有相关检验、检疫及相关合格证明。禽类肌肉有光泽，红色或暗红色，脂肪白色。畜类体表光泽、肌肉坚实。所有冷冻食品均不得为二次化冰食品。</w:t>
                  </w:r>
                </w:p>
                <w:p>
                  <w:pPr>
                    <w:pStyle w:val="null3"/>
                  </w:pPr>
                  <w:r>
                    <w:rPr>
                      <w:rFonts w:ascii="仿宋_GB2312" w:hAnsi="仿宋_GB2312" w:cs="仿宋_GB2312" w:eastAsia="仿宋_GB2312"/>
                      <w:sz w:val="18"/>
                      <w:b/>
                    </w:rPr>
                    <w:t>（五</w:t>
                  </w:r>
                  <w:r>
                    <w:rPr>
                      <w:rFonts w:ascii="仿宋_GB2312" w:hAnsi="仿宋_GB2312" w:cs="仿宋_GB2312" w:eastAsia="仿宋_GB2312"/>
                      <w:sz w:val="18"/>
                      <w:b/>
                    </w:rPr>
                    <w:t>）蔬菜类</w:t>
                  </w:r>
                </w:p>
                <w:p>
                  <w:pPr>
                    <w:pStyle w:val="null3"/>
                    <w:ind w:firstLine="480"/>
                  </w:pPr>
                  <w:r>
                    <w:rPr>
                      <w:rFonts w:ascii="仿宋_GB2312" w:hAnsi="仿宋_GB2312" w:cs="仿宋_GB2312" w:eastAsia="仿宋_GB2312"/>
                      <w:sz w:val="18"/>
                    </w:rPr>
                    <w:t>1.质量要求：符合无公害农产品国家标准(《新鲜蔬菜卫生标准》GB18406.1-2001)。所供蔬菜应具有新鲜蔬菜原有的特性，成熟度适中，新鲜脆嫩，色泽良好，形态正常，个体均匀。外观清洁，无腐烂、无霉变、无异味，无影响食用的病虫害状及机械损伤。所供蔬菜的规格大小按市场行情确定。</w:t>
                  </w:r>
                </w:p>
                <w:p>
                  <w:pPr>
                    <w:pStyle w:val="null3"/>
                    <w:ind w:firstLine="480"/>
                  </w:pPr>
                  <w:r>
                    <w:rPr>
                      <w:rFonts w:ascii="仿宋_GB2312" w:hAnsi="仿宋_GB2312" w:cs="仿宋_GB2312" w:eastAsia="仿宋_GB2312"/>
                      <w:sz w:val="18"/>
                    </w:rPr>
                    <w:t>（1）绿叶菜类：青菜、芹菜、大白菜、生菜、包菜、大菠菜、空心菜、青苋菜、韭菜、蒜苗等；感官要求：肉质鲜嫩，形态好，色泽正常；茎基部削平；无花蕾或开花、包菜紧致，菠菜可带根。</w:t>
                  </w:r>
                </w:p>
                <w:p>
                  <w:pPr>
                    <w:pStyle w:val="null3"/>
                    <w:ind w:firstLine="480"/>
                  </w:pPr>
                  <w:r>
                    <w:rPr>
                      <w:rFonts w:ascii="仿宋_GB2312" w:hAnsi="仿宋_GB2312" w:cs="仿宋_GB2312" w:eastAsia="仿宋_GB2312"/>
                      <w:sz w:val="18"/>
                    </w:rPr>
                    <w:t>（2）水生蔬菜类：茭白、鲜藕、马蹄等；感官要求：水分充足，饱满，肉洁白脆嫩，无腐烂、干枯、泥多发软。</w:t>
                  </w:r>
                </w:p>
                <w:p>
                  <w:pPr>
                    <w:pStyle w:val="null3"/>
                    <w:ind w:firstLine="480"/>
                  </w:pPr>
                  <w:r>
                    <w:rPr>
                      <w:rFonts w:ascii="仿宋_GB2312" w:hAnsi="仿宋_GB2312" w:cs="仿宋_GB2312" w:eastAsia="仿宋_GB2312"/>
                      <w:sz w:val="18"/>
                    </w:rPr>
                    <w:t>（3）根茎菜类：长萝卜、白萝卜、番薯、  小葱、洋葱、京葱、青大蒜、芋、姜等；感官要求：表面光滑、条直匀称，粗壮、碛实，肉质甜脆</w:t>
                  </w:r>
                </w:p>
                <w:p>
                  <w:pPr>
                    <w:pStyle w:val="null3"/>
                    <w:ind w:firstLine="480"/>
                  </w:pPr>
                  <w:r>
                    <w:rPr>
                      <w:rFonts w:ascii="仿宋_GB2312" w:hAnsi="仿宋_GB2312" w:cs="仿宋_GB2312" w:eastAsia="仿宋_GB2312"/>
                      <w:sz w:val="18"/>
                    </w:rPr>
                    <w:t>（4）瓜类：黄瓜、西南瓜、丝瓜、青南瓜、日本南瓜、老南瓜、佛手瓜、冬瓜、长瓜、苦瓜等；感官要求：颜色淡绿色，有光泽，有一定硬度，无弹性，皮薄，肉洁白鲜嫩，瓜形周正，无断裂、划伤、软烂、干皱、畸形。</w:t>
                  </w:r>
                </w:p>
                <w:p>
                  <w:pPr>
                    <w:pStyle w:val="null3"/>
                    <w:ind w:firstLine="480"/>
                  </w:pPr>
                  <w:r>
                    <w:rPr>
                      <w:rFonts w:ascii="仿宋_GB2312" w:hAnsi="仿宋_GB2312" w:cs="仿宋_GB2312" w:eastAsia="仿宋_GB2312"/>
                      <w:sz w:val="18"/>
                    </w:rPr>
                    <w:t>（5）豆类：四季豆、豇豆、新土豆、大土豆、光土豆、芸豆等；感官要求：颜色青绿、豆荚饱满，剥开后豆粒呈淡绿色，完整有清香，无受潮、虫洞、软烂、发黄、发黑、豆粒瘪而小有异味。</w:t>
                  </w:r>
                </w:p>
                <w:p>
                  <w:pPr>
                    <w:pStyle w:val="null3"/>
                    <w:ind w:firstLine="480"/>
                  </w:pPr>
                  <w:r>
                    <w:rPr>
                      <w:rFonts w:ascii="仿宋_GB2312" w:hAnsi="仿宋_GB2312" w:cs="仿宋_GB2312" w:eastAsia="仿宋_GB2312"/>
                      <w:sz w:val="18"/>
                    </w:rPr>
                    <w:t>（6）茄果类：番茄、茄子、小尖椒、大尖椒、园椒、红椒、青椒等；感官要求：色正，有光泽，表面光滑，饱满有一定硬度及弹性，无腐烂、干尖、皱纹、断裂、柔软、泥土整齐，无烂果、异味、病虫和明显机械损伤。</w:t>
                  </w:r>
                </w:p>
                <w:p>
                  <w:pPr>
                    <w:pStyle w:val="null3"/>
                    <w:ind w:firstLine="480"/>
                  </w:pPr>
                  <w:r>
                    <w:rPr>
                      <w:rFonts w:ascii="仿宋_GB2312" w:hAnsi="仿宋_GB2312" w:cs="仿宋_GB2312" w:eastAsia="仿宋_GB2312"/>
                      <w:sz w:val="18"/>
                    </w:rPr>
                    <w:t>（7）食用菌类：香菇、平菇等；感官要求：菌身完整、大小均匀，菌盖与柄、菌环相连未展开，根短，无发霉、潮湿、粘手、水浸、杂质、菌盖边缘裂开、盖柄脱离、色黄、黄斑。</w:t>
                  </w:r>
                </w:p>
                <w:p>
                  <w:pPr>
                    <w:pStyle w:val="null3"/>
                    <w:ind w:firstLine="480"/>
                  </w:pPr>
                  <w:r>
                    <w:rPr>
                      <w:rFonts w:ascii="仿宋_GB2312" w:hAnsi="仿宋_GB2312" w:cs="仿宋_GB2312" w:eastAsia="仿宋_GB2312"/>
                      <w:sz w:val="18"/>
                    </w:rPr>
                    <w:t>2.其他说明：以上蔬菜品种为常规采购品种，不排除有采购所列品种之外蔬菜的可能，若采购其他品种蔬菜，需满足采购人实际需求。</w:t>
                  </w:r>
                </w:p>
                <w:p>
                  <w:pPr>
                    <w:pStyle w:val="null3"/>
                  </w:pPr>
                  <w:r>
                    <w:rPr>
                      <w:rFonts w:ascii="仿宋_GB2312" w:hAnsi="仿宋_GB2312" w:cs="仿宋_GB2312" w:eastAsia="仿宋_GB2312"/>
                      <w:sz w:val="18"/>
                      <w:b/>
                    </w:rPr>
                    <w:t>（六</w:t>
                  </w:r>
                  <w:r>
                    <w:rPr>
                      <w:rFonts w:ascii="仿宋_GB2312" w:hAnsi="仿宋_GB2312" w:cs="仿宋_GB2312" w:eastAsia="仿宋_GB2312"/>
                      <w:sz w:val="18"/>
                      <w:b/>
                    </w:rPr>
                    <w:t>）水果类</w:t>
                  </w:r>
                </w:p>
                <w:p>
                  <w:pPr>
                    <w:pStyle w:val="null3"/>
                    <w:ind w:firstLine="480"/>
                  </w:pPr>
                  <w:r>
                    <w:rPr>
                      <w:rFonts w:ascii="仿宋_GB2312" w:hAnsi="仿宋_GB2312" w:cs="仿宋_GB2312" w:eastAsia="仿宋_GB2312"/>
                      <w:sz w:val="18"/>
                    </w:rPr>
                    <w:t>1.质量要求：</w:t>
                  </w:r>
                </w:p>
                <w:p>
                  <w:pPr>
                    <w:pStyle w:val="null3"/>
                    <w:ind w:firstLine="480"/>
                  </w:pPr>
                  <w:r>
                    <w:rPr>
                      <w:rFonts w:ascii="仿宋_GB2312" w:hAnsi="仿宋_GB2312" w:cs="仿宋_GB2312" w:eastAsia="仿宋_GB2312"/>
                      <w:sz w:val="18"/>
                    </w:rPr>
                    <w:t>符合SB/T 11024-2013新鲜水果分类与代码、符合GB 2712-2019食品安全国家标准。所供水果新鲜成熟度适中，色泽正常，果形完整，无腐烂、无疤痕，感官检验、化学检验均符合要求。须保证符合采购人需求的品质。</w:t>
                  </w:r>
                </w:p>
                <w:p>
                  <w:pPr>
                    <w:pStyle w:val="null3"/>
                  </w:pPr>
                  <w:r>
                    <w:rPr>
                      <w:rFonts w:ascii="仿宋_GB2312" w:hAnsi="仿宋_GB2312" w:cs="仿宋_GB2312" w:eastAsia="仿宋_GB2312"/>
                      <w:sz w:val="18"/>
                      <w:b/>
                    </w:rPr>
                    <w:t>（七</w:t>
                  </w:r>
                  <w:r>
                    <w:rPr>
                      <w:rFonts w:ascii="仿宋_GB2312" w:hAnsi="仿宋_GB2312" w:cs="仿宋_GB2312" w:eastAsia="仿宋_GB2312"/>
                      <w:sz w:val="18"/>
                      <w:b/>
                    </w:rPr>
                    <w:t>）水产类</w:t>
                  </w:r>
                </w:p>
                <w:p>
                  <w:pPr>
                    <w:pStyle w:val="null3"/>
                    <w:ind w:firstLine="480"/>
                  </w:pPr>
                  <w:r>
                    <w:rPr>
                      <w:rFonts w:ascii="仿宋_GB2312" w:hAnsi="仿宋_GB2312" w:cs="仿宋_GB2312" w:eastAsia="仿宋_GB2312"/>
                      <w:sz w:val="18"/>
                    </w:rPr>
                    <w:t>水产类采购内容包括：草鱼、鲫鱼、鲈鱼、花蛤、汪刺鱼、白条、黑鱼、蛏子、明虾、白鲢鱼、鳊鱼、鳙鱼等水产类或各类速冻海水产品。</w:t>
                  </w:r>
                </w:p>
                <w:p>
                  <w:pPr>
                    <w:pStyle w:val="null3"/>
                    <w:ind w:firstLine="480"/>
                  </w:pPr>
                  <w:r>
                    <w:rPr>
                      <w:rFonts w:ascii="仿宋_GB2312" w:hAnsi="仿宋_GB2312" w:cs="仿宋_GB2312" w:eastAsia="仿宋_GB2312"/>
                      <w:sz w:val="18"/>
                    </w:rPr>
                    <w:t>1.执行标准及技术要求：鲜活产品在水中游动自如,反应敏捷，无伤残、无畸形、无病害；鳞片完整无损，无皮下出血现象及红色鳞片，速冻海水产品等均符合国家相关标准。</w:t>
                  </w:r>
                </w:p>
                <w:p>
                  <w:pPr>
                    <w:pStyle w:val="null3"/>
                    <w:ind w:firstLine="480"/>
                  </w:pPr>
                  <w:r>
                    <w:rPr>
                      <w:rFonts w:ascii="仿宋_GB2312" w:hAnsi="仿宋_GB2312" w:cs="仿宋_GB2312" w:eastAsia="仿宋_GB2312"/>
                      <w:sz w:val="18"/>
                    </w:rPr>
                    <w:t>2.鲜活水产质量要求：鲜活，感官检验、化学检验、添加剂检验、有害金属的检验均符合要求。</w:t>
                  </w:r>
                </w:p>
                <w:p>
                  <w:pPr>
                    <w:pStyle w:val="null3"/>
                    <w:ind w:firstLine="480"/>
                  </w:pPr>
                  <w:r>
                    <w:rPr>
                      <w:rFonts w:ascii="仿宋_GB2312" w:hAnsi="仿宋_GB2312" w:cs="仿宋_GB2312" w:eastAsia="仿宋_GB2312"/>
                      <w:sz w:val="18"/>
                    </w:rPr>
                    <w:t>3.速冻海水产品等符合国家相关标准。</w:t>
                  </w:r>
                </w:p>
                <w:p>
                  <w:pPr>
                    <w:pStyle w:val="null3"/>
                  </w:pPr>
                  <w:r>
                    <w:rPr>
                      <w:rFonts w:ascii="仿宋_GB2312" w:hAnsi="仿宋_GB2312" w:cs="仿宋_GB2312" w:eastAsia="仿宋_GB2312"/>
                      <w:sz w:val="18"/>
                      <w:b/>
                    </w:rPr>
                    <w:t>（八</w:t>
                  </w:r>
                  <w:r>
                    <w:rPr>
                      <w:rFonts w:ascii="仿宋_GB2312" w:hAnsi="仿宋_GB2312" w:cs="仿宋_GB2312" w:eastAsia="仿宋_GB2312"/>
                      <w:sz w:val="18"/>
                      <w:b/>
                    </w:rPr>
                    <w:t>）冻货类</w:t>
                  </w:r>
                </w:p>
                <w:p>
                  <w:pPr>
                    <w:pStyle w:val="null3"/>
                    <w:ind w:firstLine="480"/>
                  </w:pPr>
                  <w:r>
                    <w:rPr>
                      <w:rFonts w:ascii="仿宋_GB2312" w:hAnsi="仿宋_GB2312" w:cs="仿宋_GB2312" w:eastAsia="仿宋_GB2312"/>
                      <w:sz w:val="18"/>
                    </w:rPr>
                    <w:t>1.冷鲜肉品质量要求：新鲜、冷鲜肉，不注水，肉上有屠宰场经质量检验合格的滚花，提供所供当批次的动物检疫和肉的肉品品质检验合格证。并按采购人要求的分割肉类别按时供应。</w:t>
                  </w:r>
                </w:p>
                <w:p>
                  <w:pPr>
                    <w:pStyle w:val="null3"/>
                    <w:ind w:firstLine="480"/>
                  </w:pPr>
                  <w:r>
                    <w:rPr>
                      <w:rFonts w:ascii="仿宋_GB2312" w:hAnsi="仿宋_GB2312" w:cs="仿宋_GB2312" w:eastAsia="仿宋_GB2312"/>
                      <w:sz w:val="18"/>
                    </w:rPr>
                    <w:t>2.冻品质量要求：感官检验、化学检验、添加剂检验、有害金属的检验均符合要求。</w:t>
                  </w:r>
                </w:p>
                <w:p>
                  <w:pPr>
                    <w:pStyle w:val="null3"/>
                  </w:pPr>
                  <w:r>
                    <w:rPr>
                      <w:rFonts w:ascii="仿宋_GB2312" w:hAnsi="仿宋_GB2312" w:cs="仿宋_GB2312" w:eastAsia="仿宋_GB2312"/>
                      <w:sz w:val="18"/>
                      <w:b/>
                    </w:rPr>
                    <w:t>（九</w:t>
                  </w:r>
                  <w:r>
                    <w:rPr>
                      <w:rFonts w:ascii="仿宋_GB2312" w:hAnsi="仿宋_GB2312" w:cs="仿宋_GB2312" w:eastAsia="仿宋_GB2312"/>
                      <w:sz w:val="18"/>
                      <w:b/>
                    </w:rPr>
                    <w:t>）调味品及副食品类</w:t>
                  </w:r>
                </w:p>
                <w:p>
                  <w:pPr>
                    <w:pStyle w:val="null3"/>
                    <w:ind w:firstLine="480"/>
                  </w:pPr>
                  <w:r>
                    <w:rPr>
                      <w:rFonts w:ascii="仿宋_GB2312" w:hAnsi="仿宋_GB2312" w:cs="仿宋_GB2312" w:eastAsia="仿宋_GB2312"/>
                      <w:sz w:val="18"/>
                    </w:rPr>
                    <w:t>1.质量要求：</w:t>
                  </w:r>
                </w:p>
                <w:p>
                  <w:pPr>
                    <w:pStyle w:val="null3"/>
                    <w:numPr>
                      <w:ilvl w:val="0"/>
                      <w:numId w:val="1"/>
                    </w:numPr>
                  </w:pPr>
                  <w:r>
                    <w:rPr>
                      <w:rFonts w:ascii="仿宋_GB2312" w:hAnsi="仿宋_GB2312" w:cs="仿宋_GB2312" w:eastAsia="仿宋_GB2312"/>
                      <w:sz w:val="18"/>
                    </w:rPr>
                    <w:t>酱油、盐、鸡精、米醋、酱、料酒、调料、淀粉、酵母、糖等，各项产品符合《GB 2763-2021食品安全国家标准》及其他相关标准。须为正规厂家生产的预包装产品，标识齐全（生产日期、保质期、生产厂家等），在保质期内。</w:t>
                  </w:r>
                </w:p>
                <w:p>
                  <w:pPr>
                    <w:pStyle w:val="null3"/>
                    <w:numPr>
                      <w:ilvl w:val="0"/>
                      <w:numId w:val="1"/>
                    </w:numPr>
                  </w:pPr>
                  <w:r>
                    <w:rPr>
                      <w:rFonts w:ascii="仿宋_GB2312" w:hAnsi="仿宋_GB2312" w:cs="仿宋_GB2312" w:eastAsia="仿宋_GB2312"/>
                      <w:sz w:val="18"/>
                    </w:rPr>
                    <w:t>外包装无污物、无泄漏，无胀袋或胖听或鼓盖现象，无变质发霉现象。色泽正常，具有该品种固有的香味，滋味无异味，油酱均匀的酱体或无结块的粉状固体，封口平整，无破包，夹包，漏包，无污染。</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人员工作经验丰富；团队人员具有（身份证、健康证、配送司机有驾驶证等相关证明材料）。</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根据食品特点选择适宜的运输车辆，必要时应配备保温、冷藏、冷冻、保鲜、保湿等设施。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1.配送时效： 供应商需具备每日定时配送的能力，并能根据食堂要求完成送达，确保不影响食堂早餐及午餐备餐。 2.订单响应： 建立高效的沟通机制，食堂在前一日下午规定时间前下达订单，供应商需在规定时间内确认订单，无特殊情况不得拒单。 3.验收与退换货： 食材送达后，由食堂指定专人按本技术要求进行验收。对不符合质量、数量或品种要求的食材，食堂有权当场拒收，供应商必须无条件在指定时间内完成换货或补货，不得影响食堂正常运营。 4.单据管理： 每次配送须提供详细的送货清单，清晰列明品名、规格、单价、数量、金额，并加盖公章，作为结算凭证。 5.其他详见服务要求。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自合同签订之日起两年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 1.1所有食材的验收工作将由采购人指定的验收小组在货物送达指定地点后现场进行。验收依据包括但不限于本技术要求、供应商响应文件承诺及国家相关标准。供应商须全程配合验收工作。 1.2感官要求：所有食材必须具有其固有的色泽、气味和形态，新鲜、洁净、无腐烂、霉变、生虫、污秽不洁、混有异物或感官性状异常。 1.3证明文件：每批次食材必须随货提供清晰、有效的合格证明文件，包括但不限于：畜禽肉类：须提供当批次的《动物检疫合格证明》及《肉品品质检验合格证》（或具备合规的溯源二维码）。蔬菜类：鼓励提供农产品质量安全检测报告或产地来源证明。预包装食品：包装上必须有完整的标签标识，包括产品名称、生产厂家、生产许可证编号（SC）、生产日期、保质期等。其他品类：根据法律法规要求需提供的其他合格证明文件。 2）验收依据： 2.1磋商文件 2.2成交供应商的响应文件及食品检验报告单 2.3合同文本及合同补充文件（条款） 2.4生产厂家的企业资质、检验报告、货物的执行标准 2.5国家有关的验收标准及规范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进度款，按季度据实结算，具体以实际签订合同为准，达到付款条件起30个工作日内，支付合同总金额的25.0%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进度款，按季度据实结算，具体以实际签订合同为准，达到付款条件起30个工作日内，支付合同总金额的25.0%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进度款，按季度据实结算，具体以实际签订合同为准，达到付款条件起30个工作日内，支付合同总金额的25.0%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进度款，按季度据实结算，具体以实际签订合同为准，达到付款条件起30个工作日内，支付合同总金额的25.0%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中华人民共和国政府采购法实施条例》的相关条款和本合同约定，成交供应商未全面履行合同义务或者发生违约，采购单位有权终止合同，依法向成交供应商进行经济索赔，并报请政府采购监督管理机关进行相应的行政处罚。采购单位违约的，应当赔偿给成交供应商造成的经济损失。合同执行中发生争议的，当事人双方应协商解决。协商达不成一致时，可向当地行政仲裁机关申请仲裁或者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1．食品安全承诺：供应商须出具《食品安全承诺书》，对因其所供食材质量问题引发的食品安全事故承担全部法律责任和经济损失。 2．供应保障承诺：除不可抗力因素外，不得无故中断供应。 3．违约责任：在合同条款中明确约定，如出现质量不合格、配送不及时、以次充好等情况，将给予相应处罚，直至终止合同。 4．价格机制：中标价格为固定期间（如一个月或一个季度）的协议价。如遇市场价格大幅波动，双方可基于权威价格发布平台（如当地物价局网站、大型批发市场报价）的数据进行协商调整，调整机制应在合同中明确。 5．本项目采购标的所属行业为：批发业； 6．本项目总服务期限为2年，采用一年一签、考核续签方式，首年合同期1年。续签考核机制如下（月度质量考核表详见合同附件）： ①　上一年度服务综合考核平均得分≥85分，无重大违约、无安全责任事故、无有效投诉且整改到位。（详见月度质量考核表） ②　续签年度服务单价、总价、结算方式与首年合同完全一致，不得提高。 ③　成交供应商主体资格、服务团队、服务标准未发生实质性变更，能持续满足采购人需求。 ④　供应商上一年度无政府采购违法违规记录，未被列入失信名单。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1、投标主体资格证明：具有独立承担民事责任能力的法人、其他组织或自然人，并出具合法有效的营业执照或事业单位法人证书等国家规定的相关证明，自然人参与的提供其身份证明； 2、社会保障资金缴纳证明：提供磋商截止日前六个月内任意一个月的社保资金交纳证明，依法不需要缴纳社保资金的单位提供相关证明材料； 3、税收缴纳证明：提供磋商截止日前六个月内任意一个月的纳税证明或完税证明（增值税、印花税、城市维护建设费、企业所得税等一种或多种税种），依法免税的单位提供相关证明材料。 4、承诺书：提供具有履行合同所必需的设备和专业技术能力的承诺书； 5、没有重大违法记录的书面声明：提供参加政府采购活动前三年内在经营活动中没有重大违法记录的书面声明；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经财务审计机构出具的2024年度或2025年度财务审计报告（依据财政部、国务院国资委、金融监管总局印发&lt;&lt;关于加强审计报告查验工作的通知&gt;&gt;(财会(2023]15号)报告须在注册会计师行业统一监管平台备案并由该平台赋予二维码）或基本存款账户所在银行出具的满足本次招标有效时间内资信证明（资信证明须后附基本户开户许可证或基本存款账户信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供应商参加政府采购活动承诺书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附法人身份证复印件）；法定代表人授权代表参加投标的，须提供法定代表人授权委托书(附法人及被授权人身份证复印件）被授权人需提供在本单位近三个月任意一个月的社保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财务审计机构出具的2024年度或2025年度财务审计报告（依据财政部、国务院国资委、金融监管总局印发&lt;&lt;关于加强审计报告查验工作的通知&gt;&gt;(财会(2023]15号)报告须在注册会计师行业统一监管平台备案并由该平台赋予二维码）或基本存款账户所在银行出具的满足本次招标有效时间内资信证明（资信证明须后附基本户开户许可证或基本存款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提供磋商截止日前六个月内任意一个月的社保资金交纳证明，依法不需要缴纳社保资金的单位提供相关证明材料；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资质证明</w:t>
            </w:r>
          </w:p>
        </w:tc>
        <w:tc>
          <w:tcPr>
            <w:tcW w:type="dxa" w:w="3322"/>
          </w:tcPr>
          <w:p>
            <w:pPr>
              <w:pStyle w:val="null3"/>
            </w:pPr>
            <w:r>
              <w:rPr>
                <w:rFonts w:ascii="仿宋_GB2312" w:hAnsi="仿宋_GB2312" w:cs="仿宋_GB2312" w:eastAsia="仿宋_GB2312"/>
              </w:rPr>
              <w:t>供应商为生产厂家的须具有《食品生产许可证》、《食品经营许可证》及《动物防疫条件合格证》（仅肉类）；供应商为代理商的须提供《食品经营许可证》，并提供所代理产品生产厂家的《食品生产许可证》及《动物防疫条件合格证》（仅肉类）；</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信用信息查询记录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提供网站截图，加盖供应商公章或电子章，供应商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供应商参加政府采购活动承诺书 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供应商参加政府采购活动承诺书 中小企业声明函 业绩 供应商应提交的相关资格证明材料 报价表 技术和商务偏离表 响应文件封面 残疾人福利性单位声明函 标的清单 其他说明 响应函 监狱企业的证明文件 磋商方案</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磋商响应文件中法定代表人或其授权代表人的签字齐全并加盖公章</w:t>
            </w:r>
          </w:p>
        </w:tc>
        <w:tc>
          <w:tcPr>
            <w:tcW w:type="dxa" w:w="1661"/>
          </w:tcPr>
          <w:p>
            <w:pPr>
              <w:pStyle w:val="null3"/>
            </w:pPr>
            <w:r>
              <w:rPr>
                <w:rFonts w:ascii="仿宋_GB2312" w:hAnsi="仿宋_GB2312" w:cs="仿宋_GB2312" w:eastAsia="仿宋_GB2312"/>
              </w:rPr>
              <w:t>响应文件封面 供应商参加政府采购活动承诺书 中小企业声明函 残疾人福利性单位声明函 业绩 标的清单 供应商应提交的相关资格证明材料 其他说明 技术和商务偏离表 响应函 监狱企业的证明文件 磋商方案</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供应商参加政府采购活动承诺书 中小企业声明函 残疾人福利性单位声明函 业绩 标的清单 供应商应提交的相关资格证明材料 其他说明 技术和商务偏离表 响应函 监狱企业的证明文件 磋商方案</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供应商参加政府采购活动承诺书 中小企业声明函 业绩 供应商应提交的相关资格证明材料 报价表 技术和商务偏离表 响应文件封面 残疾人福利性单位声明函 标的清单 其他说明 响应函 监狱企业的证明文件 磋商方案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满足本磋商文件中的实质性条款（服务期、 服务地点、支付方式、支付约定）要求的</w:t>
            </w:r>
          </w:p>
        </w:tc>
        <w:tc>
          <w:tcPr>
            <w:tcW w:type="dxa" w:w="1661"/>
          </w:tcPr>
          <w:p>
            <w:pPr>
              <w:pStyle w:val="null3"/>
            </w:pPr>
            <w:r>
              <w:rPr>
                <w:rFonts w:ascii="仿宋_GB2312" w:hAnsi="仿宋_GB2312" w:cs="仿宋_GB2312" w:eastAsia="仿宋_GB2312"/>
              </w:rPr>
              <w:t>响应文件封面 供应商参加政府采购活动承诺书 标的清单 供应商应提交的相关资格证明材料 报价表 技术和商务偏离表 响应函 磋商方案</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食材采购方案</w:t>
            </w:r>
          </w:p>
        </w:tc>
        <w:tc>
          <w:tcPr>
            <w:tcW w:type="dxa" w:w="2492"/>
          </w:tcPr>
          <w:p>
            <w:pPr>
              <w:pStyle w:val="null3"/>
            </w:pPr>
            <w:r>
              <w:rPr>
                <w:rFonts w:ascii="仿宋_GB2312" w:hAnsi="仿宋_GB2312" w:cs="仿宋_GB2312" w:eastAsia="仿宋_GB2312"/>
              </w:rPr>
              <w:t>评审内容： ①服务流程 ②进货渠道 ③食材验收方案。 评审标准：方案内容专门针对本项目编制，切合本项目实际情况及实施要求，内容与要点相符、每个要点均有展开详细的阐述且能够适用于本项目的得9分； 以上评审内容每缺一项扣3分； 每一项评审内容有缺陷扣1分。 （缺陷是指：内容粗略、逻辑混乱、描述过于简单、与项目特点不匹配、凭空编造、逻辑漏洞、出现常识性错误、存在不可能实现的夸大情形）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技术和商务偏离表</w:t>
            </w:r>
          </w:p>
          <w:p>
            <w:pPr>
              <w:pStyle w:val="null3"/>
            </w:pPr>
            <w:r>
              <w:rPr>
                <w:rFonts w:ascii="仿宋_GB2312" w:hAnsi="仿宋_GB2312" w:cs="仿宋_GB2312" w:eastAsia="仿宋_GB2312"/>
              </w:rPr>
              <w:t>其他说明</w:t>
            </w:r>
          </w:p>
        </w:tc>
      </w:tr>
      <w:tr>
        <w:tc>
          <w:tcPr>
            <w:tcW w:type="dxa" w:w="831"/>
            <w:vMerge/>
          </w:tcPr>
          <w:p/>
        </w:tc>
        <w:tc>
          <w:tcPr>
            <w:tcW w:type="dxa" w:w="1661"/>
          </w:tcPr>
          <w:p>
            <w:pPr>
              <w:pStyle w:val="null3"/>
            </w:pPr>
            <w:r>
              <w:rPr>
                <w:rFonts w:ascii="仿宋_GB2312" w:hAnsi="仿宋_GB2312" w:cs="仿宋_GB2312" w:eastAsia="仿宋_GB2312"/>
              </w:rPr>
              <w:t>食材储存管理、卫生管理方案</w:t>
            </w:r>
          </w:p>
        </w:tc>
        <w:tc>
          <w:tcPr>
            <w:tcW w:type="dxa" w:w="2492"/>
          </w:tcPr>
          <w:p>
            <w:pPr>
              <w:pStyle w:val="null3"/>
            </w:pPr>
            <w:r>
              <w:rPr>
                <w:rFonts w:ascii="仿宋_GB2312" w:hAnsi="仿宋_GB2312" w:cs="仿宋_GB2312" w:eastAsia="仿宋_GB2312"/>
              </w:rPr>
              <w:t>评审内容： ①食品原材料储存方案； ②食材保存、食品及人员卫生、环境卫生及垃圾处理； ③有固定场所：提供相关证明材料（证明文件包括但不限于租赁合同或购房合同、经营场所照片或租赁合同等） 评审标准：方案内容专门针对本项目编制，切合本项目实际情况及实施要求，有场地证明材料，内容与要点相符、每个要点均有展开详细的阐述且能够适用于本项目的得9分； 以上评审内容每缺一项扣3分； 每一项评审内容有缺陷扣1分。 （缺陷是指：内容粗略、逻辑混乱、描述过于简单、与项目特点不匹配、凭空编造、逻辑漏洞、出现常识性错误、存在不可能实现的夸大情形）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其他说明</w:t>
            </w:r>
          </w:p>
          <w:p>
            <w:pPr>
              <w:pStyle w:val="null3"/>
            </w:pPr>
            <w:r>
              <w:rPr>
                <w:rFonts w:ascii="仿宋_GB2312" w:hAnsi="仿宋_GB2312" w:cs="仿宋_GB2312" w:eastAsia="仿宋_GB2312"/>
              </w:rPr>
              <w:t>技术和商务偏离表</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评审内容： ①整体配送计划方案； ②采购计划单； ③运输路线规划； ④响应的及时性。 评审标准：方案内容专门针对本项目编制，切合本项目实际情况及实施要求，内容与要点相符、每个要点均有展开详细的阐述且能够适用于本项目的得12分； 以上评审内容每缺一项扣3分； 每一项评审内容有缺陷扣1分。 （缺陷是指：内容粗略、逻辑混乱、描述过于简单、与项目特点不匹配、凭空编造、逻辑漏洞、出现常识性错误、存在不可能实现的夸大情形）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技术和商务偏离表</w:t>
            </w:r>
          </w:p>
          <w:p>
            <w:pPr>
              <w:pStyle w:val="null3"/>
            </w:pPr>
            <w:r>
              <w:rPr>
                <w:rFonts w:ascii="仿宋_GB2312" w:hAnsi="仿宋_GB2312" w:cs="仿宋_GB2312" w:eastAsia="仿宋_GB2312"/>
              </w:rPr>
              <w:t>其他说明</w:t>
            </w:r>
          </w:p>
        </w:tc>
      </w:tr>
      <w:tr>
        <w:tc>
          <w:tcPr>
            <w:tcW w:type="dxa" w:w="831"/>
            <w:vMerge/>
          </w:tcPr>
          <w:p/>
        </w:tc>
        <w:tc>
          <w:tcPr>
            <w:tcW w:type="dxa" w:w="1661"/>
          </w:tcPr>
          <w:p>
            <w:pPr>
              <w:pStyle w:val="null3"/>
            </w:pPr>
            <w:r>
              <w:rPr>
                <w:rFonts w:ascii="仿宋_GB2312" w:hAnsi="仿宋_GB2312" w:cs="仿宋_GB2312" w:eastAsia="仿宋_GB2312"/>
              </w:rPr>
              <w:t>团队配置</w:t>
            </w:r>
          </w:p>
        </w:tc>
        <w:tc>
          <w:tcPr>
            <w:tcW w:type="dxa" w:w="2492"/>
          </w:tcPr>
          <w:p>
            <w:pPr>
              <w:pStyle w:val="null3"/>
            </w:pPr>
            <w:r>
              <w:rPr>
                <w:rFonts w:ascii="仿宋_GB2312" w:hAnsi="仿宋_GB2312" w:cs="仿宋_GB2312" w:eastAsia="仿宋_GB2312"/>
              </w:rPr>
              <w:t>评审内容： ①项目组织机构设置方案； ②团队的职能分工及职责划分方案； ③人员工作经验丰富；团队人员具有（身份证、健康证、配送司机有驾驶证等相关证明材料）； ④各岗位管理制度、自查制度、考核制度、奖惩制度。 评审标准：机构设置合理、团队人员职责划分明确、分工合理、团队配置满足项目需要，人员经验丰富，专业能力能有效保障项目服务质量，内容描述详细，架构清晰的得10分。 以上评审内容每缺一项扣2.5分； 每一项评审内容有缺陷扣0.5分。 （缺陷是指：内容粗略、组织结构设置不合理、人员配置不合理、职责划分不明确、人员经验不足、存在不可能实现的夸大情形）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技术和商务偏离表</w:t>
            </w:r>
          </w:p>
          <w:p>
            <w:pPr>
              <w:pStyle w:val="null3"/>
            </w:pPr>
            <w:r>
              <w:rPr>
                <w:rFonts w:ascii="仿宋_GB2312" w:hAnsi="仿宋_GB2312" w:cs="仿宋_GB2312" w:eastAsia="仿宋_GB2312"/>
              </w:rPr>
              <w:t>其他说明</w:t>
            </w:r>
          </w:p>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供应商针对本项目，每提供一台自有或租赁车辆并随车配备专职配送人员的（人员不得重复配备）计1分，本项最高计3分。 注：供应商自有车辆的，须提供运输车辆行驶证复印件（或扫描件）及车辆的彩色照片，并提供配送人员的驾驶证复印件（或扫描件）及在本单位的劳动合同复印件（或扫描件），未按要求提供的不计分。供应商租赁车辆的，须提供有效租赁合同、运输车辆行驶证复印件（或扫描件）及车辆的彩色照片，并提供配送人员的驾驶证复印件（或扫描件）及在本单位的劳动合同复印件（或扫描件），未按要求提供的不计分。以上资料均需加盖供应商公章，否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技术和商务偏离表</w:t>
            </w:r>
          </w:p>
          <w:p>
            <w:pPr>
              <w:pStyle w:val="null3"/>
            </w:pPr>
            <w:r>
              <w:rPr>
                <w:rFonts w:ascii="仿宋_GB2312" w:hAnsi="仿宋_GB2312" w:cs="仿宋_GB2312" w:eastAsia="仿宋_GB2312"/>
              </w:rPr>
              <w:t>其他说明</w:t>
            </w:r>
          </w:p>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 ①食材的质量追溯； ②供应商对食材选定及标准； ③食材配送质量控制方案； ④食材运输质量控制方案。 评审标准：方案内容专门针对本项目编制，切合本项目实际情况及实施要求，内容与要点相符、每个要点均有展开详细的阐述且能够适用于本项目的得12分； 以上评审内容每缺一项扣3分； 每一项评审内容有缺陷扣1分。 （缺陷是指：内容粗略、逻辑混乱、描述过于简单、与项目特点不匹配、凭空编造、逻辑漏洞、出现常识性错误、存在不可能实现的夸大情形）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其他说明</w:t>
            </w:r>
          </w:p>
          <w:p>
            <w:pPr>
              <w:pStyle w:val="null3"/>
            </w:pPr>
            <w:r>
              <w:rPr>
                <w:rFonts w:ascii="仿宋_GB2312" w:hAnsi="仿宋_GB2312" w:cs="仿宋_GB2312" w:eastAsia="仿宋_GB2312"/>
              </w:rPr>
              <w:t>技术和商务偏离表</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 ①车辆故障应急方案； ②食品安全事故应急预案； ③问题食材更换等特殊情况； ④针对采购人临时采购需求、恶劣天气影响、重大节假日或活动等特殊情况等制定应急方案。 评审标准：方案内容专门针对本项目编制，切合本项目实际情况及实施要求，内容与要点相符、每个要点均有展开详细的阐述且能够适用于本项目的得10分 以上评审内容每缺一项扣2.5分； 每一项评审内容有缺陷扣0.5分。 （缺陷是指：内容粗略、逻辑混乱、描述过于简单、与项目特点不匹配、凭空编造、逻辑漏洞、出现常识性错误、存在不可能实现的夸大情形）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技术和商务偏离表</w:t>
            </w:r>
          </w:p>
          <w:p>
            <w:pPr>
              <w:pStyle w:val="null3"/>
            </w:pPr>
            <w:r>
              <w:rPr>
                <w:rFonts w:ascii="仿宋_GB2312" w:hAnsi="仿宋_GB2312" w:cs="仿宋_GB2312" w:eastAsia="仿宋_GB2312"/>
              </w:rPr>
              <w:t>其他说明</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 ①售后服务机构地址及负责人的联系方式； ②售后服务人员安排； ③售后服务保障措施； ④供货不及时、出现残次品等补货换货解决方案； ⑤产品交付采购方后出现质量问题的响应时间。 评审标准：方案内容专门针对本项目编制，切合本项目实际情况及实施要求，内容与要点相符、每个要点均有展开详细的阐述且能够适用于本项目的得10分； 以上评审内容每缺一项扣2分； 每一项评审内容有缺陷扣1分。 （缺陷是指：内容粗略、逻辑混乱、描述过于简单、与项目特点不匹配、凭空编造、逻辑漏洞、出现常识性错误、存在不可能实现的夸大情形）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其他说明</w:t>
            </w:r>
          </w:p>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技术和商务偏离表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提供供应商2023年1月至响应文件递交截止日类似项目业绩（以合同复印件为准），每提供一份业绩得2分，最高得10分。若提供虚假业绩，一经发现，按无效磋商处理。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w:t>
            </w:r>
          </w:p>
          <w:p>
            <w:pPr>
              <w:pStyle w:val="null3"/>
            </w:pPr>
            <w:r>
              <w:rPr>
                <w:rFonts w:ascii="仿宋_GB2312" w:hAnsi="仿宋_GB2312" w:cs="仿宋_GB2312" w:eastAsia="仿宋_GB2312"/>
              </w:rPr>
              <w:t>业绩</w:t>
            </w:r>
          </w:p>
          <w:p>
            <w:pPr>
              <w:pStyle w:val="null3"/>
            </w:pPr>
            <w:r>
              <w:rPr>
                <w:rFonts w:ascii="仿宋_GB2312" w:hAnsi="仿宋_GB2312" w:cs="仿宋_GB2312" w:eastAsia="仿宋_GB2312"/>
              </w:rPr>
              <w:t>技术和商务偏离表</w:t>
            </w:r>
          </w:p>
          <w:p>
            <w:pPr>
              <w:pStyle w:val="null3"/>
            </w:pPr>
            <w:r>
              <w:rPr>
                <w:rFonts w:ascii="仿宋_GB2312" w:hAnsi="仿宋_GB2312" w:cs="仿宋_GB2312" w:eastAsia="仿宋_GB2312"/>
              </w:rPr>
              <w:t>其他说明</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1.经初审合格的磋商响应文件，其磋商报价为有效磋商报价，对符合政策性扣减的供应商的有效磋商价格进行政策性扣减，并依据扣减后的价格（评审价格）进行价格评审。 2.满足磋商文件实质性要求且最终报价最低（1-下浮率）的供应商的价格为磋商基准价，其价格分15分。 3.磋商报价得分=（磋商基准价/（1-各供应商下浮率））×15的公式计算得分。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详见附件：磋商方案</w:t>
      </w:r>
    </w:p>
    <w:p>
      <w:pPr>
        <w:pStyle w:val="null3"/>
        <w:ind w:firstLine="960"/>
      </w:pPr>
      <w:r>
        <w:rPr>
          <w:rFonts w:ascii="仿宋_GB2312" w:hAnsi="仿宋_GB2312" w:cs="仿宋_GB2312" w:eastAsia="仿宋_GB2312"/>
        </w:rPr>
        <w:t>详见附件：供应商参加政府采购活动承诺书</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详见附件：其他说明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详见附件：西安市莲湖区西关街道办事处机关食堂配送服务采购合同.docx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