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E7D12">
      <w:pPr>
        <w:jc w:val="center"/>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拟签订的合同文本</w:t>
      </w:r>
    </w:p>
    <w:p w14:paraId="5BC2A275">
      <w:pPr>
        <w:jc w:val="center"/>
        <w:rPr>
          <w:rFonts w:hint="eastAsia" w:ascii="仿宋" w:hAnsi="仿宋" w:eastAsia="仿宋" w:cs="仿宋"/>
          <w:b/>
          <w:bCs/>
          <w:color w:val="auto"/>
          <w:sz w:val="44"/>
          <w:szCs w:val="44"/>
          <w:lang w:eastAsia="zh-CN"/>
        </w:rPr>
      </w:pPr>
    </w:p>
    <w:p w14:paraId="24D0B326">
      <w:pPr>
        <w:jc w:val="center"/>
        <w:rPr>
          <w:rFonts w:hint="eastAsia" w:ascii="仿宋" w:hAnsi="仿宋" w:eastAsia="仿宋" w:cs="仿宋"/>
          <w:b/>
          <w:bCs/>
          <w:color w:val="auto"/>
          <w:sz w:val="44"/>
          <w:szCs w:val="44"/>
          <w:lang w:eastAsia="zh-CN"/>
        </w:rPr>
      </w:pPr>
    </w:p>
    <w:p w14:paraId="661DE919">
      <w:pPr>
        <w:jc w:val="center"/>
        <w:rPr>
          <w:rFonts w:hint="eastAsia" w:ascii="仿宋" w:hAnsi="仿宋" w:eastAsia="仿宋" w:cs="仿宋"/>
          <w:b/>
          <w:bCs/>
          <w:color w:val="auto"/>
          <w:sz w:val="44"/>
          <w:szCs w:val="44"/>
          <w:lang w:eastAsia="zh-CN"/>
        </w:rPr>
      </w:pPr>
    </w:p>
    <w:p w14:paraId="6D4F5B48">
      <w:pPr>
        <w:jc w:val="center"/>
        <w:rPr>
          <w:rFonts w:hint="eastAsia" w:ascii="仿宋" w:hAnsi="仿宋" w:eastAsia="仿宋" w:cs="仿宋"/>
          <w:b/>
          <w:bCs/>
          <w:color w:val="auto"/>
          <w:sz w:val="44"/>
          <w:szCs w:val="44"/>
          <w:lang w:eastAsia="zh-CN"/>
        </w:rPr>
      </w:pPr>
    </w:p>
    <w:p w14:paraId="1F3B0A59">
      <w:pPr>
        <w:jc w:val="center"/>
        <w:rPr>
          <w:rFonts w:hint="eastAsia" w:ascii="仿宋" w:hAnsi="仿宋" w:eastAsia="仿宋" w:cs="仿宋"/>
          <w:b/>
          <w:bCs/>
          <w:color w:val="auto"/>
          <w:sz w:val="44"/>
          <w:szCs w:val="44"/>
          <w:lang w:eastAsia="zh-CN"/>
        </w:rPr>
      </w:pPr>
    </w:p>
    <w:p w14:paraId="4F43EFF0">
      <w:pPr>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西安市莲湖区西关街道办事处</w:t>
      </w:r>
    </w:p>
    <w:p w14:paraId="44F25CD3">
      <w:pPr>
        <w:jc w:val="center"/>
        <w:rPr>
          <w:rFonts w:hint="eastAsia" w:ascii="仿宋" w:hAnsi="仿宋" w:eastAsia="仿宋" w:cs="仿宋"/>
          <w:b/>
          <w:bCs/>
          <w:color w:val="auto"/>
          <w:sz w:val="44"/>
          <w:szCs w:val="44"/>
          <w:lang w:eastAsia="zh-CN"/>
        </w:rPr>
      </w:pPr>
    </w:p>
    <w:p w14:paraId="0D27C20F">
      <w:pPr>
        <w:jc w:val="center"/>
        <w:rPr>
          <w:rFonts w:hint="eastAsia" w:ascii="仿宋" w:hAnsi="仿宋" w:eastAsia="仿宋" w:cs="仿宋"/>
          <w:color w:val="auto"/>
          <w:sz w:val="44"/>
          <w:szCs w:val="44"/>
        </w:rPr>
      </w:pPr>
      <w:r>
        <w:rPr>
          <w:rFonts w:hint="eastAsia" w:ascii="仿宋" w:hAnsi="仿宋" w:eastAsia="仿宋" w:cs="仿宋"/>
          <w:b/>
          <w:bCs/>
          <w:color w:val="auto"/>
          <w:sz w:val="44"/>
          <w:szCs w:val="44"/>
          <w:lang w:eastAsia="zh-CN"/>
        </w:rPr>
        <w:t>机关食堂配送服务</w:t>
      </w:r>
    </w:p>
    <w:p w14:paraId="3F930F50">
      <w:pPr>
        <w:rPr>
          <w:rFonts w:hint="eastAsia" w:ascii="仿宋" w:hAnsi="仿宋" w:eastAsia="仿宋" w:cs="仿宋"/>
          <w:color w:val="auto"/>
          <w:sz w:val="44"/>
          <w:szCs w:val="44"/>
        </w:rPr>
      </w:pPr>
    </w:p>
    <w:p w14:paraId="417BFA36">
      <w:pPr>
        <w:rPr>
          <w:rFonts w:hint="eastAsia" w:ascii="仿宋" w:hAnsi="仿宋" w:eastAsia="仿宋" w:cs="仿宋"/>
          <w:color w:val="auto"/>
          <w:sz w:val="44"/>
          <w:szCs w:val="44"/>
        </w:rPr>
      </w:pPr>
    </w:p>
    <w:p w14:paraId="653B7A13">
      <w:pPr>
        <w:jc w:val="center"/>
        <w:rPr>
          <w:rFonts w:hint="eastAsia" w:ascii="仿宋" w:hAnsi="仿宋" w:eastAsia="仿宋" w:cs="仿宋"/>
          <w:color w:val="auto"/>
          <w:sz w:val="44"/>
          <w:szCs w:val="44"/>
        </w:rPr>
      </w:pPr>
      <w:r>
        <w:rPr>
          <w:rFonts w:hint="eastAsia" w:ascii="仿宋" w:hAnsi="仿宋" w:eastAsia="仿宋" w:cs="仿宋"/>
          <w:color w:val="auto"/>
          <w:sz w:val="44"/>
          <w:szCs w:val="44"/>
        </w:rPr>
        <w:t>采购合同</w:t>
      </w:r>
    </w:p>
    <w:p w14:paraId="00374885">
      <w:pPr>
        <w:jc w:val="center"/>
        <w:rPr>
          <w:rFonts w:hint="eastAsia" w:ascii="仿宋" w:hAnsi="仿宋" w:eastAsia="仿宋" w:cs="仿宋"/>
          <w:color w:val="auto"/>
          <w:sz w:val="44"/>
          <w:szCs w:val="44"/>
        </w:rPr>
      </w:pPr>
    </w:p>
    <w:p w14:paraId="667FE710">
      <w:pPr>
        <w:jc w:val="center"/>
        <w:rPr>
          <w:rFonts w:hint="eastAsia" w:ascii="仿宋" w:hAnsi="仿宋" w:eastAsia="仿宋" w:cs="仿宋"/>
          <w:color w:val="auto"/>
          <w:sz w:val="44"/>
          <w:szCs w:val="44"/>
        </w:rPr>
      </w:pPr>
    </w:p>
    <w:p w14:paraId="093B3D34">
      <w:pPr>
        <w:pStyle w:val="2"/>
        <w:jc w:val="center"/>
        <w:rPr>
          <w:rFonts w:hint="eastAsia" w:ascii="仿宋" w:hAnsi="仿宋" w:eastAsia="仿宋" w:cs="仿宋"/>
          <w:color w:val="auto"/>
        </w:rPr>
      </w:pPr>
    </w:p>
    <w:p w14:paraId="553D53BF">
      <w:pPr>
        <w:rPr>
          <w:rFonts w:hint="eastAsia" w:ascii="仿宋" w:hAnsi="仿宋" w:eastAsia="仿宋" w:cs="仿宋"/>
          <w:color w:val="auto"/>
        </w:rPr>
      </w:pPr>
    </w:p>
    <w:p w14:paraId="5BDBA2AC">
      <w:pPr>
        <w:pStyle w:val="2"/>
        <w:rPr>
          <w:rFonts w:hint="eastAsia" w:ascii="仿宋" w:hAnsi="仿宋" w:eastAsia="仿宋" w:cs="仿宋"/>
          <w:color w:val="auto"/>
        </w:rPr>
      </w:pPr>
    </w:p>
    <w:p w14:paraId="67A7B5E1">
      <w:pPr>
        <w:jc w:val="center"/>
        <w:rPr>
          <w:rFonts w:hint="eastAsia" w:ascii="仿宋" w:hAnsi="仿宋" w:eastAsia="仿宋" w:cs="仿宋"/>
          <w:color w:val="auto"/>
          <w:sz w:val="48"/>
          <w:szCs w:val="48"/>
        </w:rPr>
      </w:pPr>
      <w:r>
        <w:rPr>
          <w:rFonts w:hint="eastAsia" w:ascii="仿宋" w:hAnsi="仿宋" w:eastAsia="仿宋" w:cs="仿宋"/>
          <w:color w:val="auto"/>
          <w:sz w:val="48"/>
          <w:szCs w:val="48"/>
        </w:rPr>
        <w:br w:type="page"/>
      </w:r>
    </w:p>
    <w:p w14:paraId="61084C80">
      <w:pPr>
        <w:spacing w:line="360" w:lineRule="auto"/>
        <w:rPr>
          <w:rFonts w:hint="eastAsia" w:ascii="仿宋" w:hAnsi="仿宋" w:eastAsia="仿宋" w:cs="仿宋"/>
          <w:color w:val="auto"/>
        </w:rPr>
      </w:pPr>
      <w:r>
        <w:rPr>
          <w:rFonts w:hint="eastAsia" w:ascii="仿宋" w:hAnsi="仿宋" w:eastAsia="仿宋" w:cs="仿宋"/>
          <w:color w:val="auto"/>
        </w:rPr>
        <w:t>采购人（全称）：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774D4449">
      <w:pPr>
        <w:spacing w:line="360" w:lineRule="auto"/>
        <w:rPr>
          <w:rFonts w:hint="eastAsia" w:ascii="仿宋" w:hAnsi="仿宋" w:eastAsia="仿宋" w:cs="仿宋"/>
          <w:color w:val="auto"/>
        </w:rPr>
      </w:pPr>
      <w:r>
        <w:rPr>
          <w:rFonts w:hint="eastAsia" w:ascii="仿宋" w:hAnsi="仿宋" w:eastAsia="仿宋" w:cs="仿宋"/>
          <w:color w:val="auto"/>
        </w:rPr>
        <w:t>供应商（全称）：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4A801AF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根据《中华人民共和国民法典》及其他有关法律、法规，遵循平等、自愿、公平和诚信的原则，双方就下述项目范围与相关服务事项协商一致，订立本合同。</w:t>
      </w:r>
    </w:p>
    <w:p w14:paraId="2A8ECAE1">
      <w:pPr>
        <w:spacing w:line="360" w:lineRule="auto"/>
        <w:rPr>
          <w:rFonts w:hint="eastAsia" w:ascii="仿宋" w:hAnsi="仿宋" w:eastAsia="仿宋" w:cs="仿宋"/>
          <w:b/>
          <w:bCs/>
          <w:color w:val="auto"/>
        </w:rPr>
      </w:pPr>
      <w:r>
        <w:rPr>
          <w:rFonts w:hint="eastAsia" w:ascii="仿宋" w:hAnsi="仿宋" w:eastAsia="仿宋" w:cs="仿宋"/>
          <w:b/>
          <w:bCs/>
          <w:color w:val="auto"/>
        </w:rPr>
        <w:t>一、项目概况</w:t>
      </w:r>
    </w:p>
    <w:p w14:paraId="1D3F7EE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1.项目名称：</w:t>
      </w:r>
      <w:r>
        <w:rPr>
          <w:rFonts w:hint="eastAsia" w:ascii="仿宋" w:hAnsi="仿宋" w:eastAsia="仿宋" w:cs="仿宋"/>
          <w:color w:val="auto"/>
          <w:u w:val="single"/>
        </w:rPr>
        <w:t xml:space="preserve">              </w:t>
      </w:r>
      <w:r>
        <w:rPr>
          <w:rFonts w:hint="eastAsia" w:ascii="仿宋" w:hAnsi="仿宋" w:eastAsia="仿宋" w:cs="仿宋"/>
          <w:color w:val="auto"/>
        </w:rPr>
        <w:t>；</w:t>
      </w:r>
    </w:p>
    <w:p w14:paraId="075F02F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2.项目地点：</w:t>
      </w:r>
      <w:r>
        <w:rPr>
          <w:rFonts w:hint="eastAsia" w:ascii="仿宋" w:hAnsi="仿宋" w:eastAsia="仿宋" w:cs="仿宋"/>
          <w:color w:val="auto"/>
          <w:u w:val="single"/>
        </w:rPr>
        <w:t>采购人指定地点</w:t>
      </w:r>
      <w:r>
        <w:rPr>
          <w:rFonts w:hint="eastAsia" w:ascii="仿宋" w:hAnsi="仿宋" w:eastAsia="仿宋" w:cs="仿宋"/>
          <w:color w:val="auto"/>
        </w:rPr>
        <w:t>。</w:t>
      </w:r>
    </w:p>
    <w:p w14:paraId="58347B3E">
      <w:pPr>
        <w:spacing w:line="360" w:lineRule="auto"/>
        <w:rPr>
          <w:rFonts w:hint="eastAsia" w:ascii="仿宋" w:hAnsi="仿宋" w:eastAsia="仿宋" w:cs="仿宋"/>
          <w:color w:val="auto"/>
        </w:rPr>
      </w:pPr>
      <w:r>
        <w:rPr>
          <w:rFonts w:hint="eastAsia" w:ascii="仿宋" w:hAnsi="仿宋" w:eastAsia="仿宋" w:cs="仿宋"/>
          <w:b/>
          <w:bCs/>
          <w:color w:val="auto"/>
        </w:rPr>
        <w:t>二、组成本合同的文件</w:t>
      </w:r>
    </w:p>
    <w:p w14:paraId="4479F90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1.协议书；</w:t>
      </w:r>
    </w:p>
    <w:p w14:paraId="48F7AAF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2.成交通知书、磋商响应文件、磋商文件、澄清、补充文件(或委托书)；</w:t>
      </w:r>
    </w:p>
    <w:p w14:paraId="080E0A7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3.相关服务建议书；</w:t>
      </w:r>
    </w:p>
    <w:p w14:paraId="4FCD20FF">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4.附录，即：附表内相关服务的范围和内容；</w:t>
      </w:r>
    </w:p>
    <w:p w14:paraId="07EC7153">
      <w:pPr>
        <w:spacing w:line="360" w:lineRule="auto"/>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0E48D7B5">
      <w:pPr>
        <w:spacing w:line="360" w:lineRule="auto"/>
        <w:rPr>
          <w:rFonts w:hint="eastAsia" w:ascii="仿宋" w:hAnsi="仿宋" w:eastAsia="仿宋" w:cs="仿宋"/>
          <w:b/>
          <w:bCs/>
          <w:color w:val="auto"/>
        </w:rPr>
      </w:pPr>
      <w:r>
        <w:rPr>
          <w:rFonts w:hint="eastAsia" w:ascii="仿宋" w:hAnsi="仿宋" w:eastAsia="仿宋" w:cs="仿宋"/>
          <w:b/>
          <w:bCs/>
          <w:color w:val="auto"/>
        </w:rPr>
        <w:t>三、合同价款</w:t>
      </w:r>
    </w:p>
    <w:p w14:paraId="4DA6BA26">
      <w:pPr>
        <w:ind w:firstLine="480" w:firstLineChars="200"/>
        <w:rPr>
          <w:rFonts w:hint="eastAsia" w:ascii="仿宋" w:hAnsi="仿宋" w:eastAsia="仿宋" w:cs="仿宋"/>
          <w:color w:val="auto"/>
        </w:rPr>
      </w:pPr>
      <w:r>
        <w:rPr>
          <w:rFonts w:hint="eastAsia" w:ascii="仿宋" w:hAnsi="仿宋" w:eastAsia="仿宋" w:cs="仿宋"/>
          <w:color w:val="auto"/>
          <w:lang w:val="en-US" w:eastAsia="zh-CN"/>
        </w:rPr>
        <w:t>下浮率</w:t>
      </w:r>
      <w:r>
        <w:rPr>
          <w:rFonts w:hint="eastAsia" w:ascii="仿宋" w:hAnsi="仿宋" w:eastAsia="仿宋" w:cs="仿宋"/>
          <w:color w:val="auto"/>
        </w:rPr>
        <w:t>(大写)：</w:t>
      </w:r>
      <w:r>
        <w:rPr>
          <w:rFonts w:hint="eastAsia" w:ascii="仿宋" w:hAnsi="仿宋" w:eastAsia="仿宋" w:cs="仿宋"/>
          <w:color w:val="auto"/>
          <w:u w:val="single"/>
        </w:rPr>
        <w:t xml:space="preserve">                     </w:t>
      </w:r>
      <w:r>
        <w:rPr>
          <w:rFonts w:hint="eastAsia" w:ascii="仿宋" w:hAnsi="仿宋" w:eastAsia="仿宋" w:cs="仿宋"/>
          <w:color w:val="auto"/>
        </w:rPr>
        <w:t xml:space="preserve"> (</w:t>
      </w:r>
      <w:r>
        <w:rPr>
          <w:rFonts w:hint="eastAsia" w:ascii="仿宋" w:hAnsi="仿宋" w:eastAsia="仿宋" w:cs="仿宋"/>
          <w:color w:val="auto"/>
          <w:lang w:val="en-US" w:eastAsia="zh-CN"/>
        </w:rPr>
        <w:t>小写：</w:t>
      </w:r>
      <w:r>
        <w:rPr>
          <w:rFonts w:hint="eastAsia" w:ascii="仿宋" w:hAnsi="仿宋" w:eastAsia="仿宋" w:cs="仿宋"/>
          <w:color w:val="auto"/>
          <w:u w:val="single"/>
        </w:rPr>
        <w:t xml:space="preserve">              </w:t>
      </w:r>
      <w:r>
        <w:rPr>
          <w:rFonts w:hint="eastAsia" w:ascii="仿宋" w:hAnsi="仿宋" w:eastAsia="仿宋" w:cs="仿宋"/>
          <w:color w:val="auto"/>
        </w:rPr>
        <w:t>)。</w:t>
      </w:r>
    </w:p>
    <w:p w14:paraId="3D2F664E">
      <w:pPr>
        <w:spacing w:line="360" w:lineRule="auto"/>
        <w:rPr>
          <w:rFonts w:hint="eastAsia" w:ascii="仿宋" w:hAnsi="仿宋" w:eastAsia="仿宋" w:cs="仿宋"/>
          <w:b/>
          <w:bCs/>
          <w:color w:val="auto"/>
        </w:rPr>
      </w:pPr>
      <w:r>
        <w:rPr>
          <w:rFonts w:hint="eastAsia" w:ascii="仿宋" w:hAnsi="仿宋" w:eastAsia="仿宋" w:cs="仿宋"/>
          <w:b/>
          <w:bCs/>
          <w:color w:val="auto"/>
        </w:rPr>
        <w:t>四、付款方式</w:t>
      </w:r>
    </w:p>
    <w:p w14:paraId="05ABEB9E">
      <w:pPr>
        <w:spacing w:line="360" w:lineRule="auto"/>
        <w:ind w:firstLine="480" w:firstLineChars="200"/>
        <w:rPr>
          <w:rFonts w:hint="default" w:ascii="仿宋" w:hAnsi="仿宋" w:eastAsia="仿宋" w:cs="仿宋"/>
          <w:color w:val="auto"/>
          <w:lang w:val="en-US" w:eastAsia="zh-CN"/>
        </w:rPr>
      </w:pPr>
      <w:r>
        <w:rPr>
          <w:rFonts w:hint="eastAsia" w:ascii="仿宋" w:hAnsi="仿宋" w:eastAsia="仿宋" w:cs="仿宋"/>
          <w:color w:val="auto"/>
          <w:lang w:val="en-US" w:eastAsia="zh-CN"/>
        </w:rPr>
        <w:t>1.</w:t>
      </w:r>
      <w:r>
        <w:rPr>
          <w:rFonts w:hint="eastAsia" w:ascii="仿宋" w:hAnsi="仿宋" w:eastAsia="仿宋" w:cs="仿宋"/>
          <w:color w:val="auto"/>
        </w:rPr>
        <w:t>支付方式</w:t>
      </w:r>
      <w:r>
        <w:rPr>
          <w:rFonts w:hint="eastAsia" w:ascii="仿宋" w:hAnsi="仿宋" w:eastAsia="仿宋" w:cs="仿宋"/>
          <w:color w:val="auto"/>
          <w:lang w:eastAsia="zh-CN"/>
        </w:rPr>
        <w:t>：</w:t>
      </w:r>
      <w:r>
        <w:rPr>
          <w:rFonts w:hint="eastAsia" w:ascii="仿宋" w:hAnsi="仿宋" w:eastAsia="仿宋" w:cs="仿宋"/>
          <w:color w:val="auto"/>
          <w:lang w:val="en-US" w:eastAsia="zh-CN"/>
        </w:rPr>
        <w:t>分期付款</w:t>
      </w:r>
    </w:p>
    <w:p w14:paraId="62D109D2">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.支付约定：</w:t>
      </w:r>
    </w:p>
    <w:p w14:paraId="2DC19500">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rPr>
      </w:pPr>
      <w:r>
        <w:rPr>
          <w:rFonts w:hint="eastAsia" w:ascii="仿宋" w:hAnsi="仿宋" w:eastAsia="仿宋" w:cs="仿宋"/>
          <w:color w:val="auto"/>
        </w:rPr>
        <w:t>进度款，按季度据实结算，具体以实际签订合同为准，达到付款条件起30个工作日内，支付合同总金额的25.0%</w:t>
      </w:r>
    </w:p>
    <w:p w14:paraId="4E7A515C">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rPr>
      </w:pPr>
      <w:r>
        <w:rPr>
          <w:rFonts w:hint="eastAsia" w:ascii="仿宋" w:hAnsi="仿宋" w:eastAsia="仿宋" w:cs="仿宋"/>
          <w:color w:val="auto"/>
        </w:rPr>
        <w:t>进度款，按季度据实结算，具体以实际签订合同为准，达到付款条件起30个工作日内，支付合同总金额的25.0%</w:t>
      </w:r>
    </w:p>
    <w:p w14:paraId="5739BDE7">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rPr>
      </w:pPr>
      <w:r>
        <w:rPr>
          <w:rFonts w:hint="eastAsia" w:ascii="仿宋" w:hAnsi="仿宋" w:eastAsia="仿宋" w:cs="仿宋"/>
          <w:color w:val="auto"/>
        </w:rPr>
        <w:t>进度款，按季度据实结算，具体以实际签订合同为准，达到付款条件起30个工作日内，支付合同总金额的25.0%</w:t>
      </w:r>
    </w:p>
    <w:p w14:paraId="13A0DE64">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rPr>
      </w:pPr>
      <w:r>
        <w:rPr>
          <w:rFonts w:hint="eastAsia" w:ascii="仿宋" w:hAnsi="仿宋" w:eastAsia="仿宋" w:cs="仿宋"/>
          <w:color w:val="auto"/>
        </w:rPr>
        <w:t>进度款，按季度据实结算，具体以实际签订合同为准，达到付款条件起30个工作日内，支付合同总金额的25.0%</w:t>
      </w:r>
    </w:p>
    <w:p w14:paraId="7A00086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w:t>
      </w:r>
      <w:r>
        <w:rPr>
          <w:rFonts w:hint="eastAsia" w:ascii="仿宋" w:hAnsi="仿宋" w:eastAsia="仿宋" w:cs="仿宋"/>
          <w:color w:val="auto"/>
          <w:lang w:val="en-US" w:eastAsia="zh-CN"/>
        </w:rPr>
        <w:t>结算方式</w:t>
      </w:r>
      <w:r>
        <w:rPr>
          <w:rFonts w:hint="eastAsia" w:ascii="仿宋" w:hAnsi="仿宋" w:eastAsia="仿宋" w:cs="仿宋"/>
          <w:color w:val="auto"/>
        </w:rPr>
        <w:t>：银行转账。</w:t>
      </w:r>
    </w:p>
    <w:p w14:paraId="779D980C">
      <w:pPr>
        <w:spacing w:line="360" w:lineRule="auto"/>
        <w:rPr>
          <w:rFonts w:hint="eastAsia" w:ascii="仿宋" w:hAnsi="仿宋" w:eastAsia="仿宋" w:cs="仿宋"/>
          <w:b w:val="0"/>
          <w:bCs w:val="0"/>
          <w:color w:val="auto"/>
          <w:highlight w:val="none"/>
        </w:rPr>
      </w:pPr>
      <w:r>
        <w:rPr>
          <w:rFonts w:hint="eastAsia" w:ascii="仿宋" w:hAnsi="仿宋" w:eastAsia="仿宋" w:cs="仿宋"/>
          <w:b/>
          <w:bCs/>
          <w:color w:val="auto"/>
          <w:highlight w:val="none"/>
        </w:rPr>
        <w:t>五、服务期</w:t>
      </w:r>
      <w:r>
        <w:rPr>
          <w:rFonts w:hint="eastAsia" w:ascii="仿宋" w:hAnsi="仿宋" w:eastAsia="仿宋" w:cs="仿宋"/>
          <w:b w:val="0"/>
          <w:bCs w:val="0"/>
          <w:color w:val="auto"/>
          <w:highlight w:val="none"/>
        </w:rPr>
        <w:t>：自合同签订之日起</w:t>
      </w:r>
      <w:r>
        <w:rPr>
          <w:rFonts w:hint="eastAsia" w:ascii="仿宋" w:hAnsi="仿宋" w:eastAsia="仿宋" w:cs="仿宋"/>
          <w:b w:val="0"/>
          <w:bCs w:val="0"/>
          <w:color w:val="auto"/>
          <w:highlight w:val="none"/>
          <w:lang w:val="en-US" w:eastAsia="zh-CN"/>
        </w:rPr>
        <w:t>两</w:t>
      </w:r>
      <w:r>
        <w:rPr>
          <w:rFonts w:hint="eastAsia" w:ascii="仿宋" w:hAnsi="仿宋" w:eastAsia="仿宋" w:cs="仿宋"/>
          <w:b w:val="0"/>
          <w:bCs w:val="0"/>
          <w:color w:val="auto"/>
          <w:highlight w:val="none"/>
        </w:rPr>
        <w:t>年。</w:t>
      </w:r>
    </w:p>
    <w:p w14:paraId="4D2600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本项目总服务期限为2年，采用一年一签、考核续签方式，首年合同期1年。续签考核机制如下（月度质量考核表详见合同附件）：</w:t>
      </w:r>
    </w:p>
    <w:p w14:paraId="092399A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上一年度服务综合考核平均得分≥85分，无重大违约、无安全责任事故、无有效投诉且整改到位。（详见月度质量考核表）</w:t>
      </w:r>
    </w:p>
    <w:p w14:paraId="76334FE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续签年度服务单价、总价、结算方式与首年合同完全一致，不得提高。</w:t>
      </w:r>
    </w:p>
    <w:p w14:paraId="7C71583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成交供应商主体资格、服务团队、服务标准未发生实质性变更，能持续满足采购人需求。</w:t>
      </w:r>
    </w:p>
    <w:p w14:paraId="3EE0C10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供应商上一年度无政府采购违法违规记录，未被列入失信名单。</w:t>
      </w:r>
    </w:p>
    <w:p w14:paraId="65C3CAB8">
      <w:pPr>
        <w:spacing w:line="360" w:lineRule="auto"/>
        <w:rPr>
          <w:rFonts w:hint="eastAsia" w:ascii="仿宋" w:hAnsi="仿宋" w:eastAsia="仿宋" w:cs="仿宋"/>
          <w:color w:val="auto"/>
          <w:lang w:val="en-US" w:eastAsia="zh-CN"/>
        </w:rPr>
      </w:pPr>
      <w:r>
        <w:rPr>
          <w:rFonts w:hint="eastAsia" w:ascii="仿宋" w:hAnsi="仿宋" w:eastAsia="仿宋" w:cs="仿宋"/>
          <w:b/>
          <w:bCs/>
          <w:color w:val="auto"/>
          <w:lang w:val="en-US" w:eastAsia="zh-CN"/>
        </w:rPr>
        <w:t>六、质量保证</w:t>
      </w:r>
    </w:p>
    <w:p w14:paraId="55BF914C">
      <w:pPr>
        <w:spacing w:line="360" w:lineRule="auto"/>
        <w:ind w:firstLine="468" w:firstLineChars="200"/>
        <w:rPr>
          <w:rFonts w:hint="eastAsia" w:ascii="仿宋" w:hAnsi="仿宋" w:eastAsia="仿宋" w:cs="仿宋"/>
          <w:spacing w:val="-3"/>
          <w:kern w:val="2"/>
          <w:sz w:val="24"/>
          <w:szCs w:val="24"/>
          <w:highlight w:val="none"/>
          <w:lang w:val="en-US" w:eastAsia="zh-CN" w:bidi="ar-SA"/>
        </w:rPr>
      </w:pPr>
      <w:r>
        <w:rPr>
          <w:rFonts w:hint="eastAsia" w:ascii="仿宋" w:hAnsi="仿宋" w:eastAsia="仿宋" w:cs="仿宋"/>
          <w:spacing w:val="-3"/>
          <w:kern w:val="2"/>
          <w:sz w:val="24"/>
          <w:szCs w:val="24"/>
          <w:highlight w:val="none"/>
          <w:lang w:val="en-US" w:eastAsia="zh-CN" w:bidi="ar-SA"/>
        </w:rPr>
        <w:t>乙方所供货物必须执行下列条款：</w:t>
      </w:r>
    </w:p>
    <w:p w14:paraId="243C9840">
      <w:pPr>
        <w:spacing w:line="360" w:lineRule="auto"/>
        <w:ind w:firstLine="468" w:firstLineChars="200"/>
        <w:rPr>
          <w:rFonts w:hint="eastAsia" w:ascii="仿宋" w:hAnsi="仿宋" w:eastAsia="仿宋" w:cs="仿宋"/>
          <w:spacing w:val="-3"/>
          <w:kern w:val="2"/>
          <w:sz w:val="24"/>
          <w:szCs w:val="24"/>
          <w:highlight w:val="none"/>
          <w:lang w:val="en-US" w:eastAsia="zh-CN" w:bidi="ar-SA"/>
        </w:rPr>
      </w:pPr>
      <w:r>
        <w:rPr>
          <w:rFonts w:hint="eastAsia" w:ascii="仿宋" w:hAnsi="仿宋" w:eastAsia="仿宋" w:cs="仿宋"/>
          <w:spacing w:val="-3"/>
          <w:kern w:val="2"/>
          <w:sz w:val="24"/>
          <w:szCs w:val="24"/>
          <w:highlight w:val="none"/>
          <w:lang w:val="en-US" w:eastAsia="zh-CN" w:bidi="ar-SA"/>
        </w:rPr>
        <w:t>1、乙方所供食材保证技术指标符合要求、质量可靠、进货渠道正常，符合国家《产品质量法》、《食品安全法》等相关法律、法规要求。</w:t>
      </w:r>
    </w:p>
    <w:p w14:paraId="5E12C35A">
      <w:pPr>
        <w:spacing w:line="360" w:lineRule="auto"/>
        <w:ind w:firstLine="468" w:firstLineChars="200"/>
        <w:rPr>
          <w:rFonts w:hint="eastAsia" w:ascii="仿宋" w:hAnsi="仿宋" w:eastAsia="仿宋" w:cs="仿宋"/>
          <w:spacing w:val="-3"/>
          <w:kern w:val="2"/>
          <w:sz w:val="24"/>
          <w:szCs w:val="24"/>
          <w:highlight w:val="none"/>
          <w:lang w:val="en-US" w:eastAsia="zh-CN" w:bidi="ar-SA"/>
        </w:rPr>
      </w:pPr>
      <w:r>
        <w:rPr>
          <w:rFonts w:hint="eastAsia" w:ascii="仿宋" w:hAnsi="仿宋" w:eastAsia="仿宋" w:cs="仿宋"/>
          <w:spacing w:val="-3"/>
          <w:kern w:val="2"/>
          <w:sz w:val="24"/>
          <w:szCs w:val="24"/>
          <w:highlight w:val="none"/>
          <w:lang w:val="en-US" w:eastAsia="zh-CN" w:bidi="ar-SA"/>
        </w:rPr>
        <w:t>2、生产工艺符合国家要求。</w:t>
      </w:r>
    </w:p>
    <w:p w14:paraId="39092AC5">
      <w:pPr>
        <w:spacing w:line="360" w:lineRule="auto"/>
        <w:ind w:firstLine="468" w:firstLineChars="200"/>
        <w:rPr>
          <w:rFonts w:hint="eastAsia" w:ascii="仿宋" w:hAnsi="仿宋" w:eastAsia="仿宋" w:cs="仿宋"/>
          <w:spacing w:val="-3"/>
          <w:kern w:val="2"/>
          <w:sz w:val="24"/>
          <w:szCs w:val="24"/>
          <w:highlight w:val="none"/>
          <w:lang w:val="en-US" w:eastAsia="zh-CN" w:bidi="ar-SA"/>
        </w:rPr>
      </w:pPr>
      <w:r>
        <w:rPr>
          <w:rFonts w:hint="eastAsia" w:ascii="仿宋" w:hAnsi="仿宋" w:eastAsia="仿宋" w:cs="仿宋"/>
          <w:spacing w:val="-3"/>
          <w:kern w:val="2"/>
          <w:sz w:val="24"/>
          <w:szCs w:val="24"/>
          <w:highlight w:val="none"/>
          <w:lang w:val="en-US" w:eastAsia="zh-CN" w:bidi="ar-SA"/>
        </w:rPr>
        <w:t>3、食材包装及标识符合国家有关规范要求。</w:t>
      </w:r>
    </w:p>
    <w:p w14:paraId="6F4EA114">
      <w:pPr>
        <w:spacing w:line="360" w:lineRule="auto"/>
        <w:ind w:firstLine="468" w:firstLineChars="200"/>
        <w:rPr>
          <w:rFonts w:hint="eastAsia" w:ascii="仿宋" w:hAnsi="仿宋" w:eastAsia="仿宋" w:cs="仿宋"/>
          <w:spacing w:val="-3"/>
          <w:kern w:val="2"/>
          <w:sz w:val="24"/>
          <w:szCs w:val="24"/>
          <w:highlight w:val="none"/>
          <w:lang w:val="en-US" w:eastAsia="zh-CN" w:bidi="ar-SA"/>
        </w:rPr>
      </w:pPr>
      <w:r>
        <w:rPr>
          <w:rFonts w:hint="eastAsia" w:ascii="仿宋" w:hAnsi="仿宋" w:eastAsia="仿宋" w:cs="仿宋"/>
          <w:spacing w:val="-3"/>
          <w:kern w:val="2"/>
          <w:sz w:val="24"/>
          <w:szCs w:val="24"/>
          <w:highlight w:val="none"/>
          <w:lang w:val="en-US" w:eastAsia="zh-CN" w:bidi="ar-SA"/>
        </w:rPr>
        <w:t>4、质保期：本项目的“质保期”特指食材在验收合格后，在采购人规定的储存条件下，必须保持其承诺的安全、新鲜及食用品质的期限。</w:t>
      </w:r>
    </w:p>
    <w:p w14:paraId="6DE839A1">
      <w:pPr>
        <w:spacing w:line="360" w:lineRule="auto"/>
        <w:ind w:firstLine="468" w:firstLineChars="200"/>
        <w:rPr>
          <w:rFonts w:hint="eastAsia" w:ascii="仿宋" w:hAnsi="仿宋" w:eastAsia="仿宋" w:cs="仿宋"/>
          <w:spacing w:val="-3"/>
          <w:kern w:val="2"/>
          <w:sz w:val="24"/>
          <w:szCs w:val="24"/>
          <w:highlight w:val="none"/>
          <w:lang w:val="en-US" w:eastAsia="zh-CN" w:bidi="ar-SA"/>
        </w:rPr>
      </w:pPr>
      <w:r>
        <w:rPr>
          <w:rFonts w:hint="eastAsia" w:ascii="仿宋" w:hAnsi="仿宋" w:eastAsia="仿宋" w:cs="仿宋"/>
          <w:spacing w:val="-3"/>
          <w:kern w:val="2"/>
          <w:sz w:val="24"/>
          <w:szCs w:val="24"/>
          <w:highlight w:val="none"/>
          <w:lang w:val="en-US" w:eastAsia="zh-CN" w:bidi="ar-SA"/>
        </w:rPr>
        <w:t>①质保期定义：对于生鲜食材（蔬菜、水果、鲜活水产、鲜肉等），质保期指从验收合格后至当日用餐结束。供应商必须保证食材在该时段内能满足烹饪和食用的新鲜度与安全性要求。对于冷冻、冷藏及预包装食材，质保期必须远远超过其从配送至被消耗完毕的整个周期。验收时，其剩余保质期必须符合以下要求：保质期一年以上的（如粮油、调味品），剩余保质期不得低于总保质期的三分之二。保质期半年以上不足一年的，剩余保质期不得低于四个月。保质期90天以上不足半年的，剩余保质期不得低于三分之二。保质期30天以上不足90天的，剩余保质期不得低于二分之一，且不得少于30天。保质期少于30天的（如短保奶制品、豆制品），剩余保质期不得低于总保质期的三分之二。</w:t>
      </w:r>
    </w:p>
    <w:p w14:paraId="23A84FB8">
      <w:pPr>
        <w:spacing w:line="360" w:lineRule="auto"/>
        <w:ind w:firstLine="468" w:firstLineChars="200"/>
        <w:rPr>
          <w:rFonts w:hint="eastAsia" w:ascii="仿宋" w:hAnsi="仿宋" w:eastAsia="仿宋" w:cs="仿宋"/>
          <w:color w:val="auto"/>
        </w:rPr>
      </w:pPr>
      <w:r>
        <w:rPr>
          <w:rFonts w:hint="eastAsia" w:ascii="仿宋" w:hAnsi="仿宋" w:eastAsia="仿宋" w:cs="仿宋"/>
          <w:spacing w:val="-3"/>
          <w:kern w:val="2"/>
          <w:sz w:val="24"/>
          <w:szCs w:val="24"/>
          <w:highlight w:val="none"/>
          <w:lang w:val="en-US" w:eastAsia="zh-CN" w:bidi="ar-SA"/>
        </w:rPr>
        <w:t>②质保期责任：在质保期内，因产品本身质量问题（如非人为导致的腐败、变质、异味等）导致无法食用的，供应商应在接到采购人通知后2小时内无条件进行退换货，并承担由此产生的一切费用，且不得影响食堂的正常运营。严禁供应商提供临期、过期产品或篡改生产日期，一经发现，将视为重大违约行为，并依据合同条款进行严厉处罚。</w:t>
      </w:r>
    </w:p>
    <w:p w14:paraId="6D9239B5">
      <w:pPr>
        <w:spacing w:line="360" w:lineRule="auto"/>
        <w:rPr>
          <w:rFonts w:hint="eastAsia" w:ascii="仿宋" w:hAnsi="仿宋" w:eastAsia="仿宋" w:cs="仿宋"/>
          <w:color w:val="auto"/>
        </w:rPr>
      </w:pPr>
      <w:r>
        <w:rPr>
          <w:rFonts w:hint="eastAsia" w:ascii="仿宋" w:hAnsi="仿宋" w:eastAsia="仿宋" w:cs="仿宋"/>
          <w:b/>
          <w:bCs w:val="0"/>
          <w:color w:val="auto"/>
          <w:lang w:val="en-US" w:eastAsia="zh-CN"/>
        </w:rPr>
        <w:t>七</w:t>
      </w:r>
      <w:r>
        <w:rPr>
          <w:rFonts w:hint="eastAsia" w:ascii="仿宋" w:hAnsi="仿宋" w:eastAsia="仿宋" w:cs="仿宋"/>
          <w:b/>
          <w:bCs w:val="0"/>
          <w:color w:val="auto"/>
        </w:rPr>
        <w:t>、服务内容及要求</w:t>
      </w:r>
    </w:p>
    <w:p w14:paraId="7014D4D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即交付的服务与磋商响应文件、磋商文件等所指明的，或者与本合同所指明的服务内容相一致。</w:t>
      </w:r>
    </w:p>
    <w:p w14:paraId="7A887086">
      <w:pPr>
        <w:numPr>
          <w:ilvl w:val="0"/>
          <w:numId w:val="0"/>
        </w:numPr>
        <w:spacing w:line="360" w:lineRule="auto"/>
        <w:rPr>
          <w:rFonts w:hint="eastAsia" w:ascii="仿宋" w:hAnsi="仿宋" w:eastAsia="仿宋" w:cs="仿宋"/>
          <w:b/>
          <w:bCs/>
          <w:color w:val="auto"/>
          <w:lang w:val="en-US" w:eastAsia="zh-CN"/>
        </w:rPr>
      </w:pPr>
      <w:r>
        <w:rPr>
          <w:rFonts w:hint="eastAsia" w:ascii="仿宋" w:hAnsi="仿宋" w:eastAsia="仿宋" w:cs="仿宋"/>
          <w:b/>
          <w:bCs/>
          <w:color w:val="auto"/>
          <w:sz w:val="24"/>
          <w:lang w:val="en-US" w:eastAsia="zh-CN" w:bidi="ar-SA"/>
        </w:rPr>
        <w:t>八、</w:t>
      </w:r>
      <w:r>
        <w:rPr>
          <w:rFonts w:hint="eastAsia" w:ascii="仿宋" w:hAnsi="仿宋" w:eastAsia="仿宋" w:cs="仿宋"/>
          <w:b/>
          <w:bCs/>
          <w:color w:val="auto"/>
          <w:lang w:val="en-US" w:eastAsia="zh-CN"/>
        </w:rPr>
        <w:t>验收</w:t>
      </w:r>
    </w:p>
    <w:p w14:paraId="35F6262A">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1.</w:t>
      </w:r>
      <w:r>
        <w:rPr>
          <w:rFonts w:hint="default" w:ascii="仿宋" w:hAnsi="仿宋" w:eastAsia="仿宋" w:cs="仿宋"/>
          <w:color w:val="auto"/>
          <w:sz w:val="24"/>
          <w:lang w:val="en-US" w:eastAsia="zh-CN" w:bidi="ar-SA"/>
        </w:rPr>
        <w:t>验收标准：</w:t>
      </w:r>
    </w:p>
    <w:p w14:paraId="1160FF62">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1.1所有食材的验收工作将由采购人指定的验收小组在货物送达指定地点后现场进行。验收依据包括但不限于本技术要求、供应商响应文件承诺及国家相关标准。供应商须全程配合验收工作。</w:t>
      </w:r>
    </w:p>
    <w:p w14:paraId="3A13BDB5">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1.2感官要求：所有食材必须具有其固有的色泽、气味和形态，新鲜、洁净、无腐烂、霉变、生虫、污秽不洁、混有异物或感官性状异常。</w:t>
      </w:r>
    </w:p>
    <w:p w14:paraId="48472FE8">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1.3证明文件：每批次食材必须随货提供清晰、有效的合格证明文件，包括但不限于：畜禽肉类：须提供当批次的《动物检疫合格证明》及《肉品品质检验合格证》（或具备合规的溯源二维码）。蔬菜类：鼓励提供农产品质量安全检测报告或产地来源证明。预包装食品：包装上必须有完整的标签标识，包括产品名称、生产厂家、生产许可证编号（SC）、生产日期、保质期等。其他品类：根据法律法规要求需提供的其他合格证明文件。</w:t>
      </w:r>
    </w:p>
    <w:p w14:paraId="6A99FAAE">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2.</w:t>
      </w:r>
      <w:r>
        <w:rPr>
          <w:rFonts w:hint="default" w:ascii="仿宋" w:hAnsi="仿宋" w:eastAsia="仿宋" w:cs="仿宋"/>
          <w:color w:val="auto"/>
          <w:sz w:val="24"/>
          <w:lang w:val="en-US" w:eastAsia="zh-CN" w:bidi="ar-SA"/>
        </w:rPr>
        <w:t>验收依据：</w:t>
      </w:r>
    </w:p>
    <w:p w14:paraId="7116238C">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2.1磋商文件</w:t>
      </w:r>
    </w:p>
    <w:p w14:paraId="41691911">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2.2成交供应商的响应文件及食品检验报告单</w:t>
      </w:r>
    </w:p>
    <w:p w14:paraId="7DA86EE1">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2.3合同文本及合同补充文件（条款）</w:t>
      </w:r>
    </w:p>
    <w:p w14:paraId="7CEDFB9E">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2.4生产厂家的企业资质、检验报告、货物的执行标准</w:t>
      </w:r>
    </w:p>
    <w:p w14:paraId="6BC6A7A8">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2.5国家有关的验收标准及规范</w:t>
      </w:r>
    </w:p>
    <w:p w14:paraId="27D29A91">
      <w:pPr>
        <w:spacing w:line="360" w:lineRule="auto"/>
        <w:rPr>
          <w:rFonts w:hint="eastAsia" w:ascii="仿宋" w:hAnsi="仿宋" w:eastAsia="仿宋" w:cs="仿宋"/>
          <w:color w:val="auto"/>
        </w:rPr>
      </w:pPr>
      <w:r>
        <w:rPr>
          <w:rFonts w:hint="eastAsia" w:ascii="仿宋" w:hAnsi="仿宋" w:eastAsia="仿宋" w:cs="仿宋"/>
          <w:b/>
          <w:bCs/>
          <w:color w:val="auto"/>
          <w:lang w:val="en-US" w:eastAsia="zh-CN"/>
        </w:rPr>
        <w:t>九</w:t>
      </w:r>
      <w:r>
        <w:rPr>
          <w:rFonts w:hint="eastAsia" w:ascii="仿宋" w:hAnsi="仿宋" w:eastAsia="仿宋" w:cs="仿宋"/>
          <w:b/>
          <w:bCs/>
          <w:color w:val="auto"/>
        </w:rPr>
        <w:t>、技术要求</w:t>
      </w:r>
    </w:p>
    <w:p w14:paraId="5DCF819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满足竞争性磋商文件中采购内容及技术要求。</w:t>
      </w:r>
    </w:p>
    <w:p w14:paraId="4584D80D">
      <w:pPr>
        <w:spacing w:line="360" w:lineRule="auto"/>
        <w:rPr>
          <w:rFonts w:hint="eastAsia" w:ascii="仿宋" w:hAnsi="仿宋" w:eastAsia="仿宋" w:cs="仿宋"/>
          <w:color w:val="auto"/>
        </w:rPr>
      </w:pPr>
      <w:r>
        <w:rPr>
          <w:rFonts w:hint="eastAsia" w:ascii="仿宋" w:hAnsi="仿宋" w:eastAsia="仿宋" w:cs="仿宋"/>
          <w:b/>
          <w:bCs/>
          <w:color w:val="auto"/>
        </w:rPr>
        <w:t>十、供应责任</w:t>
      </w:r>
    </w:p>
    <w:p w14:paraId="51041A7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依据《中华人民共和国民法典》、《中华人民共和国政府采购法》、《中华人民共和国政府采购法实施条例》的相关条款和本合同约定，成交供应商未全面履行合同义务或者发生违约，采购单位有权终止合同，依法向成交供应商进行经济索赔，并报请政府采购监督管理机关进行相应的行政处罚。采购单位违约的，应当赔偿给成交供应商造成的经济损失。合同执行中发生争议的，当事人双方应协商解决。协商达不成一致时，可向当地行政仲裁机关申请仲裁或者向人民法院提请诉讼。</w:t>
      </w:r>
    </w:p>
    <w:p w14:paraId="06F09BD2">
      <w:pPr>
        <w:spacing w:line="360" w:lineRule="auto"/>
        <w:rPr>
          <w:rFonts w:hint="eastAsia" w:ascii="仿宋" w:hAnsi="仿宋" w:eastAsia="仿宋" w:cs="仿宋"/>
          <w:b/>
          <w:bCs/>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一</w:t>
      </w:r>
      <w:r>
        <w:rPr>
          <w:rFonts w:hint="eastAsia" w:ascii="仿宋" w:hAnsi="仿宋" w:eastAsia="仿宋" w:cs="仿宋"/>
          <w:b/>
          <w:bCs/>
          <w:color w:val="auto"/>
        </w:rPr>
        <w:t>、保密</w:t>
      </w:r>
    </w:p>
    <w:p w14:paraId="333026E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对工作中了解到的采购人的技术、机密等进行严格保密，不得向他人泄漏。本合同的解除或终止不免除供应商应承担的保密义务。</w:t>
      </w:r>
    </w:p>
    <w:p w14:paraId="4A82D54C">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二</w:t>
      </w:r>
      <w:r>
        <w:rPr>
          <w:rFonts w:hint="eastAsia" w:ascii="仿宋" w:hAnsi="仿宋" w:eastAsia="仿宋" w:cs="仿宋"/>
          <w:b/>
          <w:bCs/>
          <w:color w:val="auto"/>
        </w:rPr>
        <w:t>、知识产权</w:t>
      </w:r>
    </w:p>
    <w:p w14:paraId="53A2893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供应商应对所供产品具有或已取得合法知识产权，供应商应保证所供产品及服务不会出现因第三方提出侵犯其专利权、商标权或</w:t>
      </w:r>
      <w:r>
        <w:rPr>
          <w:rFonts w:hint="eastAsia" w:ascii="仿宋" w:hAnsi="仿宋" w:eastAsia="仿宋" w:cs="仿宋"/>
          <w:color w:val="auto"/>
          <w:lang w:eastAsia="zh-CN"/>
        </w:rPr>
        <w:t>其他</w:t>
      </w:r>
      <w:r>
        <w:rPr>
          <w:rFonts w:hint="eastAsia" w:ascii="仿宋" w:hAnsi="仿宋" w:eastAsia="仿宋" w:cs="仿宋"/>
          <w:color w:val="auto"/>
        </w:rPr>
        <w:t>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19ADD0B5">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四</w:t>
      </w:r>
      <w:r>
        <w:rPr>
          <w:rFonts w:hint="eastAsia" w:ascii="仿宋" w:hAnsi="仿宋" w:eastAsia="仿宋" w:cs="仿宋"/>
          <w:b/>
          <w:bCs/>
          <w:color w:val="auto"/>
        </w:rPr>
        <w:t>、合同争议的解决</w:t>
      </w:r>
    </w:p>
    <w:p w14:paraId="4224327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合同执行中发生争议的，当事人双方应协商解决，协商达不成一致时，提交甲方所在地有管辖权的法院诉讼处理。</w:t>
      </w:r>
    </w:p>
    <w:p w14:paraId="22FE89DD">
      <w:pPr>
        <w:spacing w:line="360" w:lineRule="auto"/>
        <w:rPr>
          <w:rFonts w:hint="eastAsia" w:ascii="仿宋" w:hAnsi="仿宋" w:eastAsia="仿宋" w:cs="仿宋"/>
          <w:color w:val="auto"/>
          <w:szCs w:val="24"/>
        </w:rPr>
      </w:pPr>
      <w:r>
        <w:rPr>
          <w:rFonts w:hint="eastAsia" w:ascii="仿宋" w:hAnsi="仿宋" w:eastAsia="仿宋" w:cs="仿宋"/>
          <w:b/>
          <w:bCs/>
          <w:color w:val="auto"/>
          <w:szCs w:val="24"/>
        </w:rPr>
        <w:t>十</w:t>
      </w:r>
      <w:r>
        <w:rPr>
          <w:rFonts w:hint="eastAsia" w:ascii="仿宋" w:hAnsi="仿宋" w:eastAsia="仿宋" w:cs="仿宋"/>
          <w:b/>
          <w:bCs/>
          <w:color w:val="auto"/>
          <w:szCs w:val="24"/>
          <w:lang w:val="en-US" w:eastAsia="zh-CN"/>
        </w:rPr>
        <w:t>五</w:t>
      </w:r>
      <w:r>
        <w:rPr>
          <w:rFonts w:hint="eastAsia" w:ascii="仿宋" w:hAnsi="仿宋" w:eastAsia="仿宋" w:cs="仿宋"/>
          <w:b/>
          <w:bCs/>
          <w:color w:val="auto"/>
          <w:szCs w:val="24"/>
        </w:rPr>
        <w:t>、</w:t>
      </w:r>
      <w:r>
        <w:rPr>
          <w:rFonts w:hint="eastAsia" w:ascii="仿宋" w:hAnsi="仿宋" w:eastAsia="仿宋" w:cs="仿宋"/>
          <w:b/>
          <w:bCs/>
          <w:color w:val="auto"/>
        </w:rPr>
        <w:t>不可抗力情况下的免责约定</w:t>
      </w:r>
    </w:p>
    <w:p w14:paraId="19C5C04C">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双方约定不可抗力情况包括：五级以上地震、大风、大雨、大雪。</w:t>
      </w:r>
    </w:p>
    <w:p w14:paraId="721C046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六</w:t>
      </w:r>
      <w:r>
        <w:rPr>
          <w:rFonts w:hint="eastAsia" w:ascii="仿宋" w:hAnsi="仿宋" w:eastAsia="仿宋" w:cs="仿宋"/>
          <w:b/>
          <w:bCs/>
          <w:color w:val="auto"/>
        </w:rPr>
        <w:t>、除本合同约定，合同一经签订，不得擅自变更、中止或者终止合同。对确需变更、调整或者中止、终止合同的，应按规定履行相应的手续。</w:t>
      </w:r>
    </w:p>
    <w:p w14:paraId="39B8B0B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七</w:t>
      </w:r>
      <w:r>
        <w:rPr>
          <w:rFonts w:hint="eastAsia" w:ascii="仿宋" w:hAnsi="仿宋" w:eastAsia="仿宋" w:cs="仿宋"/>
          <w:b/>
          <w:bCs/>
          <w:color w:val="auto"/>
        </w:rPr>
        <w:t>、违约责任</w:t>
      </w:r>
    </w:p>
    <w:p w14:paraId="34F3AE6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1</w:t>
      </w:r>
      <w:r>
        <w:rPr>
          <w:rFonts w:hint="eastAsia" w:ascii="仿宋" w:hAnsi="仿宋" w:eastAsia="仿宋" w:cs="仿宋"/>
          <w:color w:val="auto"/>
        </w:rPr>
        <w:t>、依据《中华人民共和国民法典》、《中华人民共和国政府采购法》、《中华人民共和国政府采购法实施条例》的相关条款和本合同约定，成交供应商未全面履行合同义务或者发生违约，采购单位有权终止合同，依法向成交供应商进行经济索赔，并报请政府采购监督管理机关进行相应的行政处罚。采购单位违约的，应当赔偿给成交供应商造成的经济损失。合同执行中发生争议的，当事人双方应协商解决。协商达不成一致时，可向当地行政仲裁机关申请仲裁或者向人民法院提请诉讼。</w:t>
      </w:r>
    </w:p>
    <w:p w14:paraId="290D58A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、甲方责任</w:t>
      </w:r>
    </w:p>
    <w:p w14:paraId="347BAEC2">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2.1</w:t>
      </w:r>
      <w:r>
        <w:rPr>
          <w:rFonts w:hint="eastAsia" w:ascii="仿宋" w:hAnsi="仿宋" w:eastAsia="仿宋" w:cs="仿宋"/>
          <w:color w:val="auto"/>
        </w:rPr>
        <w:t>除一方产品不符合本合同约定的型号、质量、技术要求等外，甲方不得中途退换货或拒绝提货。</w:t>
      </w:r>
    </w:p>
    <w:p w14:paraId="326C557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2.2</w:t>
      </w:r>
      <w:r>
        <w:rPr>
          <w:rFonts w:hint="eastAsia" w:ascii="仿宋" w:hAnsi="仿宋" w:eastAsia="仿宋" w:cs="仿宋"/>
          <w:color w:val="auto"/>
        </w:rPr>
        <w:t>甲方未按合同约定的时间向乙方付款，应每逾期一日按逾期付款的 / 向乙方支付违约金，最高不超过逾期付款额的  /  。</w:t>
      </w:r>
    </w:p>
    <w:p w14:paraId="3B9ACD3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、乙方责任</w:t>
      </w:r>
    </w:p>
    <w:p w14:paraId="3D22140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3.1</w:t>
      </w:r>
      <w:r>
        <w:rPr>
          <w:rFonts w:hint="eastAsia" w:ascii="仿宋" w:hAnsi="仿宋" w:eastAsia="仿宋" w:cs="仿宋"/>
          <w:color w:val="auto"/>
        </w:rPr>
        <w:t>乙方未能按期履行合同或乙方未按合同要求提供货物或货物质量不能满足招标技术要求，甲方有权解除合同，并对乙方的违约行为进行追究，列入甲方供应商黑名单，三年内不得参与甲方各项目招标。同时按《中华人民共和国民法典》《中华人民共和国政府采购法》以及陕西省政府采购供应商管理办法进行相应处罚，并上报政府采购监管部门，因此给甲方造成的损失均由乙方承担；包括但不限于诉讼费、律师费、公证费、保全费、差旅费等相关费用。</w:t>
      </w:r>
    </w:p>
    <w:p w14:paraId="241DB0A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3.2</w:t>
      </w:r>
      <w:r>
        <w:rPr>
          <w:rFonts w:hint="eastAsia" w:ascii="仿宋" w:hAnsi="仿宋" w:eastAsia="仿宋" w:cs="仿宋"/>
          <w:color w:val="auto"/>
        </w:rPr>
        <w:t>乙方延迟交货，每超过60分钟，应按本次配送货值的0.5%支付甲方违约金，以此类推，该违约金直接在货款中扣减。</w:t>
      </w:r>
    </w:p>
    <w:p w14:paraId="70A18E6F">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3.3</w:t>
      </w:r>
      <w:r>
        <w:rPr>
          <w:rFonts w:hint="eastAsia" w:ascii="仿宋" w:hAnsi="仿宋" w:eastAsia="仿宋" w:cs="仿宋"/>
          <w:color w:val="auto"/>
        </w:rPr>
        <w:t>乙方延迟交货24小时及以上的，甲方有权紧急采购，所需款项直接从乙方货款中扣减，乙方不得据此拒绝履行合同。</w:t>
      </w:r>
    </w:p>
    <w:p w14:paraId="3E1BEF9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3.4</w:t>
      </w:r>
      <w:r>
        <w:rPr>
          <w:rFonts w:hint="eastAsia" w:ascii="仿宋" w:hAnsi="仿宋" w:eastAsia="仿宋" w:cs="仿宋"/>
          <w:color w:val="auto"/>
        </w:rPr>
        <w:t>乙方由于自身原因，须终止合同的，须至少两个月前以书面形式通知甲方，在甲方新的供应商确定之前，乙方必须继续履约，同时甲方有权要求乙方承担合同已履行金额20%的违约金，不足以弥补甲方损失的，乙方须补足。</w:t>
      </w:r>
    </w:p>
    <w:p w14:paraId="2BE72739">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3.5</w:t>
      </w:r>
      <w:r>
        <w:rPr>
          <w:rFonts w:hint="eastAsia" w:ascii="仿宋" w:hAnsi="仿宋" w:eastAsia="仿宋" w:cs="仿宋"/>
          <w:color w:val="auto"/>
        </w:rPr>
        <w:t>乙方对甲方解除合同不予认可的，应在收到甲方书面解除合同通知之日起7个日历日内依法提出异议。</w:t>
      </w:r>
    </w:p>
    <w:p w14:paraId="6BCC524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3.6</w:t>
      </w:r>
      <w:r>
        <w:rPr>
          <w:rFonts w:hint="eastAsia" w:ascii="仿宋" w:hAnsi="仿宋" w:eastAsia="仿宋" w:cs="仿宋"/>
          <w:color w:val="auto"/>
        </w:rPr>
        <w:t>乙方提交的货物，在甲方验收前，出现的毁损灭失风险，由乙方承担。</w:t>
      </w:r>
    </w:p>
    <w:p w14:paraId="59AF8D8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3.7</w:t>
      </w:r>
      <w:r>
        <w:rPr>
          <w:rFonts w:hint="eastAsia" w:ascii="仿宋" w:hAnsi="仿宋" w:eastAsia="仿宋" w:cs="仿宋"/>
          <w:color w:val="auto"/>
        </w:rPr>
        <w:t>乙方保证其所提</w:t>
      </w:r>
      <w:bookmarkStart w:id="0" w:name="_GoBack"/>
      <w:bookmarkEnd w:id="0"/>
      <w:r>
        <w:rPr>
          <w:rFonts w:hint="eastAsia" w:ascii="仿宋" w:hAnsi="仿宋" w:eastAsia="仿宋" w:cs="仿宋"/>
          <w:color w:val="auto"/>
        </w:rPr>
        <w:t>供的货物及产品符合招标要求及合同约定，符合国家质量标准及食品卫生安全标准，已取得有关部门的质量检验合格报告或证明，不会造成任何人身或财产损害。如因乙方提供的货物造成任何食品安全事件、安全事故或其他人身财产损害的，乙方应当独立承担全部责任:因此对甲方造成任何损害或致使甲方承担任何责任的，乙方应当向甲方全额赔偿。</w:t>
      </w:r>
    </w:p>
    <w:p w14:paraId="0D5751F4">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八</w:t>
      </w:r>
      <w:r>
        <w:rPr>
          <w:rFonts w:hint="eastAsia" w:ascii="仿宋" w:hAnsi="仿宋" w:eastAsia="仿宋" w:cs="仿宋"/>
          <w:b/>
          <w:bCs/>
          <w:color w:val="auto"/>
        </w:rPr>
        <w:t>、其他</w:t>
      </w:r>
      <w:r>
        <w:rPr>
          <w:rFonts w:hint="eastAsia" w:ascii="仿宋" w:hAnsi="仿宋" w:eastAsia="仿宋" w:cs="仿宋"/>
          <w:color w:val="auto"/>
        </w:rPr>
        <w:t>(在合同中具体明确)</w:t>
      </w:r>
    </w:p>
    <w:p w14:paraId="0E1304E0">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九</w:t>
      </w:r>
      <w:r>
        <w:rPr>
          <w:rFonts w:hint="eastAsia" w:ascii="仿宋" w:hAnsi="仿宋" w:eastAsia="仿宋" w:cs="仿宋"/>
          <w:b/>
          <w:bCs/>
          <w:color w:val="auto"/>
        </w:rPr>
        <w:t>、合同订立</w:t>
      </w:r>
    </w:p>
    <w:p w14:paraId="7DE6586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1.订立时间：</w:t>
      </w:r>
      <w:r>
        <w:rPr>
          <w:rFonts w:hint="eastAsia" w:ascii="仿宋" w:hAnsi="仿宋" w:eastAsia="仿宋" w:cs="仿宋"/>
          <w:color w:val="auto"/>
          <w:lang w:val="en-US" w:eastAsia="zh-CN"/>
        </w:rPr>
        <w:t xml:space="preserve">       </w:t>
      </w:r>
      <w:r>
        <w:rPr>
          <w:rFonts w:hint="eastAsia" w:ascii="仿宋" w:hAnsi="仿宋" w:eastAsia="仿宋" w:cs="仿宋"/>
          <w:color w:val="auto"/>
        </w:rPr>
        <w:t>年       月      日。</w:t>
      </w:r>
    </w:p>
    <w:p w14:paraId="6BAE0E4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2.订立地点：                                    。</w:t>
      </w:r>
    </w:p>
    <w:p w14:paraId="0B7AAF9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3.本合同一式</w:t>
      </w:r>
      <w:r>
        <w:rPr>
          <w:rFonts w:hint="eastAsia" w:ascii="仿宋" w:hAnsi="仿宋" w:eastAsia="仿宋" w:cs="仿宋"/>
          <w:color w:val="auto"/>
          <w:u w:val="single"/>
        </w:rPr>
        <w:t xml:space="preserve">   </w:t>
      </w:r>
      <w:r>
        <w:rPr>
          <w:rFonts w:hint="eastAsia" w:ascii="仿宋" w:hAnsi="仿宋" w:eastAsia="仿宋" w:cs="仿宋"/>
          <w:color w:val="auto"/>
        </w:rPr>
        <w:t>份，具有同等法律效力，双方各执</w:t>
      </w:r>
      <w:r>
        <w:rPr>
          <w:rFonts w:hint="eastAsia" w:ascii="仿宋" w:hAnsi="仿宋" w:eastAsia="仿宋" w:cs="仿宋"/>
          <w:color w:val="auto"/>
          <w:u w:val="single"/>
        </w:rPr>
        <w:t xml:space="preserve">   </w:t>
      </w:r>
      <w:r>
        <w:rPr>
          <w:rFonts w:hint="eastAsia" w:ascii="仿宋" w:hAnsi="仿宋" w:eastAsia="仿宋" w:cs="仿宋"/>
          <w:color w:val="auto"/>
        </w:rPr>
        <w:t>份，监管部门备案壹份、采购代理机构存档壹份。各方签字盖章后生效，合同执行完毕自动失效。(合同的服务承诺则长期有效)。</w:t>
      </w:r>
    </w:p>
    <w:p w14:paraId="02517BA4">
      <w:pPr>
        <w:spacing w:line="360" w:lineRule="auto"/>
        <w:rPr>
          <w:rFonts w:hint="eastAsia" w:ascii="仿宋" w:hAnsi="仿宋" w:eastAsia="仿宋" w:cs="仿宋"/>
          <w:color w:val="auto"/>
        </w:rPr>
      </w:pPr>
    </w:p>
    <w:p w14:paraId="466EBC7D">
      <w:pPr>
        <w:spacing w:line="360" w:lineRule="auto"/>
        <w:rPr>
          <w:rFonts w:hint="eastAsia" w:ascii="仿宋" w:hAnsi="仿宋" w:eastAsia="仿宋" w:cs="仿宋"/>
          <w:color w:val="auto"/>
        </w:rPr>
      </w:pPr>
    </w:p>
    <w:p w14:paraId="208DF216">
      <w:pPr>
        <w:spacing w:line="360" w:lineRule="auto"/>
        <w:rPr>
          <w:rFonts w:hint="eastAsia" w:ascii="仿宋" w:hAnsi="仿宋" w:eastAsia="仿宋" w:cs="仿宋"/>
          <w:color w:val="auto"/>
        </w:rPr>
      </w:pPr>
    </w:p>
    <w:p w14:paraId="7CA5C6AA">
      <w:pPr>
        <w:spacing w:line="360" w:lineRule="auto"/>
        <w:rPr>
          <w:rFonts w:hint="eastAsia" w:ascii="仿宋" w:hAnsi="仿宋" w:eastAsia="仿宋" w:cs="仿宋"/>
          <w:color w:val="auto"/>
        </w:rPr>
      </w:pPr>
      <w:r>
        <w:rPr>
          <w:rFonts w:hint="eastAsia" w:ascii="仿宋" w:hAnsi="仿宋" w:eastAsia="仿宋" w:cs="仿宋"/>
          <w:color w:val="auto"/>
        </w:rPr>
        <w:t xml:space="preserve">采购人：   （盖章）                      供应商：   （盖章）         </w:t>
      </w:r>
    </w:p>
    <w:p w14:paraId="3A7E35FD">
      <w:pPr>
        <w:spacing w:line="360" w:lineRule="auto"/>
        <w:rPr>
          <w:rFonts w:hint="eastAsia" w:ascii="仿宋" w:hAnsi="仿宋" w:eastAsia="仿宋" w:cs="仿宋"/>
          <w:color w:val="auto"/>
        </w:rPr>
      </w:pPr>
      <w:r>
        <w:rPr>
          <w:rFonts w:hint="eastAsia" w:ascii="仿宋" w:hAnsi="仿宋" w:eastAsia="仿宋" w:cs="仿宋"/>
          <w:color w:val="auto"/>
        </w:rPr>
        <w:t xml:space="preserve">地  址：                                 地  址：                    </w:t>
      </w:r>
    </w:p>
    <w:p w14:paraId="279F8806">
      <w:pPr>
        <w:spacing w:line="360" w:lineRule="auto"/>
        <w:rPr>
          <w:rFonts w:hint="eastAsia" w:ascii="仿宋" w:hAnsi="仿宋" w:eastAsia="仿宋" w:cs="仿宋"/>
          <w:color w:val="auto"/>
        </w:rPr>
      </w:pPr>
      <w:r>
        <w:rPr>
          <w:rFonts w:hint="eastAsia" w:ascii="仿宋" w:hAnsi="仿宋" w:eastAsia="仿宋" w:cs="仿宋"/>
          <w:color w:val="auto"/>
        </w:rPr>
        <w:t xml:space="preserve">邮政编码：                               邮政编码：                  </w:t>
      </w:r>
    </w:p>
    <w:p w14:paraId="204757FA">
      <w:pPr>
        <w:spacing w:line="360" w:lineRule="auto"/>
        <w:rPr>
          <w:rFonts w:hint="eastAsia" w:ascii="仿宋" w:hAnsi="仿宋" w:eastAsia="仿宋" w:cs="仿宋"/>
          <w:color w:val="auto"/>
        </w:rPr>
      </w:pPr>
      <w:r>
        <w:rPr>
          <w:rFonts w:hint="eastAsia" w:ascii="仿宋" w:hAnsi="仿宋" w:eastAsia="仿宋" w:cs="仿宋"/>
          <w:color w:val="auto"/>
        </w:rPr>
        <w:t xml:space="preserve">法定代表人或其授权                       法定代表人或其授权 </w:t>
      </w:r>
    </w:p>
    <w:p w14:paraId="5B88E6DE">
      <w:pPr>
        <w:spacing w:line="360" w:lineRule="auto"/>
        <w:rPr>
          <w:rFonts w:hint="eastAsia" w:ascii="仿宋" w:hAnsi="仿宋" w:eastAsia="仿宋" w:cs="仿宋"/>
          <w:color w:val="auto"/>
        </w:rPr>
      </w:pPr>
      <w:r>
        <w:rPr>
          <w:rFonts w:hint="eastAsia" w:ascii="仿宋" w:hAnsi="仿宋" w:eastAsia="仿宋" w:cs="仿宋"/>
          <w:color w:val="auto"/>
        </w:rPr>
        <w:t>的代理人：</w:t>
      </w:r>
      <w:r>
        <w:rPr>
          <w:rFonts w:hint="eastAsia" w:ascii="仿宋" w:hAnsi="仿宋" w:eastAsia="仿宋" w:cs="仿宋"/>
          <w:color w:val="auto"/>
          <w:u w:val="single"/>
        </w:rPr>
        <w:t xml:space="preserve">（签字）      </w:t>
      </w:r>
      <w:r>
        <w:rPr>
          <w:rFonts w:hint="eastAsia" w:ascii="仿宋" w:hAnsi="仿宋" w:eastAsia="仿宋" w:cs="仿宋"/>
          <w:color w:val="auto"/>
        </w:rPr>
        <w:t xml:space="preserve">                 的代理人：</w:t>
      </w:r>
      <w:r>
        <w:rPr>
          <w:rFonts w:hint="eastAsia" w:ascii="仿宋" w:hAnsi="仿宋" w:eastAsia="仿宋" w:cs="仿宋"/>
          <w:color w:val="auto"/>
          <w:u w:val="single"/>
        </w:rPr>
        <w:t xml:space="preserve">（签字）          </w:t>
      </w:r>
    </w:p>
    <w:p w14:paraId="28FBE8D3">
      <w:pPr>
        <w:spacing w:line="360" w:lineRule="auto"/>
        <w:rPr>
          <w:rFonts w:hint="eastAsia" w:ascii="仿宋" w:hAnsi="仿宋" w:eastAsia="仿宋" w:cs="仿宋"/>
          <w:color w:val="auto"/>
        </w:rPr>
      </w:pPr>
      <w:r>
        <w:rPr>
          <w:rFonts w:hint="eastAsia" w:ascii="仿宋" w:hAnsi="仿宋" w:eastAsia="仿宋" w:cs="仿宋"/>
          <w:color w:val="auto"/>
        </w:rPr>
        <w:t xml:space="preserve">开户银行：                               开户银行：                  </w:t>
      </w:r>
    </w:p>
    <w:p w14:paraId="0AAC03F4">
      <w:pPr>
        <w:spacing w:line="360" w:lineRule="auto"/>
        <w:rPr>
          <w:rFonts w:hint="eastAsia" w:ascii="仿宋" w:hAnsi="仿宋" w:eastAsia="仿宋" w:cs="仿宋"/>
          <w:color w:val="auto"/>
        </w:rPr>
      </w:pPr>
      <w:r>
        <w:rPr>
          <w:rFonts w:hint="eastAsia" w:ascii="仿宋" w:hAnsi="仿宋" w:eastAsia="仿宋" w:cs="仿宋"/>
          <w:color w:val="auto"/>
        </w:rPr>
        <w:t xml:space="preserve">账号：                                   账号：                      </w:t>
      </w:r>
    </w:p>
    <w:p w14:paraId="6B838CF0">
      <w:pPr>
        <w:spacing w:line="360" w:lineRule="auto"/>
        <w:rPr>
          <w:rFonts w:hint="eastAsia" w:ascii="仿宋" w:hAnsi="仿宋" w:eastAsia="仿宋" w:cs="仿宋"/>
          <w:color w:val="auto"/>
        </w:rPr>
      </w:pPr>
      <w:r>
        <w:rPr>
          <w:rFonts w:hint="eastAsia" w:ascii="仿宋" w:hAnsi="仿宋" w:eastAsia="仿宋" w:cs="仿宋"/>
          <w:color w:val="auto"/>
        </w:rPr>
        <w:t xml:space="preserve">电话：                                   电话：                      </w:t>
      </w:r>
    </w:p>
    <w:p w14:paraId="4C1D4590">
      <w:pPr>
        <w:spacing w:line="360" w:lineRule="auto"/>
        <w:rPr>
          <w:rFonts w:hint="eastAsia" w:ascii="仿宋" w:hAnsi="仿宋" w:eastAsia="仿宋" w:cs="仿宋"/>
          <w:color w:val="auto"/>
        </w:rPr>
      </w:pPr>
      <w:r>
        <w:rPr>
          <w:rFonts w:hint="eastAsia" w:ascii="仿宋" w:hAnsi="仿宋" w:eastAsia="仿宋" w:cs="仿宋"/>
          <w:color w:val="auto"/>
        </w:rPr>
        <w:t xml:space="preserve">传真：                                   传真：                      </w:t>
      </w:r>
    </w:p>
    <w:p w14:paraId="79AE45A4">
      <w:pPr>
        <w:rPr>
          <w:rFonts w:hint="eastAsia" w:ascii="仿宋" w:hAnsi="仿宋" w:eastAsia="仿宋" w:cs="仿宋"/>
          <w:color w:val="auto"/>
        </w:rPr>
      </w:pPr>
      <w:r>
        <w:rPr>
          <w:rFonts w:hint="eastAsia" w:ascii="仿宋" w:hAnsi="仿宋" w:eastAsia="仿宋" w:cs="仿宋"/>
          <w:color w:val="auto"/>
        </w:rPr>
        <w:t xml:space="preserve">电子邮箱：                               电子邮箱：                  </w:t>
      </w:r>
    </w:p>
    <w:p w14:paraId="064F499C">
      <w:pPr>
        <w:rPr>
          <w:rFonts w:hint="eastAsia" w:ascii="仿宋" w:hAnsi="仿宋" w:eastAsia="仿宋" w:cs="仿宋"/>
          <w:color w:val="auto"/>
        </w:rPr>
      </w:pPr>
    </w:p>
    <w:p w14:paraId="129AF2B8">
      <w:pPr>
        <w:rPr>
          <w:rFonts w:hint="eastAsia" w:ascii="仿宋" w:hAnsi="仿宋" w:eastAsia="仿宋" w:cs="仿宋"/>
          <w:color w:val="auto"/>
        </w:rPr>
        <w:sectPr>
          <w:pgSz w:w="11906" w:h="16838"/>
          <w:pgMar w:top="1440" w:right="1800" w:bottom="1440" w:left="1800" w:header="851" w:footer="992" w:gutter="0"/>
          <w:cols w:space="425" w:num="1"/>
          <w:docGrid w:type="lines" w:linePitch="312" w:charSpace="0"/>
        </w:sectPr>
      </w:pPr>
    </w:p>
    <w:p w14:paraId="026977DF">
      <w:pPr>
        <w:spacing w:line="240" w:lineRule="auto"/>
        <w:rPr>
          <w:rFonts w:hint="eastAsia" w:ascii="仿宋" w:hAnsi="仿宋" w:eastAsia="仿宋" w:cs="仿宋"/>
          <w:color w:val="auto"/>
          <w:lang w:val="en-US" w:eastAsia="zh-CN"/>
        </w:rPr>
      </w:pPr>
      <w:r>
        <w:rPr>
          <w:rFonts w:hint="eastAsia" w:ascii="仿宋" w:hAnsi="仿宋" w:eastAsia="仿宋" w:cs="仿宋"/>
          <w:color w:val="auto"/>
          <w:lang w:val="en-US" w:eastAsia="zh-CN"/>
        </w:rPr>
        <w:t>附件：</w:t>
      </w:r>
    </w:p>
    <w:p w14:paraId="74CAB177">
      <w:pPr>
        <w:keepNext w:val="0"/>
        <w:keepLines w:val="0"/>
        <w:pageBreakBefore w:val="0"/>
        <w:widowControl/>
        <w:kinsoku/>
        <w:wordWrap/>
        <w:overflowPunct/>
        <w:topLinePunct w:val="0"/>
        <w:autoSpaceDE/>
        <w:autoSpaceDN/>
        <w:bidi w:val="0"/>
        <w:adjustRightInd/>
        <w:spacing w:line="240" w:lineRule="auto"/>
        <w:ind w:left="0" w:firstLine="0" w:firstLineChars="0"/>
        <w:jc w:val="center"/>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月</w:t>
      </w:r>
      <w:r>
        <w:rPr>
          <w:rFonts w:hint="eastAsia" w:ascii="仿宋" w:hAnsi="仿宋" w:eastAsia="仿宋" w:cs="仿宋"/>
          <w:b/>
          <w:bCs/>
          <w:sz w:val="24"/>
          <w:szCs w:val="24"/>
          <w:highlight w:val="none"/>
        </w:rPr>
        <w:t>度</w:t>
      </w:r>
      <w:r>
        <w:rPr>
          <w:rFonts w:hint="eastAsia" w:ascii="仿宋" w:hAnsi="仿宋" w:eastAsia="仿宋" w:cs="仿宋"/>
          <w:b/>
          <w:bCs/>
          <w:sz w:val="24"/>
          <w:szCs w:val="24"/>
          <w:highlight w:val="none"/>
          <w:lang w:val="en-US" w:eastAsia="zh-CN"/>
        </w:rPr>
        <w:t>质量</w:t>
      </w:r>
      <w:r>
        <w:rPr>
          <w:rFonts w:hint="eastAsia" w:ascii="仿宋" w:hAnsi="仿宋" w:eastAsia="仿宋" w:cs="仿宋"/>
          <w:b/>
          <w:bCs/>
          <w:sz w:val="24"/>
          <w:szCs w:val="24"/>
          <w:highlight w:val="none"/>
        </w:rPr>
        <w:t>考核表</w:t>
      </w:r>
    </w:p>
    <w:tbl>
      <w:tblPr>
        <w:tblStyle w:val="5"/>
        <w:tblpPr w:leftFromText="180" w:rightFromText="180" w:vertAnchor="text" w:horzAnchor="page" w:tblpX="1447" w:tblpY="608"/>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8003"/>
        <w:gridCol w:w="678"/>
      </w:tblGrid>
      <w:tr w14:paraId="340B0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1" w:type="pct"/>
            <w:noWrap w:val="0"/>
            <w:vAlign w:val="center"/>
          </w:tcPr>
          <w:p w14:paraId="6E48F8DE">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b/>
                <w:bCs/>
                <w:sz w:val="24"/>
                <w:szCs w:val="24"/>
                <w:lang w:val="en-US" w:eastAsia="zh-CN"/>
              </w:rPr>
            </w:pPr>
            <w:r>
              <w:rPr>
                <w:rFonts w:hint="eastAsia" w:ascii="仿宋" w:hAnsi="仿宋" w:eastAsia="仿宋" w:cs="仿宋"/>
                <w:b/>
                <w:bCs/>
                <w:sz w:val="24"/>
                <w:szCs w:val="24"/>
              </w:rPr>
              <w:t>考核项目</w:t>
            </w:r>
            <w:r>
              <w:rPr>
                <w:rFonts w:hint="eastAsia" w:ascii="仿宋" w:hAnsi="仿宋" w:eastAsia="仿宋" w:cs="仿宋"/>
                <w:b/>
                <w:bCs/>
                <w:sz w:val="24"/>
                <w:szCs w:val="24"/>
                <w:lang w:val="en-US" w:eastAsia="zh-CN"/>
              </w:rPr>
              <w:t>及权重</w:t>
            </w:r>
          </w:p>
        </w:tc>
        <w:tc>
          <w:tcPr>
            <w:tcW w:w="4017" w:type="pct"/>
            <w:noWrap w:val="0"/>
            <w:vAlign w:val="center"/>
          </w:tcPr>
          <w:p w14:paraId="7D46A7C3">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b/>
                <w:bCs/>
                <w:sz w:val="24"/>
                <w:szCs w:val="24"/>
              </w:rPr>
            </w:pPr>
            <w:r>
              <w:rPr>
                <w:rFonts w:hint="eastAsia" w:ascii="仿宋" w:hAnsi="仿宋" w:eastAsia="仿宋" w:cs="仿宋"/>
                <w:b/>
                <w:bCs/>
                <w:sz w:val="24"/>
                <w:szCs w:val="24"/>
              </w:rPr>
              <w:t>评分标准（满分100分）</w:t>
            </w:r>
          </w:p>
        </w:tc>
        <w:tc>
          <w:tcPr>
            <w:tcW w:w="340" w:type="pct"/>
            <w:noWrap w:val="0"/>
            <w:vAlign w:val="center"/>
          </w:tcPr>
          <w:p w14:paraId="0526B259">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b/>
                <w:bCs/>
                <w:sz w:val="24"/>
                <w:szCs w:val="24"/>
              </w:rPr>
            </w:pPr>
            <w:r>
              <w:rPr>
                <w:rFonts w:hint="eastAsia" w:ascii="仿宋" w:hAnsi="仿宋" w:eastAsia="仿宋" w:cs="仿宋"/>
                <w:b/>
                <w:bCs/>
                <w:sz w:val="24"/>
                <w:szCs w:val="24"/>
              </w:rPr>
              <w:t>得分</w:t>
            </w:r>
          </w:p>
        </w:tc>
      </w:tr>
      <w:tr w14:paraId="3304F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41" w:type="pct"/>
            <w:noWrap w:val="0"/>
            <w:vAlign w:val="center"/>
          </w:tcPr>
          <w:p w14:paraId="70689FD8">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sz w:val="24"/>
                <w:szCs w:val="24"/>
                <w:lang w:eastAsia="zh-CN"/>
              </w:rPr>
            </w:pPr>
            <w:r>
              <w:rPr>
                <w:rFonts w:hint="eastAsia" w:ascii="仿宋" w:hAnsi="仿宋" w:eastAsia="仿宋" w:cs="仿宋"/>
                <w:sz w:val="24"/>
                <w:szCs w:val="24"/>
              </w:rPr>
              <w:t>质量安全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30%</w:t>
            </w:r>
            <w:r>
              <w:rPr>
                <w:rFonts w:hint="eastAsia" w:ascii="仿宋" w:hAnsi="仿宋" w:eastAsia="仿宋" w:cs="仿宋"/>
                <w:sz w:val="24"/>
                <w:szCs w:val="24"/>
                <w:lang w:eastAsia="zh-CN"/>
              </w:rPr>
              <w:t>）</w:t>
            </w:r>
          </w:p>
        </w:tc>
        <w:tc>
          <w:tcPr>
            <w:tcW w:w="4017" w:type="pct"/>
            <w:noWrap w:val="0"/>
            <w:vAlign w:val="center"/>
          </w:tcPr>
          <w:p w14:paraId="13D2CBCF">
            <w:pPr>
              <w:keepNext w:val="0"/>
              <w:keepLines w:val="0"/>
              <w:pageBreakBefore w:val="0"/>
              <w:widowControl w:val="0"/>
              <w:tabs>
                <w:tab w:val="left" w:pos="680"/>
                <w:tab w:val="center" w:pos="2018"/>
              </w:tabs>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食材验收合格率100%，无任何质量问题</w:t>
            </w:r>
            <w:r>
              <w:rPr>
                <w:rFonts w:hint="eastAsia" w:ascii="仿宋" w:hAnsi="仿宋" w:eastAsia="仿宋" w:cs="仿宋"/>
                <w:sz w:val="24"/>
                <w:szCs w:val="24"/>
                <w:lang w:val="en-US" w:eastAsia="zh-CN"/>
              </w:rPr>
              <w:t>得30分</w:t>
            </w:r>
            <w:r>
              <w:rPr>
                <w:rFonts w:hint="eastAsia" w:ascii="仿宋" w:hAnsi="仿宋" w:eastAsia="仿宋" w:cs="仿宋"/>
                <w:sz w:val="24"/>
                <w:szCs w:val="24"/>
                <w:lang w:eastAsia="zh-CN"/>
              </w:rPr>
              <w:t>。</w:t>
            </w:r>
          </w:p>
          <w:p w14:paraId="67D6706C">
            <w:pPr>
              <w:keepNext w:val="0"/>
              <w:keepLines w:val="0"/>
              <w:pageBreakBefore w:val="0"/>
              <w:widowControl w:val="0"/>
              <w:tabs>
                <w:tab w:val="left" w:pos="680"/>
                <w:tab w:val="center" w:pos="2018"/>
              </w:tabs>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每出现一次一般性质量问题（如品相不佳、等级不符、轻微磕碰等），扣5分。</w:t>
            </w:r>
          </w:p>
          <w:p w14:paraId="50478DE5">
            <w:pPr>
              <w:keepNext w:val="0"/>
              <w:keepLines w:val="0"/>
              <w:pageBreakBefore w:val="0"/>
              <w:widowControl w:val="0"/>
              <w:tabs>
                <w:tab w:val="left" w:pos="680"/>
                <w:tab w:val="center" w:pos="2018"/>
              </w:tabs>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每出现一次严重质量问题（如腐烂变质、过期、掺杂掺假、农残/微生物超标等），本项目得0分，并依据合同追究相应责任。</w:t>
            </w:r>
          </w:p>
          <w:p w14:paraId="2D8775AB">
            <w:pPr>
              <w:keepNext w:val="0"/>
              <w:keepLines w:val="0"/>
              <w:pageBreakBefore w:val="0"/>
              <w:widowControl w:val="0"/>
              <w:tabs>
                <w:tab w:val="left" w:pos="680"/>
                <w:tab w:val="center" w:pos="2018"/>
              </w:tabs>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因食材质量问题导致食品安全事件或食源性疾病，本项目得0分，并立即启动合同解除程序。</w:t>
            </w:r>
          </w:p>
        </w:tc>
        <w:tc>
          <w:tcPr>
            <w:tcW w:w="340" w:type="pct"/>
            <w:noWrap w:val="0"/>
            <w:vAlign w:val="center"/>
          </w:tcPr>
          <w:p w14:paraId="31A66D01">
            <w:pPr>
              <w:keepNext w:val="0"/>
              <w:keepLines w:val="0"/>
              <w:pageBreakBefore w:val="0"/>
              <w:widowControl w:val="0"/>
              <w:kinsoku/>
              <w:wordWrap/>
              <w:overflowPunct/>
              <w:topLinePunct w:val="0"/>
              <w:autoSpaceDE/>
              <w:autoSpaceDN/>
              <w:bidi w:val="0"/>
              <w:adjustRightInd/>
              <w:spacing w:line="360" w:lineRule="auto"/>
              <w:ind w:left="0" w:firstLine="480" w:firstLineChars="200"/>
              <w:jc w:val="center"/>
              <w:textAlignment w:val="baseline"/>
              <w:rPr>
                <w:rFonts w:hint="eastAsia" w:ascii="仿宋" w:hAnsi="仿宋" w:eastAsia="仿宋" w:cs="仿宋"/>
                <w:sz w:val="24"/>
                <w:szCs w:val="24"/>
              </w:rPr>
            </w:pPr>
          </w:p>
        </w:tc>
      </w:tr>
      <w:tr w14:paraId="7CF5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41" w:type="pct"/>
            <w:noWrap w:val="0"/>
            <w:vAlign w:val="center"/>
          </w:tcPr>
          <w:p w14:paraId="0658F0AB">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sz w:val="24"/>
                <w:szCs w:val="24"/>
                <w:lang w:eastAsia="zh-CN"/>
              </w:rPr>
            </w:pPr>
            <w:r>
              <w:rPr>
                <w:rFonts w:hint="eastAsia" w:ascii="仿宋" w:hAnsi="仿宋" w:eastAsia="仿宋" w:cs="仿宋"/>
                <w:sz w:val="24"/>
                <w:szCs w:val="24"/>
              </w:rPr>
              <w:t>供货能力</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20%</w:t>
            </w:r>
            <w:r>
              <w:rPr>
                <w:rFonts w:hint="eastAsia" w:ascii="仿宋" w:hAnsi="仿宋" w:eastAsia="仿宋" w:cs="仿宋"/>
                <w:sz w:val="24"/>
                <w:szCs w:val="24"/>
                <w:lang w:eastAsia="zh-CN"/>
              </w:rPr>
              <w:t>）</w:t>
            </w:r>
          </w:p>
        </w:tc>
        <w:tc>
          <w:tcPr>
            <w:tcW w:w="4017" w:type="pct"/>
            <w:noWrap w:val="0"/>
            <w:vAlign w:val="center"/>
          </w:tcPr>
          <w:p w14:paraId="743B0E6A">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准时交货率100%，数量准确无误</w:t>
            </w:r>
            <w:r>
              <w:rPr>
                <w:rFonts w:hint="eastAsia" w:ascii="仿宋" w:hAnsi="仿宋" w:eastAsia="仿宋" w:cs="仿宋"/>
                <w:sz w:val="24"/>
                <w:szCs w:val="24"/>
                <w:lang w:val="en-US" w:eastAsia="zh-CN"/>
              </w:rPr>
              <w:t>得</w:t>
            </w:r>
            <w:r>
              <w:rPr>
                <w:rFonts w:hint="eastAsia" w:ascii="仿宋" w:hAnsi="仿宋" w:eastAsia="仿宋" w:cs="仿宋"/>
                <w:sz w:val="24"/>
                <w:szCs w:val="24"/>
              </w:rPr>
              <w:t>20分。</w:t>
            </w:r>
          </w:p>
          <w:p w14:paraId="100DB8D7">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每出现一次延迟送货（以约定到货时间</w:t>
            </w:r>
            <w:r>
              <w:rPr>
                <w:rFonts w:hint="eastAsia" w:ascii="仿宋" w:hAnsi="仿宋" w:eastAsia="仿宋" w:cs="仿宋"/>
                <w:sz w:val="24"/>
                <w:szCs w:val="24"/>
                <w:lang w:val="en-US" w:eastAsia="zh-CN"/>
              </w:rPr>
              <w:t>往后5-30分钟</w:t>
            </w:r>
            <w:r>
              <w:rPr>
                <w:rFonts w:hint="eastAsia" w:ascii="仿宋" w:hAnsi="仿宋" w:eastAsia="仿宋" w:cs="仿宋"/>
                <w:sz w:val="24"/>
                <w:szCs w:val="24"/>
              </w:rPr>
              <w:t>为准），扣</w:t>
            </w:r>
            <w:r>
              <w:rPr>
                <w:rFonts w:hint="eastAsia" w:ascii="仿宋" w:hAnsi="仿宋" w:eastAsia="仿宋" w:cs="仿宋"/>
                <w:sz w:val="24"/>
                <w:szCs w:val="24"/>
                <w:lang w:val="en-US" w:eastAsia="zh-CN"/>
              </w:rPr>
              <w:t>1</w:t>
            </w:r>
            <w:r>
              <w:rPr>
                <w:rFonts w:hint="eastAsia" w:ascii="仿宋" w:hAnsi="仿宋" w:eastAsia="仿宋" w:cs="仿宋"/>
                <w:sz w:val="24"/>
                <w:szCs w:val="24"/>
              </w:rPr>
              <w:t>分。</w:t>
            </w:r>
          </w:p>
          <w:p w14:paraId="633F3CC4">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每出现一次因供应商原因导致的缺货、断货，严重影响</w:t>
            </w:r>
            <w:r>
              <w:rPr>
                <w:rFonts w:hint="eastAsia" w:ascii="仿宋" w:hAnsi="仿宋" w:eastAsia="仿宋" w:cs="仿宋"/>
                <w:sz w:val="24"/>
                <w:szCs w:val="24"/>
                <w:lang w:val="en-US" w:eastAsia="zh-CN"/>
              </w:rPr>
              <w:t>食堂运营</w:t>
            </w:r>
            <w:r>
              <w:rPr>
                <w:rFonts w:hint="eastAsia" w:ascii="仿宋" w:hAnsi="仿宋" w:eastAsia="仿宋" w:cs="仿宋"/>
                <w:sz w:val="24"/>
                <w:szCs w:val="24"/>
              </w:rPr>
              <w:t>的，扣5-10分。</w:t>
            </w:r>
          </w:p>
          <w:p w14:paraId="1EF233A6">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未经我方同意，擅自更改送货时间或数量的，每次扣3分。</w:t>
            </w:r>
          </w:p>
        </w:tc>
        <w:tc>
          <w:tcPr>
            <w:tcW w:w="340" w:type="pct"/>
            <w:noWrap w:val="0"/>
            <w:vAlign w:val="center"/>
          </w:tcPr>
          <w:p w14:paraId="788CA778">
            <w:pPr>
              <w:keepNext w:val="0"/>
              <w:keepLines w:val="0"/>
              <w:pageBreakBefore w:val="0"/>
              <w:widowControl w:val="0"/>
              <w:kinsoku/>
              <w:wordWrap/>
              <w:overflowPunct/>
              <w:topLinePunct w:val="0"/>
              <w:autoSpaceDE/>
              <w:autoSpaceDN/>
              <w:bidi w:val="0"/>
              <w:adjustRightInd/>
              <w:spacing w:line="360" w:lineRule="auto"/>
              <w:ind w:left="0" w:firstLine="480" w:firstLineChars="200"/>
              <w:jc w:val="center"/>
              <w:textAlignment w:val="baseline"/>
              <w:rPr>
                <w:rFonts w:hint="eastAsia" w:ascii="仿宋" w:hAnsi="仿宋" w:eastAsia="仿宋" w:cs="仿宋"/>
                <w:sz w:val="24"/>
                <w:szCs w:val="24"/>
              </w:rPr>
            </w:pPr>
          </w:p>
        </w:tc>
      </w:tr>
      <w:tr w14:paraId="0E20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41" w:type="pct"/>
            <w:noWrap w:val="0"/>
            <w:vAlign w:val="center"/>
          </w:tcPr>
          <w:p w14:paraId="416E9CCC">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价格合理性</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20%</w:t>
            </w:r>
            <w:r>
              <w:rPr>
                <w:rFonts w:hint="eastAsia" w:ascii="仿宋" w:hAnsi="仿宋" w:eastAsia="仿宋" w:cs="仿宋"/>
                <w:sz w:val="24"/>
                <w:szCs w:val="24"/>
                <w:highlight w:val="none"/>
                <w:lang w:eastAsia="zh-CN"/>
              </w:rPr>
              <w:t>）</w:t>
            </w:r>
          </w:p>
        </w:tc>
        <w:tc>
          <w:tcPr>
            <w:tcW w:w="4017" w:type="pct"/>
            <w:noWrap w:val="0"/>
            <w:vAlign w:val="center"/>
          </w:tcPr>
          <w:p w14:paraId="7F26ECA1">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食材供应商按照餐厅食材采购单要求，当日供应商配送价格按照成交报价执行并提供送货清单</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得</w:t>
            </w:r>
            <w:r>
              <w:rPr>
                <w:rFonts w:hint="eastAsia" w:ascii="仿宋" w:hAnsi="仿宋" w:eastAsia="仿宋" w:cs="仿宋"/>
                <w:sz w:val="24"/>
                <w:szCs w:val="24"/>
                <w:highlight w:val="none"/>
              </w:rPr>
              <w:t>20分。每出现一次</w:t>
            </w:r>
            <w:r>
              <w:rPr>
                <w:rFonts w:hint="eastAsia" w:ascii="仿宋" w:hAnsi="仿宋" w:eastAsia="仿宋" w:cs="仿宋"/>
                <w:sz w:val="24"/>
                <w:szCs w:val="24"/>
                <w:highlight w:val="none"/>
                <w:lang w:val="en-US" w:eastAsia="zh-CN"/>
              </w:rPr>
              <w:t>当日配送价格与成交报价不一致，</w:t>
            </w:r>
            <w:r>
              <w:rPr>
                <w:rFonts w:hint="eastAsia" w:ascii="仿宋" w:hAnsi="仿宋" w:eastAsia="仿宋" w:cs="仿宋"/>
                <w:sz w:val="24"/>
                <w:szCs w:val="24"/>
                <w:highlight w:val="none"/>
              </w:rPr>
              <w:t>扣除5分。</w:t>
            </w:r>
          </w:p>
        </w:tc>
        <w:tc>
          <w:tcPr>
            <w:tcW w:w="340" w:type="pct"/>
            <w:noWrap w:val="0"/>
            <w:vAlign w:val="center"/>
          </w:tcPr>
          <w:p w14:paraId="732EC6CE">
            <w:pPr>
              <w:keepNext w:val="0"/>
              <w:keepLines w:val="0"/>
              <w:pageBreakBefore w:val="0"/>
              <w:widowControl w:val="0"/>
              <w:kinsoku/>
              <w:wordWrap/>
              <w:overflowPunct/>
              <w:topLinePunct w:val="0"/>
              <w:autoSpaceDE/>
              <w:autoSpaceDN/>
              <w:bidi w:val="0"/>
              <w:adjustRightInd/>
              <w:spacing w:line="360" w:lineRule="auto"/>
              <w:ind w:left="0" w:firstLine="480" w:firstLineChars="200"/>
              <w:jc w:val="center"/>
              <w:textAlignment w:val="baseline"/>
              <w:rPr>
                <w:rFonts w:hint="eastAsia" w:ascii="仿宋" w:hAnsi="仿宋" w:eastAsia="仿宋" w:cs="仿宋"/>
                <w:sz w:val="24"/>
                <w:szCs w:val="24"/>
              </w:rPr>
            </w:pPr>
          </w:p>
        </w:tc>
      </w:tr>
      <w:tr w14:paraId="6E6AB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41" w:type="pct"/>
            <w:noWrap w:val="0"/>
            <w:vAlign w:val="center"/>
          </w:tcPr>
          <w:p w14:paraId="1DF14175">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sz w:val="24"/>
                <w:szCs w:val="24"/>
                <w:lang w:eastAsia="zh-CN"/>
              </w:rPr>
            </w:pPr>
            <w:r>
              <w:rPr>
                <w:rFonts w:hint="eastAsia" w:ascii="仿宋" w:hAnsi="仿宋" w:eastAsia="仿宋" w:cs="仿宋"/>
                <w:sz w:val="24"/>
                <w:szCs w:val="24"/>
              </w:rPr>
              <w:t>服务质量</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20%</w:t>
            </w:r>
            <w:r>
              <w:rPr>
                <w:rFonts w:hint="eastAsia" w:ascii="仿宋" w:hAnsi="仿宋" w:eastAsia="仿宋" w:cs="仿宋"/>
                <w:sz w:val="24"/>
                <w:szCs w:val="24"/>
                <w:lang w:eastAsia="zh-CN"/>
              </w:rPr>
              <w:t>）</w:t>
            </w:r>
          </w:p>
        </w:tc>
        <w:tc>
          <w:tcPr>
            <w:tcW w:w="4017" w:type="pct"/>
            <w:noWrap w:val="0"/>
            <w:vAlign w:val="center"/>
          </w:tcPr>
          <w:p w14:paraId="12BA7738">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服务态度良好，沟通及时顺畅，积极配合我方工作</w:t>
            </w:r>
            <w:r>
              <w:rPr>
                <w:rFonts w:hint="eastAsia" w:ascii="仿宋" w:hAnsi="仿宋" w:eastAsia="仿宋" w:cs="仿宋"/>
                <w:sz w:val="24"/>
                <w:szCs w:val="24"/>
                <w:lang w:val="en-US" w:eastAsia="zh-CN"/>
              </w:rPr>
              <w:t>得1</w:t>
            </w:r>
            <w:r>
              <w:rPr>
                <w:rFonts w:hint="eastAsia" w:ascii="仿宋" w:hAnsi="仿宋" w:eastAsia="仿宋" w:cs="仿宋"/>
                <w:sz w:val="24"/>
                <w:szCs w:val="24"/>
              </w:rPr>
              <w:t>0分。</w:t>
            </w:r>
          </w:p>
          <w:p w14:paraId="5A576992">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送货人员行为规范，遵守我方场地管理规定</w:t>
            </w:r>
            <w:r>
              <w:rPr>
                <w:rFonts w:hint="eastAsia" w:ascii="仿宋" w:hAnsi="仿宋" w:eastAsia="仿宋" w:cs="仿宋"/>
                <w:sz w:val="24"/>
                <w:szCs w:val="24"/>
                <w:lang w:val="en-US" w:eastAsia="zh-CN"/>
              </w:rPr>
              <w:t>得1</w:t>
            </w:r>
            <w:r>
              <w:rPr>
                <w:rFonts w:hint="eastAsia" w:ascii="仿宋" w:hAnsi="仿宋" w:eastAsia="仿宋" w:cs="仿宋"/>
                <w:sz w:val="24"/>
                <w:szCs w:val="24"/>
              </w:rPr>
              <w:t>0分。</w:t>
            </w:r>
          </w:p>
          <w:p w14:paraId="4C4A830A">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对投诉、退换货等问题响应不及时、处理不力的，每次扣5分。</w:t>
            </w:r>
          </w:p>
          <w:p w14:paraId="251550D0">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单据提供不及时、不准确或有误的，每次扣2分。</w:t>
            </w:r>
          </w:p>
          <w:p w14:paraId="750A9E79">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能主动提供增值服务（如提供新食材信息、协助初加工等），可酌情加1-3分（总分不超过20分）。</w:t>
            </w:r>
          </w:p>
        </w:tc>
        <w:tc>
          <w:tcPr>
            <w:tcW w:w="340" w:type="pct"/>
            <w:noWrap w:val="0"/>
            <w:vAlign w:val="center"/>
          </w:tcPr>
          <w:p w14:paraId="62BE83A5">
            <w:pPr>
              <w:keepNext w:val="0"/>
              <w:keepLines w:val="0"/>
              <w:pageBreakBefore w:val="0"/>
              <w:widowControl w:val="0"/>
              <w:kinsoku/>
              <w:wordWrap/>
              <w:overflowPunct/>
              <w:topLinePunct w:val="0"/>
              <w:autoSpaceDE/>
              <w:autoSpaceDN/>
              <w:bidi w:val="0"/>
              <w:adjustRightInd/>
              <w:spacing w:line="360" w:lineRule="auto"/>
              <w:ind w:left="0" w:firstLine="480" w:firstLineChars="200"/>
              <w:jc w:val="center"/>
              <w:textAlignment w:val="baseline"/>
              <w:rPr>
                <w:rFonts w:hint="eastAsia" w:ascii="仿宋" w:hAnsi="仿宋" w:eastAsia="仿宋" w:cs="仿宋"/>
                <w:sz w:val="24"/>
                <w:szCs w:val="24"/>
              </w:rPr>
            </w:pPr>
          </w:p>
        </w:tc>
      </w:tr>
      <w:tr w14:paraId="67ADA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41" w:type="pct"/>
            <w:noWrap w:val="0"/>
            <w:vAlign w:val="center"/>
          </w:tcPr>
          <w:p w14:paraId="5091CF78">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sz w:val="24"/>
                <w:szCs w:val="24"/>
                <w:lang w:eastAsia="zh-CN"/>
              </w:rPr>
            </w:pPr>
            <w:r>
              <w:rPr>
                <w:rFonts w:hint="eastAsia" w:ascii="仿宋" w:hAnsi="仿宋" w:eastAsia="仿宋" w:cs="仿宋"/>
                <w:sz w:val="24"/>
                <w:szCs w:val="24"/>
              </w:rPr>
              <w:t>信誉与资质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10%</w:t>
            </w:r>
            <w:r>
              <w:rPr>
                <w:rFonts w:hint="eastAsia" w:ascii="仿宋" w:hAnsi="仿宋" w:eastAsia="仿宋" w:cs="仿宋"/>
                <w:sz w:val="24"/>
                <w:szCs w:val="24"/>
                <w:lang w:eastAsia="zh-CN"/>
              </w:rPr>
              <w:t>）</w:t>
            </w:r>
          </w:p>
        </w:tc>
        <w:tc>
          <w:tcPr>
            <w:tcW w:w="4017" w:type="pct"/>
            <w:noWrap w:val="0"/>
            <w:vAlign w:val="center"/>
          </w:tcPr>
          <w:p w14:paraId="65AD15B2">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合同期内，营业执照、食品经营许可证等所有资质持续有效且合规</w:t>
            </w:r>
            <w:r>
              <w:rPr>
                <w:rFonts w:hint="eastAsia" w:ascii="仿宋" w:hAnsi="仿宋" w:eastAsia="仿宋" w:cs="仿宋"/>
                <w:sz w:val="24"/>
                <w:szCs w:val="24"/>
                <w:lang w:val="en-US" w:eastAsia="zh-CN"/>
              </w:rPr>
              <w:t>得</w:t>
            </w:r>
            <w:r>
              <w:rPr>
                <w:rFonts w:hint="eastAsia" w:ascii="仿宋" w:hAnsi="仿宋" w:eastAsia="仿宋" w:cs="仿宋"/>
                <w:sz w:val="24"/>
                <w:szCs w:val="24"/>
              </w:rPr>
              <w:t>10分。</w:t>
            </w:r>
          </w:p>
          <w:p w14:paraId="28A2726D">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提供虚假资质材料的，一经发现，本项目得0分，并立即终止合作。</w:t>
            </w:r>
          </w:p>
          <w:p w14:paraId="45B77349">
            <w:pPr>
              <w:keepNext w:val="0"/>
              <w:keepLines w:val="0"/>
              <w:pageBreakBefore w:val="0"/>
              <w:widowControl w:val="0"/>
              <w:kinsoku/>
              <w:wordWrap/>
              <w:overflowPunct/>
              <w:topLinePunct w:val="0"/>
              <w:autoSpaceDE/>
              <w:autoSpaceDN/>
              <w:bidi w:val="0"/>
              <w:adjustRightInd/>
              <w:snapToGrid/>
              <w:spacing w:line="440" w:lineRule="exact"/>
              <w:ind w:left="0" w:firstLine="0" w:firstLineChars="0"/>
              <w:jc w:val="both"/>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在合作中出现商业贿赂等不诚信行为，本项目得0分，并立即终止合作。</w:t>
            </w:r>
          </w:p>
        </w:tc>
        <w:tc>
          <w:tcPr>
            <w:tcW w:w="340" w:type="pct"/>
            <w:noWrap w:val="0"/>
            <w:vAlign w:val="center"/>
          </w:tcPr>
          <w:p w14:paraId="2566CFE0">
            <w:pPr>
              <w:keepNext w:val="0"/>
              <w:keepLines w:val="0"/>
              <w:pageBreakBefore w:val="0"/>
              <w:widowControl w:val="0"/>
              <w:kinsoku/>
              <w:wordWrap/>
              <w:overflowPunct/>
              <w:topLinePunct w:val="0"/>
              <w:autoSpaceDE/>
              <w:autoSpaceDN/>
              <w:bidi w:val="0"/>
              <w:adjustRightInd/>
              <w:spacing w:line="360" w:lineRule="auto"/>
              <w:ind w:left="0" w:firstLine="480" w:firstLineChars="200"/>
              <w:jc w:val="center"/>
              <w:textAlignment w:val="baseline"/>
              <w:rPr>
                <w:rFonts w:hint="eastAsia" w:ascii="仿宋" w:hAnsi="仿宋" w:eastAsia="仿宋" w:cs="仿宋"/>
                <w:sz w:val="24"/>
                <w:szCs w:val="24"/>
              </w:rPr>
            </w:pPr>
          </w:p>
        </w:tc>
      </w:tr>
      <w:tr w14:paraId="3E1D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41" w:type="pct"/>
            <w:noWrap w:val="0"/>
            <w:vAlign w:val="center"/>
          </w:tcPr>
          <w:p w14:paraId="0AD8B75D">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sz w:val="24"/>
                <w:szCs w:val="24"/>
              </w:rPr>
            </w:pPr>
            <w:r>
              <w:rPr>
                <w:rFonts w:hint="eastAsia" w:ascii="仿宋" w:hAnsi="仿宋" w:eastAsia="仿宋" w:cs="仿宋"/>
                <w:sz w:val="24"/>
                <w:szCs w:val="24"/>
              </w:rPr>
              <w:t>总分</w:t>
            </w:r>
          </w:p>
        </w:tc>
        <w:tc>
          <w:tcPr>
            <w:tcW w:w="4017" w:type="pct"/>
            <w:noWrap w:val="0"/>
            <w:vAlign w:val="center"/>
          </w:tcPr>
          <w:p w14:paraId="3CA89783">
            <w:pPr>
              <w:keepNext w:val="0"/>
              <w:keepLines w:val="0"/>
              <w:pageBreakBefore w:val="0"/>
              <w:widowControl w:val="0"/>
              <w:kinsoku/>
              <w:wordWrap/>
              <w:overflowPunct/>
              <w:topLinePunct w:val="0"/>
              <w:autoSpaceDE/>
              <w:autoSpaceDN/>
              <w:bidi w:val="0"/>
              <w:adjustRightInd/>
              <w:spacing w:line="360" w:lineRule="auto"/>
              <w:ind w:left="0" w:firstLine="0" w:firstLineChars="0"/>
              <w:jc w:val="center"/>
              <w:textAlignment w:val="baseline"/>
              <w:rPr>
                <w:rFonts w:hint="eastAsia" w:ascii="仿宋" w:hAnsi="仿宋" w:eastAsia="仿宋" w:cs="仿宋"/>
                <w:sz w:val="24"/>
                <w:szCs w:val="24"/>
              </w:rPr>
            </w:pPr>
            <w:r>
              <w:rPr>
                <w:rFonts w:hint="eastAsia" w:ascii="仿宋" w:hAnsi="仿宋" w:eastAsia="仿宋" w:cs="仿宋"/>
                <w:sz w:val="24"/>
                <w:szCs w:val="24"/>
              </w:rPr>
              <w:t>100</w:t>
            </w:r>
          </w:p>
        </w:tc>
        <w:tc>
          <w:tcPr>
            <w:tcW w:w="340" w:type="pct"/>
            <w:noWrap w:val="0"/>
            <w:vAlign w:val="center"/>
          </w:tcPr>
          <w:p w14:paraId="7D21B5CE">
            <w:pPr>
              <w:keepNext w:val="0"/>
              <w:keepLines w:val="0"/>
              <w:pageBreakBefore w:val="0"/>
              <w:widowControl w:val="0"/>
              <w:kinsoku/>
              <w:wordWrap/>
              <w:overflowPunct/>
              <w:topLinePunct w:val="0"/>
              <w:autoSpaceDE/>
              <w:autoSpaceDN/>
              <w:bidi w:val="0"/>
              <w:adjustRightInd/>
              <w:spacing w:line="360" w:lineRule="auto"/>
              <w:ind w:left="0" w:firstLine="480" w:firstLineChars="200"/>
              <w:jc w:val="center"/>
              <w:textAlignment w:val="baseline"/>
              <w:rPr>
                <w:rFonts w:hint="eastAsia" w:ascii="仿宋" w:hAnsi="仿宋" w:eastAsia="仿宋" w:cs="仿宋"/>
                <w:sz w:val="24"/>
                <w:szCs w:val="24"/>
              </w:rPr>
            </w:pPr>
          </w:p>
        </w:tc>
      </w:tr>
    </w:tbl>
    <w:p w14:paraId="27FAA97D">
      <w:pPr>
        <w:rPr>
          <w:rFonts w:hint="default" w:ascii="仿宋" w:hAnsi="仿宋" w:eastAsia="仿宋" w:cs="仿宋"/>
          <w:color w:val="auto"/>
          <w:lang w:val="en-US" w:eastAsia="zh-CN"/>
        </w:rPr>
      </w:pP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4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80A502"/>
    <w:multiLevelType w:val="singleLevel"/>
    <w:tmpl w:val="CF80A502"/>
    <w:lvl w:ilvl="0" w:tentative="0">
      <w:start w:val="1"/>
      <w:numFmt w:val="decimalEnclosedCircleChinese"/>
      <w:suff w:val="nothing"/>
      <w:lvlText w:val="%1　"/>
      <w:lvlJc w:val="left"/>
      <w:pPr>
        <w:ind w:left="0" w:firstLine="400"/>
      </w:pPr>
      <w:rPr>
        <w:rFonts w:hint="eastAsia"/>
      </w:rPr>
    </w:lvl>
  </w:abstractNum>
  <w:abstractNum w:abstractNumId="1">
    <w:nsid w:val="0AA54003"/>
    <w:multiLevelType w:val="singleLevel"/>
    <w:tmpl w:val="0AA54003"/>
    <w:lvl w:ilvl="0" w:tentative="0">
      <w:start w:val="1"/>
      <w:numFmt w:val="decimal"/>
      <w:suff w:val="space"/>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435D53"/>
    <w:rsid w:val="0A9412DA"/>
    <w:rsid w:val="62435D53"/>
    <w:rsid w:val="74F01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lock Text"/>
    <w:basedOn w:val="1"/>
    <w:unhideWhenUsed/>
    <w:qFormat/>
    <w:uiPriority w:val="99"/>
    <w:pPr>
      <w:spacing w:line="360" w:lineRule="auto"/>
      <w:ind w:left="-420" w:leftChars="-200" w:right="210" w:rightChars="100" w:firstLine="480" w:firstLineChars="200"/>
    </w:pPr>
    <w:rPr>
      <w:rFonts w:ascii="宋体" w:hAnsi="宋体"/>
    </w:rPr>
  </w:style>
  <w:style w:type="table" w:styleId="5">
    <w:name w:val="Table Grid"/>
    <w:basedOn w:val="4"/>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4322</Words>
  <Characters>4455</Characters>
  <Lines>0</Lines>
  <Paragraphs>0</Paragraphs>
  <TotalTime>5</TotalTime>
  <ScaleCrop>false</ScaleCrop>
  <LinksUpToDate>false</LinksUpToDate>
  <CharactersWithSpaces>5125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2025-08-28T08:42:00Z</dcterms:created>
  <dc:creator>苍白假面</dc:creator>
  <cp:lastModifiedBy>Easy。</cp:lastModifiedBy>
  <dcterms:modified xsi:type="dcterms:W3CDTF">2026-05-22T07:16:33Z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21636100E9F04561BE34C6DC0655A35E_13</vt:lpwstr>
  </property>
  <property fmtid="{D5CDD505-2E9C-101B-9397-08002B2CF9AE}" pid="4" name="KSOTemplateDocerSaveRecord">
    <vt:lpwstr>eyJoZGlkIjoiMTYwNmRjOTlkYzQ3YjRjYzlkYWI1N2EyNWQ3MzQyZDIiLCJ1c2VySWQiOiIyNDkwMzQ1MzQifQ==</vt:lpwstr>
  </property>
</Properties>
</file>