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4"/>
        <w:gridCol w:w="1113"/>
        <w:gridCol w:w="6500"/>
      </w:tblGrid>
      <w:tr w14:paraId="5792D9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0FD21828">
            <w:pPr>
              <w:pStyle w:val="6"/>
              <w:spacing w:line="360" w:lineRule="auto"/>
              <w:rPr>
                <w:rFonts w:hint="eastAsia" w:ascii="仿宋" w:hAnsi="仿宋" w:eastAsia="仿宋" w:cs="仿宋"/>
                <w:sz w:val="20"/>
                <w:szCs w:val="20"/>
              </w:rPr>
            </w:pPr>
            <w:r>
              <w:rPr>
                <w:rFonts w:hint="eastAsia" w:ascii="仿宋" w:hAnsi="仿宋" w:eastAsia="仿宋" w:cs="仿宋"/>
                <w:sz w:val="20"/>
                <w:szCs w:val="20"/>
              </w:rPr>
              <w:t>序号</w:t>
            </w:r>
          </w:p>
        </w:tc>
        <w:tc>
          <w:tcPr>
            <w:tcW w:w="1113" w:type="dxa"/>
          </w:tcPr>
          <w:p w14:paraId="4407B869">
            <w:pPr>
              <w:pStyle w:val="6"/>
              <w:spacing w:line="360" w:lineRule="auto"/>
              <w:rPr>
                <w:rFonts w:hint="eastAsia" w:ascii="仿宋" w:hAnsi="仿宋" w:eastAsia="仿宋" w:cs="仿宋"/>
                <w:sz w:val="20"/>
                <w:szCs w:val="20"/>
              </w:rPr>
            </w:pPr>
            <w:r>
              <w:rPr>
                <w:rFonts w:hint="eastAsia" w:ascii="仿宋" w:hAnsi="仿宋" w:eastAsia="仿宋" w:cs="仿宋"/>
                <w:sz w:val="20"/>
                <w:szCs w:val="20"/>
              </w:rPr>
              <w:t>参数性质</w:t>
            </w:r>
          </w:p>
        </w:tc>
        <w:tc>
          <w:tcPr>
            <w:tcW w:w="6500" w:type="dxa"/>
          </w:tcPr>
          <w:p w14:paraId="0D7EF61B">
            <w:pPr>
              <w:pStyle w:val="6"/>
              <w:spacing w:line="360" w:lineRule="auto"/>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0806AD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69633D46">
            <w:pPr>
              <w:pStyle w:val="6"/>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t>1</w:t>
            </w:r>
          </w:p>
        </w:tc>
        <w:tc>
          <w:tcPr>
            <w:tcW w:w="1113" w:type="dxa"/>
          </w:tcPr>
          <w:p w14:paraId="1006F58E">
            <w:pPr>
              <w:spacing w:line="360" w:lineRule="auto"/>
              <w:rPr>
                <w:rFonts w:hint="default" w:ascii="仿宋" w:hAnsi="仿宋" w:eastAsia="仿宋" w:cs="仿宋"/>
                <w:sz w:val="20"/>
                <w:szCs w:val="20"/>
                <w:highlight w:val="none"/>
                <w:lang w:val="en-US"/>
              </w:rPr>
            </w:pPr>
            <w:r>
              <w:rPr>
                <w:rFonts w:hint="eastAsia" w:ascii="仿宋" w:hAnsi="仿宋" w:eastAsia="仿宋" w:cs="仿宋"/>
                <w:sz w:val="20"/>
                <w:szCs w:val="20"/>
                <w:highlight w:val="none"/>
                <w:lang w:val="en-US" w:eastAsia="zh-CN"/>
              </w:rPr>
              <w:t>高性能FPGA开发板（含射频单元）</w:t>
            </w:r>
            <w:r>
              <w:rPr>
                <w:rFonts w:hint="eastAsia" w:ascii="仿宋" w:hAnsi="仿宋" w:eastAsia="仿宋" w:cs="仿宋"/>
                <w:b/>
                <w:bCs/>
                <w:sz w:val="20"/>
                <w:szCs w:val="20"/>
                <w:highlight w:val="none"/>
                <w:lang w:val="en-US" w:eastAsia="zh-CN"/>
              </w:rPr>
              <w:t>核心产品</w:t>
            </w:r>
          </w:p>
        </w:tc>
        <w:tc>
          <w:tcPr>
            <w:tcW w:w="6500" w:type="dxa"/>
          </w:tcPr>
          <w:p w14:paraId="05AF817C">
            <w:pPr>
              <w:numPr>
                <w:ilvl w:val="0"/>
                <w:numId w:val="0"/>
              </w:numPr>
              <w:spacing w:line="360" w:lineRule="auto"/>
              <w:rPr>
                <w:rFonts w:hint="eastAsia" w:ascii="仿宋" w:hAnsi="仿宋" w:eastAsia="仿宋" w:cs="仿宋"/>
                <w:b w:val="0"/>
                <w:bCs/>
                <w:strike w:val="0"/>
                <w:dstrike w:val="0"/>
                <w:sz w:val="20"/>
                <w:szCs w:val="20"/>
                <w:highlight w:val="none"/>
                <w:lang w:val="en-US" w:eastAsia="zh-CN"/>
              </w:rPr>
            </w:pPr>
            <w:r>
              <w:rPr>
                <w:rFonts w:hint="eastAsia" w:ascii="仿宋" w:hAnsi="仿宋" w:eastAsia="仿宋" w:cs="仿宋"/>
                <w:b w:val="0"/>
                <w:bCs/>
                <w:strike w:val="0"/>
                <w:dstrike w:val="0"/>
                <w:sz w:val="20"/>
                <w:szCs w:val="20"/>
                <w:highlight w:val="none"/>
                <w:lang w:val="en-US" w:eastAsia="zh-CN"/>
              </w:rPr>
              <w:t>硬件设备</w:t>
            </w:r>
          </w:p>
          <w:p w14:paraId="22154829">
            <w:pPr>
              <w:numPr>
                <w:ilvl w:val="0"/>
                <w:numId w:val="0"/>
              </w:numPr>
              <w:spacing w:line="360" w:lineRule="auto"/>
              <w:rPr>
                <w:rFonts w:hint="eastAsia" w:ascii="仿宋" w:hAnsi="仿宋" w:eastAsia="仿宋" w:cs="仿宋"/>
                <w:sz w:val="20"/>
                <w:szCs w:val="20"/>
                <w:lang w:val="en-US" w:eastAsia="zh-CN"/>
              </w:rPr>
            </w:pPr>
            <w:r>
              <w:rPr>
                <w:rFonts w:hint="eastAsia" w:ascii="仿宋" w:hAnsi="仿宋" w:eastAsia="仿宋" w:cs="仿宋"/>
                <w:kern w:val="2"/>
                <w:sz w:val="20"/>
                <w:szCs w:val="20"/>
                <w:lang w:val="en-US" w:eastAsia="zh-CN" w:bidi="ar-SA"/>
              </w:rPr>
              <w:t>一、</w:t>
            </w:r>
            <w:r>
              <w:rPr>
                <w:rFonts w:hint="eastAsia" w:ascii="仿宋" w:hAnsi="仿宋" w:eastAsia="仿宋" w:cs="仿宋"/>
                <w:sz w:val="20"/>
                <w:szCs w:val="20"/>
                <w:lang w:val="en-US" w:eastAsia="zh-CN"/>
              </w:rPr>
              <w:t>高性能FPGA开发板（含射频单元）：16台套</w:t>
            </w:r>
          </w:p>
          <w:p w14:paraId="1625DF5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1.主控开发板功能要求</w:t>
            </w:r>
          </w:p>
          <w:p w14:paraId="1B99D1A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（1）主控板器件架构采用单片集成处理系统（PS）与可编程逻辑（PL）的异构 SoC 器件，</w:t>
            </w:r>
            <w:r>
              <w:rPr>
                <w:rFonts w:hint="eastAsia" w:ascii="仿宋" w:hAnsi="仿宋" w:eastAsia="仿宋" w:cs="仿宋"/>
                <w:b w:val="0"/>
                <w:bCs/>
                <w:color w:val="auto"/>
                <w:sz w:val="21"/>
                <w:szCs w:val="21"/>
                <w:highlight w:val="none"/>
                <w:lang w:val="en-US" w:eastAsia="zh-CN"/>
              </w:rPr>
              <w:t>PS采用Arm架构且集成双核处理器，PL采用Kintex-7架构；</w:t>
            </w:r>
          </w:p>
          <w:p w14:paraId="2967DE6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（2）处理器主频≥ 800MHz，支持 NEON 指令集与浮点运算单元（FPU）；</w:t>
            </w:r>
          </w:p>
          <w:p w14:paraId="1EDF880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（3）逻辑单元（Logic Cells）数量≥ 444K；</w:t>
            </w:r>
          </w:p>
          <w:p w14:paraId="6D54423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（4）查找表（LUT）数量≥ 277400 个；</w:t>
            </w:r>
          </w:p>
          <w:p w14:paraId="2462D30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（5）触发器（Flip-Flop）数量≥ 554800 个；</w:t>
            </w:r>
          </w:p>
          <w:p w14:paraId="1665AD4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（6）DSP 运算单元不少于 2020 个 DSP Slices；</w:t>
            </w:r>
          </w:p>
          <w:p w14:paraId="628CDAD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（7）片上 Block RAM 容量≥ 26.5Mb；</w:t>
            </w:r>
          </w:p>
          <w:p w14:paraId="52C28F9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（8）内存为板载 DDR3/DDR3L SDRAM，处理系统（PS）侧容量≥ 1GB，可编程逻辑（PL）侧容量≥ 1GB，两侧合计≥ 2GB，数据位宽≥ 32bit；</w:t>
            </w:r>
          </w:p>
          <w:p w14:paraId="19EE317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（9）配置存储为板载 QSPI Flash，容量≥ 256Mb，支持上电自动加载与在线升级；</w:t>
            </w:r>
          </w:p>
          <w:p w14:paraId="05B1637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（10）用户存储为板载 eMMC 存储，容量≥ 8GB；</w:t>
            </w:r>
          </w:p>
          <w:p w14:paraId="2C9DF22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（11）提供不少于 2 路 10/100/1000M 自适应千兆以太网接口（RJ45），PS与PL端至少各1路；</w:t>
            </w:r>
          </w:p>
          <w:p w14:paraId="682AAC8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（12）提供不少于 2 路 SFP 光通信（光模块）接口；</w:t>
            </w:r>
          </w:p>
          <w:p w14:paraId="24E12C6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（13）提供不少于 1 路 PCIe 2.0 x8（或以上速率与通道数）高速总线接口；</w:t>
            </w:r>
          </w:p>
          <w:p w14:paraId="468C208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（14）提供 FMC 扩展接口，为 HPC 型（高引脚数，400 引脚），符合 ANSI/VITA 57.1 标准，支持多路高速收发通道引出。调试与外设配置为板载 USB-UART 调试接口、JTAG 下载接口、工作状态指示灯、用户按键及复位电路、LCD屏幕接口、OLED接口、摄像头接口、IO扩展口、预留功能扩展模块接口，支持快速扩展蓝牙、GPS、传感器、算力板等；</w:t>
            </w:r>
          </w:p>
          <w:p w14:paraId="4C122AB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（15）供电方式为DC 12V 单电源供电，板载电源管理电路具备过流、过压保护。工作温度范围：-40℃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+85℃。主控器件配置散热片或风冷组件，在满载连续运行条件下不降频、不死机；</w:t>
            </w:r>
          </w:p>
          <w:p w14:paraId="20C39C4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（16）提供原理图、PCB 装配图、中文用户手册、出厂检测报告，以及可编译的FPGA工程与嵌入式软件示例工程。</w:t>
            </w:r>
          </w:p>
          <w:p w14:paraId="38D5B8C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2.射频收发子板功能要求</w:t>
            </w:r>
          </w:p>
          <w:p w14:paraId="7751D92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（1）射频收发子板配置AD9361及以上处理能力的芯片，射频收发架构采用单片集成的零中频射频捷变收发器，具备 2 发 2 收（2T2R）收发通道；</w:t>
            </w:r>
          </w:p>
          <w:p w14:paraId="7F8F3CB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（2）射频工作频率70MHz</w:t>
            </w:r>
            <w:r>
              <w:rPr>
                <w:rFonts w:hint="eastAsia" w:ascii="Raleigh Std Roman" w:hAnsi="Raleigh Std Roman" w:eastAsia="Raleigh Std Roman" w:cs="Raleigh Std Roman"/>
                <w:b w:val="0"/>
                <w:bCs/>
                <w:color w:val="auto"/>
                <w:sz w:val="20"/>
                <w:szCs w:val="20"/>
                <w:highlight w:val="none"/>
                <w:lang w:val="en-US" w:eastAsia="zh-CN"/>
              </w:rPr>
              <w:t>~</w:t>
            </w:r>
            <w:r>
              <w:rPr>
                <w:rFonts w:hint="eastAsia" w:ascii="仿宋" w:hAnsi="仿宋" w:eastAsia="仿宋" w:cs="仿宋"/>
                <w:b w:val="0"/>
                <w:bCs/>
                <w:color w:val="auto"/>
                <w:sz w:val="20"/>
                <w:szCs w:val="20"/>
                <w:highlight w:val="none"/>
                <w:lang w:val="en-US" w:eastAsia="zh-CN"/>
              </w:rPr>
              <w:t>6000MHz，支持连续可调；</w:t>
            </w:r>
          </w:p>
          <w:p w14:paraId="1AD27C3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（3）瞬时信号带宽为200kHz</w:t>
            </w:r>
            <w:r>
              <w:rPr>
                <w:rFonts w:hint="eastAsia" w:ascii="Raleigh Std Roman" w:hAnsi="Raleigh Std Roman" w:eastAsia="Raleigh Std Roman" w:cs="Raleigh Std Roman"/>
                <w:b w:val="0"/>
                <w:bCs/>
                <w:color w:val="auto"/>
                <w:sz w:val="20"/>
                <w:szCs w:val="20"/>
                <w:highlight w:val="none"/>
                <w:lang w:val="en-US" w:eastAsia="zh-CN"/>
              </w:rPr>
              <w:t>~</w:t>
            </w:r>
            <w:r>
              <w:rPr>
                <w:rFonts w:hint="eastAsia" w:ascii="仿宋" w:hAnsi="仿宋" w:eastAsia="仿宋" w:cs="仿宋"/>
                <w:b w:val="0"/>
                <w:bCs/>
                <w:color w:val="auto"/>
                <w:sz w:val="20"/>
                <w:szCs w:val="20"/>
                <w:highlight w:val="none"/>
                <w:lang w:val="en-US" w:eastAsia="zh-CN"/>
              </w:rPr>
              <w:t>56MHz，支持软件可配置；</w:t>
            </w:r>
          </w:p>
          <w:p w14:paraId="015D2D5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（4）收发通道数不少于 2 路发射通道、2 路接收通道，支持 2×2 MIMO 收发；</w:t>
            </w:r>
          </w:p>
          <w:p w14:paraId="33650F5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（5）ADC/DAC 分辨率均≥ 12bit；</w:t>
            </w:r>
          </w:p>
          <w:p w14:paraId="2A42726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（6）接口采用 FMC-LPC（低引脚数）连接器，符合 ANSI/VITA 57.1 标准，可与 HPC 型 FMC 座直接互配；</w:t>
            </w:r>
          </w:p>
          <w:p w14:paraId="1F8547A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（7）提供板载高稳定度参考时钟系统，并支持外部参考时钟输入/输出（SMA 接口）；</w:t>
            </w:r>
          </w:p>
          <w:p w14:paraId="38F0BF4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（8）射频接口采用 SMA 同轴连接器，发射与接收链路独立引出；</w:t>
            </w:r>
          </w:p>
          <w:p w14:paraId="076E8AA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（9）支持可编程增益控制（AGC/MGC）及可配置模拟基带滤波；</w:t>
            </w:r>
          </w:p>
          <w:p w14:paraId="21260C7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（10）供电方式由板载 FMC 接口供电，整板（含配套电路）功耗不高于 5W；</w:t>
            </w:r>
          </w:p>
          <w:p w14:paraId="18F045D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（11）提供处理系统（PS）与可编程逻辑（PL）两侧的驱动与收发链路等配套示例工程。</w:t>
            </w:r>
          </w:p>
          <w:p w14:paraId="30D2DC2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3.系统整体与配套教学资源要求</w:t>
            </w:r>
          </w:p>
          <w:p w14:paraId="1D05F5E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（1）主控开发板与射频收发子板可直接堆叠互配使用，无需额外转接板；</w:t>
            </w:r>
            <w:r>
              <w:rPr>
                <w:rFonts w:hint="eastAsia" w:ascii="仿宋" w:hAnsi="仿宋" w:eastAsia="仿宋" w:cs="仿宋"/>
                <w:b/>
                <w:bCs w:val="0"/>
                <w:color w:val="000000" w:themeColor="text1"/>
                <w:sz w:val="20"/>
                <w:szCs w:val="20"/>
                <w:highlight w:val="none"/>
                <w:lang w:val="en-US" w:eastAsia="zh-CN"/>
                <w14:textFill>
                  <w14:solidFill>
                    <w14:schemeClr w14:val="tx1"/>
                  </w14:solidFill>
                </w14:textFill>
              </w:rPr>
              <w:t>（须提供实物互配照片或测试记录作为佐证）</w:t>
            </w:r>
            <w:r>
              <w:rPr>
                <w:rFonts w:hint="eastAsia" w:ascii="仿宋" w:hAnsi="仿宋" w:eastAsia="仿宋" w:cs="仿宋"/>
                <w:b/>
                <w:bCs w:val="0"/>
                <w:color w:val="auto"/>
                <w:sz w:val="20"/>
                <w:szCs w:val="20"/>
                <w:highlight w:val="none"/>
                <w:lang w:val="en-US" w:eastAsia="zh-CN"/>
              </w:rPr>
              <w:t>；</w:t>
            </w:r>
          </w:p>
          <w:p w14:paraId="1F9D6C3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（2）提供系统级的射频收发环回（自发自收）演示程序，用于验收时功能确认；</w:t>
            </w:r>
          </w:p>
          <w:p w14:paraId="4359726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（3）提供可用的软硬件开发环境方案，支持主流 FPGA 开发工具链与嵌入式 Linux 开发流程；</w:t>
            </w:r>
          </w:p>
          <w:p w14:paraId="30B7889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sz w:val="20"/>
                <w:szCs w:val="20"/>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4）提供包含开发环境与编程基础、基带信号处理模块（信源、编码、滤波等）设计与仿真、系统顶层集成设计、综合实现与时序约束、板级分模块调试与实测、开发平台环境搭建与硬件设计、FM广播接收、QPSK数字调制收发、OFDM宽带传输等内容的配套教学资源与FPGA开发源码；（5）开放接口驱动与 API 源码，满足采购方后续算法移植与二次开发需求。</w:t>
            </w:r>
          </w:p>
        </w:tc>
      </w:tr>
      <w:tr w14:paraId="0AF4B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94" w:type="dxa"/>
          </w:tcPr>
          <w:p w14:paraId="1CC23F04">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w:t>
            </w:r>
          </w:p>
        </w:tc>
        <w:tc>
          <w:tcPr>
            <w:tcW w:w="1113" w:type="dxa"/>
          </w:tcPr>
          <w:p w14:paraId="3FA12C80">
            <w:pPr>
              <w:spacing w:line="360" w:lineRule="auto"/>
              <w:rPr>
                <w:rFonts w:hint="eastAsia" w:ascii="仿宋" w:hAnsi="仿宋" w:eastAsia="仿宋" w:cs="仿宋"/>
                <w:sz w:val="20"/>
                <w:szCs w:val="20"/>
              </w:rPr>
            </w:pPr>
          </w:p>
        </w:tc>
        <w:tc>
          <w:tcPr>
            <w:tcW w:w="6500" w:type="dxa"/>
          </w:tcPr>
          <w:p w14:paraId="3693B2D2">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二、</w:t>
            </w:r>
            <w:r>
              <w:rPr>
                <w:rFonts w:hint="eastAsia" w:ascii="仿宋" w:hAnsi="仿宋" w:eastAsia="仿宋" w:cs="仿宋"/>
                <w:b w:val="0"/>
                <w:bCs/>
                <w:color w:val="auto"/>
                <w:sz w:val="20"/>
                <w:szCs w:val="20"/>
                <w:highlight w:val="none"/>
              </w:rPr>
              <w:t>高性能算力开发板</w:t>
            </w:r>
            <w:r>
              <w:rPr>
                <w:rFonts w:hint="eastAsia" w:ascii="仿宋" w:hAnsi="仿宋" w:eastAsia="仿宋" w:cs="仿宋"/>
                <w:b w:val="0"/>
                <w:bCs/>
                <w:color w:val="auto"/>
                <w:sz w:val="20"/>
                <w:szCs w:val="20"/>
                <w:highlight w:val="none"/>
                <w:lang w:eastAsia="zh-CN"/>
              </w:rPr>
              <w:t>：</w:t>
            </w:r>
            <w:r>
              <w:rPr>
                <w:rFonts w:hint="eastAsia" w:ascii="仿宋" w:hAnsi="仿宋" w:eastAsia="仿宋" w:cs="仿宋"/>
                <w:b w:val="0"/>
                <w:bCs/>
                <w:color w:val="auto"/>
                <w:sz w:val="20"/>
                <w:szCs w:val="20"/>
                <w:highlight w:val="none"/>
                <w:lang w:val="en-US" w:eastAsia="zh-CN"/>
              </w:rPr>
              <w:t>4台套</w:t>
            </w:r>
          </w:p>
          <w:p w14:paraId="4114C4D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1.算力48tops；</w:t>
            </w:r>
          </w:p>
          <w:p w14:paraId="4121CD3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2.核心数≥8核；</w:t>
            </w:r>
          </w:p>
          <w:p w14:paraId="6CCC271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3.主频≥3.3GHz；</w:t>
            </w:r>
          </w:p>
          <w:p w14:paraId="5D7736C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4.支持INT4、INT8、INT16、FP16混合运算；</w:t>
            </w:r>
          </w:p>
          <w:p w14:paraId="58977D9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5.支持图像分析、语音识别、数据处理等；</w:t>
            </w:r>
          </w:p>
          <w:p w14:paraId="4D56F90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6.支持Transformer架构下大规模参数模型的私有化部署，包括Qwen系列、Llama系统、Gemma系列、DeepSeek-R1系列、Phi系列等；</w:t>
            </w:r>
          </w:p>
          <w:p w14:paraId="4A43970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7.支持TensorFlow、TensorFlow Lite、PyTorch、Caffe等深度学习框架；</w:t>
            </w:r>
          </w:p>
          <w:p w14:paraId="52F3A23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8.配置丰富通信接口，具体为千兆以太网接口≥2个，USB3.0接口≥2个，TF 卡接口≥1个，Type-C接口≥1个，HDMI2.0接口≥1个；</w:t>
            </w:r>
          </w:p>
          <w:p w14:paraId="43262C7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9.支持Linux系统；</w:t>
            </w:r>
          </w:p>
          <w:p w14:paraId="739344B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10.配置内存≥16GB，存储≥256GB；</w:t>
            </w:r>
          </w:p>
          <w:p w14:paraId="1A4247A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11.供电电源为DC12V、5A；</w:t>
            </w:r>
          </w:p>
          <w:p w14:paraId="7246B6A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12.典型功耗≤5W，最大功耗≤14W，休眠功耗≤0.5W；</w:t>
            </w:r>
          </w:p>
          <w:p w14:paraId="6EC51123">
            <w:pPr>
              <w:numPr>
                <w:ilvl w:val="0"/>
                <w:numId w:val="0"/>
              </w:numPr>
              <w:spacing w:line="360" w:lineRule="auto"/>
              <w:ind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13.工作环境温度范围不小于-20℃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60℃。</w:t>
            </w:r>
          </w:p>
        </w:tc>
      </w:tr>
      <w:tr w14:paraId="38C18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2F712B65">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w:t>
            </w:r>
          </w:p>
        </w:tc>
        <w:tc>
          <w:tcPr>
            <w:tcW w:w="1113" w:type="dxa"/>
          </w:tcPr>
          <w:p w14:paraId="641694F0">
            <w:pPr>
              <w:spacing w:line="360" w:lineRule="auto"/>
              <w:rPr>
                <w:rFonts w:hint="eastAsia" w:ascii="仿宋" w:hAnsi="仿宋" w:eastAsia="仿宋" w:cs="仿宋"/>
                <w:sz w:val="20"/>
                <w:szCs w:val="20"/>
              </w:rPr>
            </w:pPr>
          </w:p>
        </w:tc>
        <w:tc>
          <w:tcPr>
            <w:tcW w:w="6500" w:type="dxa"/>
          </w:tcPr>
          <w:p w14:paraId="33BDD82E">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三、</w:t>
            </w:r>
            <w:r>
              <w:rPr>
                <w:rFonts w:hint="eastAsia" w:ascii="仿宋" w:hAnsi="仿宋" w:eastAsia="仿宋" w:cs="仿宋"/>
                <w:b w:val="0"/>
                <w:bCs/>
                <w:color w:val="auto"/>
                <w:sz w:val="20"/>
                <w:szCs w:val="20"/>
                <w:highlight w:val="none"/>
              </w:rPr>
              <w:t>智能无人机</w:t>
            </w:r>
            <w:r>
              <w:rPr>
                <w:rFonts w:hint="eastAsia" w:ascii="仿宋" w:hAnsi="仿宋" w:eastAsia="仿宋" w:cs="仿宋"/>
                <w:b w:val="0"/>
                <w:bCs/>
                <w:color w:val="auto"/>
                <w:sz w:val="20"/>
                <w:szCs w:val="20"/>
                <w:highlight w:val="none"/>
                <w:lang w:eastAsia="zh-CN"/>
              </w:rPr>
              <w:t>：</w:t>
            </w:r>
            <w:r>
              <w:rPr>
                <w:rFonts w:hint="eastAsia" w:ascii="仿宋" w:hAnsi="仿宋" w:eastAsia="仿宋" w:cs="仿宋"/>
                <w:b w:val="0"/>
                <w:bCs/>
                <w:color w:val="auto"/>
                <w:sz w:val="20"/>
                <w:szCs w:val="20"/>
                <w:highlight w:val="none"/>
                <w:lang w:val="en-US" w:eastAsia="zh-CN"/>
              </w:rPr>
              <w:t>1台套</w:t>
            </w:r>
          </w:p>
          <w:p w14:paraId="0110CAF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1.尺寸≥494*494*248mm，轴距≥410mm；</w:t>
            </w:r>
          </w:p>
          <w:p w14:paraId="01C7CD3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2.起飞重量≥4.5kg；</w:t>
            </w:r>
          </w:p>
          <w:p w14:paraId="044D825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3.有效载荷≥1.5kg；</w:t>
            </w:r>
          </w:p>
          <w:p w14:paraId="7C8699A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4.激光雷达激光波长905nm，水平FOV360°、垂直59°，相对精度≤1.2cm，绝对精度≤3cm，有效扫描距离≥40m（10%反射率）/≥70m（80%反射率），点频≥20万点/s；</w:t>
            </w:r>
          </w:p>
          <w:p w14:paraId="4C104105">
            <w:pPr>
              <w:pStyle w:val="3"/>
              <w:keepNext w:val="0"/>
              <w:keepLines w:val="0"/>
              <w:pageBreakBefore w:val="0"/>
              <w:numPr>
                <w:ilvl w:val="0"/>
                <w:numId w:val="1"/>
              </w:numPr>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内置IMU型号：集成于激光雷达，支撑激光惯性里程计算法；</w:t>
            </w:r>
          </w:p>
          <w:p w14:paraId="3A8A5FC9">
            <w:pPr>
              <w:pStyle w:val="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6.机载电脑算力≥67TOPS，核心数≥6核；含USB-A2.0、LAN等多拓展接口，电源适配DC9-36V；</w:t>
            </w:r>
          </w:p>
          <w:p w14:paraId="6EB3A36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7.飞控MCU主频≥480MHz，支持PX4/APM固件，适配PID、LQR、MPC等控制算法；</w:t>
            </w:r>
          </w:p>
          <w:p w14:paraId="21C0DAA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8.电池容量≥8000mAh，续航≥20min；</w:t>
            </w:r>
          </w:p>
          <w:p w14:paraId="7AD7072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9.运动规划算法支持毫秒级生成三维轨迹，支持六向全方位避障，适配动态障碍物场景；</w:t>
            </w:r>
          </w:p>
          <w:p w14:paraId="1E990E21">
            <w:pPr>
              <w:numPr>
                <w:ilvl w:val="0"/>
                <w:numId w:val="0"/>
              </w:numPr>
              <w:spacing w:line="360" w:lineRule="auto"/>
              <w:ind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10.配套《无人驾驶航空器系统工程综合实验》课程数字资源，≥48课时。</w:t>
            </w:r>
          </w:p>
        </w:tc>
      </w:tr>
      <w:tr w14:paraId="2B4F70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14920C87">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4</w:t>
            </w:r>
          </w:p>
        </w:tc>
        <w:tc>
          <w:tcPr>
            <w:tcW w:w="1113" w:type="dxa"/>
          </w:tcPr>
          <w:p w14:paraId="027E19AF">
            <w:pPr>
              <w:spacing w:line="360" w:lineRule="auto"/>
              <w:rPr>
                <w:rFonts w:hint="eastAsia" w:ascii="仿宋" w:hAnsi="仿宋" w:eastAsia="仿宋" w:cs="仿宋"/>
                <w:sz w:val="20"/>
                <w:szCs w:val="20"/>
              </w:rPr>
            </w:pPr>
          </w:p>
        </w:tc>
        <w:tc>
          <w:tcPr>
            <w:tcW w:w="6500" w:type="dxa"/>
          </w:tcPr>
          <w:p w14:paraId="60DA49E3">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四、</w:t>
            </w:r>
            <w:r>
              <w:rPr>
                <w:rFonts w:hint="eastAsia" w:ascii="仿宋" w:hAnsi="仿宋" w:eastAsia="仿宋" w:cs="仿宋"/>
                <w:b w:val="0"/>
                <w:bCs/>
                <w:strike w:val="0"/>
                <w:dstrike w:val="0"/>
                <w:color w:val="auto"/>
                <w:sz w:val="20"/>
                <w:szCs w:val="20"/>
                <w:highlight w:val="none"/>
              </w:rPr>
              <w:t>智能小车</w:t>
            </w:r>
            <w:r>
              <w:rPr>
                <w:rFonts w:hint="eastAsia" w:ascii="仿宋" w:hAnsi="仿宋" w:eastAsia="仿宋" w:cs="仿宋"/>
                <w:b w:val="0"/>
                <w:bCs/>
                <w:strike w:val="0"/>
                <w:dstrike w:val="0"/>
                <w:color w:val="auto"/>
                <w:sz w:val="20"/>
                <w:szCs w:val="20"/>
                <w:highlight w:val="none"/>
                <w:lang w:eastAsia="zh-CN"/>
              </w:rPr>
              <w:t>：</w:t>
            </w:r>
            <w:r>
              <w:rPr>
                <w:rFonts w:hint="eastAsia" w:ascii="仿宋" w:hAnsi="仿宋" w:eastAsia="仿宋" w:cs="仿宋"/>
                <w:b w:val="0"/>
                <w:bCs/>
                <w:strike w:val="0"/>
                <w:dstrike w:val="0"/>
                <w:color w:val="auto"/>
                <w:sz w:val="20"/>
                <w:szCs w:val="20"/>
                <w:highlight w:val="none"/>
                <w:lang w:val="en-US" w:eastAsia="zh-CN"/>
              </w:rPr>
              <w:t>1</w:t>
            </w:r>
            <w:r>
              <w:rPr>
                <w:rFonts w:hint="eastAsia" w:ascii="仿宋" w:hAnsi="仿宋" w:eastAsia="仿宋" w:cs="仿宋"/>
                <w:b w:val="0"/>
                <w:bCs/>
                <w:color w:val="auto"/>
                <w:sz w:val="20"/>
                <w:szCs w:val="20"/>
                <w:highlight w:val="none"/>
                <w:lang w:val="en-US" w:eastAsia="zh-CN"/>
              </w:rPr>
              <w:t>台套</w:t>
            </w:r>
          </w:p>
          <w:p w14:paraId="4E45629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1.尺寸</w:t>
            </w:r>
            <w:r>
              <w:rPr>
                <w:rFonts w:hint="eastAsia" w:ascii="仿宋" w:hAnsi="仿宋" w:eastAsia="仿宋" w:cs="仿宋"/>
                <w:b w:val="0"/>
                <w:bCs/>
                <w:color w:val="auto"/>
                <w:sz w:val="20"/>
                <w:szCs w:val="20"/>
                <w:highlight w:val="none"/>
                <w:lang w:val="en-US" w:eastAsia="zh-CN"/>
              </w:rPr>
              <w:t>≥</w:t>
            </w:r>
            <w:r>
              <w:rPr>
                <w:rFonts w:hint="eastAsia" w:ascii="仿宋" w:hAnsi="仿宋" w:eastAsia="仿宋" w:cs="仿宋"/>
                <w:b w:val="0"/>
                <w:bCs/>
                <w:strike w:val="0"/>
                <w:dstrike w:val="0"/>
                <w:color w:val="auto"/>
                <w:sz w:val="20"/>
                <w:szCs w:val="20"/>
                <w:highlight w:val="none"/>
                <w:lang w:val="en-US" w:eastAsia="zh-CN"/>
              </w:rPr>
              <w:t>440×380×290mm，自重≤5kg；最大负载</w:t>
            </w:r>
            <w:r>
              <w:rPr>
                <w:rFonts w:hint="eastAsia" w:ascii="仿宋" w:hAnsi="仿宋" w:eastAsia="仿宋" w:cs="仿宋"/>
                <w:b w:val="0"/>
                <w:bCs/>
                <w:color w:val="auto"/>
                <w:sz w:val="20"/>
                <w:szCs w:val="20"/>
                <w:highlight w:val="none"/>
                <w:lang w:val="en-US" w:eastAsia="zh-CN"/>
              </w:rPr>
              <w:t>≥</w:t>
            </w:r>
            <w:r>
              <w:rPr>
                <w:rFonts w:hint="eastAsia" w:ascii="仿宋" w:hAnsi="仿宋" w:eastAsia="仿宋" w:cs="仿宋"/>
                <w:b w:val="0"/>
                <w:bCs/>
                <w:strike w:val="0"/>
                <w:dstrike w:val="0"/>
                <w:color w:val="auto"/>
                <w:sz w:val="20"/>
                <w:szCs w:val="20"/>
                <w:highlight w:val="none"/>
                <w:lang w:val="en-US" w:eastAsia="zh-CN"/>
              </w:rPr>
              <w:t>3kg；</w:t>
            </w:r>
          </w:p>
          <w:p w14:paraId="7AFF7CE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2.配置激光雷达，测距范围≥12m，可利用激光雷达进行SLAM地图的实时扫描与构建，完成小车在未知条件下的环境建模。采用麦克纳姆轮，运行速度≥1m/s；最小转弯半径0m；</w:t>
            </w:r>
          </w:p>
          <w:p w14:paraId="4C3E3E8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3.车载处理单元：内存≥8GB；存储≥128GB；配置接口USB3.0≥2个、HDMI≥1个、RJ45≥1个、DC5.5≥2个；</w:t>
            </w:r>
          </w:p>
          <w:p w14:paraId="07158B8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4.锂电池容量≥9000mAh；充电保护支持过放、过充、短路、过压等多重保护；</w:t>
            </w:r>
          </w:p>
          <w:p w14:paraId="26CD876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5.交互式屏幕尺寸≥7英寸，分辨率≥1024×600，配置显示接口HDMI≥1个；</w:t>
            </w:r>
          </w:p>
          <w:p w14:paraId="37B1243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6.配置视觉感知系统，具备如下功能</w:t>
            </w:r>
          </w:p>
          <w:p w14:paraId="3CFD2FD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（1）硬件分辨率≥1920×1080；视频帧率≥30fps（1280×720）；</w:t>
            </w:r>
          </w:p>
          <w:p w14:paraId="1CAA5B4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（2）支持通过视觉系统快速检测通过行人并进行标记检测，支持同时检测多个行人；</w:t>
            </w:r>
          </w:p>
          <w:p w14:paraId="4204817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（3）支持识别多种手势的手部动作和方向，可精准定位手部的五个关键点，识别V字、点赞、五指、拳头等手势；</w:t>
            </w:r>
          </w:p>
          <w:p w14:paraId="51B6CC5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（4）具备手势控制功能。可通过手势对小车进行左转、右转、前进、后退、停止等不同的方向的运动控制；</w:t>
            </w:r>
          </w:p>
          <w:p w14:paraId="79D5376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（5）具备视觉辅助智能驾驶功能。能够通过对如左转、右转、直行、人行横道、停止等各类交通标识进行识别，控制移动小车执行相应的行驶动作，实现视觉辅助智能驾驶。</w:t>
            </w:r>
          </w:p>
          <w:p w14:paraId="20D5522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7.提供环境感知传感器模组，模组构成要求如下：</w:t>
            </w:r>
          </w:p>
          <w:p w14:paraId="767E0CC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（1）超声波传感器≥1个。可用于测量机器行人与移动小车之间的距离；</w:t>
            </w:r>
          </w:p>
          <w:p w14:paraId="64B2D00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（2）人体检测传感器≥1个。可用于检测小车前方人体的存在或运动状态；</w:t>
            </w:r>
          </w:p>
          <w:p w14:paraId="6B0C9C5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（3）温湿度传感器≥1个。可用于监测环境的温度和湿度信息；</w:t>
            </w:r>
          </w:p>
          <w:p w14:paraId="5F30C0F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（4）气压传感器≥1个。可用于测量环境的大气压信息；</w:t>
            </w:r>
          </w:p>
          <w:p w14:paraId="0C46E90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（5）声音传感器≥1个。可用于检测环境中的声音分贝信息；</w:t>
            </w:r>
          </w:p>
          <w:p w14:paraId="29F6F92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（6）亮度传感器≥1个。可用于检测环境光强度信息；</w:t>
            </w:r>
          </w:p>
          <w:p w14:paraId="50E413A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（7）陀螺仪≥1个。可用于检测小车的姿态位置和角度信息；</w:t>
            </w:r>
          </w:p>
          <w:p w14:paraId="64FBC7C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（8）OLED屏幕≥1块。可用于显示传感器数据和小车电量信息；</w:t>
            </w:r>
          </w:p>
          <w:p w14:paraId="5AAD33D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（9）单片机≥1块。负责传感器系统的边缘控制，作为核心处理器来管理传感器数据、执行指令，并与其他模块交互。</w:t>
            </w:r>
          </w:p>
          <w:p w14:paraId="504ADED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8.提供多模态环境态势感知单元，可为智能终端决策控制提供全域感知数据源，具备如下功能：</w:t>
            </w:r>
          </w:p>
          <w:p w14:paraId="62D8960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（1）采用高密度微集成封装架构，融合力态感知、空间位姿解算、近场侦测三类感知维度，构建多源异构信息协同采集与融合输出体系；</w:t>
            </w:r>
          </w:p>
          <w:p w14:paraId="0508433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（2）力态感知模块基于压敏阻抗响应原理设计，有效感应域截面尺寸≥8mm，可动态捕捉接触面作用力特征，完成全域压力状态连续监测；</w:t>
            </w:r>
          </w:p>
          <w:p w14:paraId="1222445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（3）空间位姿解算模块具备姿态动态捕获能力，可实时解析载体的空间偏转量、惯性运动特征参数，实现全维度运动状态连续溯源；</w:t>
            </w:r>
          </w:p>
          <w:p w14:paraId="70442A7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（4）近场侦测模块具备距离特征辨识能力，特征辨识精度≤5mm，可动态感知载体与周边空间障碍物的相对位置关系；</w:t>
            </w:r>
          </w:p>
          <w:p w14:paraId="3B1AE31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（5）态势感知单元采用高速统一传输接口，支持免配置即连即用，集成过流、过压、静电防护电路，保障长期稳定运行；</w:t>
            </w:r>
          </w:p>
          <w:p w14:paraId="5E256D0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（6）搭载多源异构信息协同处理基板，实现数据的同步采集，基板集成多通道ADC与嵌入式微处理器，完成原始信号的实时滤波与校准；</w:t>
            </w:r>
          </w:p>
          <w:p w14:paraId="07955A9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7）部署多通道时域波形可视化软件，支持态势感知数据的同屏波形显示、单波形数据导出、实时数据研判等功能；（提供该可视化软件的界面截图，标记力态感知、空间位姿解算、近场侦测等数据波形的显示位置，并进行软件功能说明）；</w:t>
            </w:r>
          </w:p>
          <w:p w14:paraId="4C6828E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（8）部署智能异常状态分级预警引擎，可自定义压力过载、姿态超限、距离过近等多类告警阈值，支持异常数据自动保存；</w:t>
            </w:r>
          </w:p>
          <w:p w14:paraId="55D1FBE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9）该态势感知单元为一体化设计，数据传输采用统一的USB接口，支持在任意处理单元中的快速部署；（提供该态势感知单元的实物图，标记力态感知、空间位姿解算、近场侦测等模块的位置，并进行原理说明。）</w:t>
            </w:r>
          </w:p>
          <w:p w14:paraId="233348B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（10）开放SDK接口，支持自定义算法部署。</w:t>
            </w:r>
          </w:p>
          <w:p w14:paraId="2910E84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9.配置语音识别软件，具有如下功能：</w:t>
            </w:r>
          </w:p>
          <w:p w14:paraId="0458690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（1）具有语音唤醒功能，能够通过语音唤醒小车；</w:t>
            </w:r>
          </w:p>
          <w:p w14:paraId="006EC1B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（2）具有语音识别功能，能够识别语音的输入并显示结果；</w:t>
            </w:r>
          </w:p>
          <w:p w14:paraId="4FF5109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（3）具有语音交互功能，可以通过语音与小车进行交互，如控制小车前进、后退、左转、右转等；</w:t>
            </w:r>
          </w:p>
          <w:p w14:paraId="4D2BB6B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（4）具有语音导航功能，可以通过语音控制小车到达目标点。</w:t>
            </w:r>
          </w:p>
          <w:p w14:paraId="6266E79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10.提供多机器人协同控制系统软件，软件具备如下功能：</w:t>
            </w:r>
          </w:p>
          <w:p w14:paraId="340FF6A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（1）支持所有移动机器人的统一管理，实时显示每一台的在线状态、IP地址等信息；（提供软件界面截图，要求显示≥3台移动机器人的上述信息）；</w:t>
            </w:r>
          </w:p>
          <w:p w14:paraId="2B45DD3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（2）支持通过IP地址单独控制任意一台移动机器人；</w:t>
            </w:r>
          </w:p>
          <w:p w14:paraId="2A349B2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（3）支持实时显示指定移动机器人视觉系统的视频信息，并实时进行环境目标的识别；</w:t>
            </w:r>
          </w:p>
          <w:p w14:paraId="4A96315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（4）支持多台机器人的协同控制，并可调度≥2台机器人实现编队行驶；</w:t>
            </w:r>
          </w:p>
          <w:p w14:paraId="70D4B66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（5）该多机器人协同控制系统软件具有自主知识产权。（提供相关的知识产权证书扫描件）；</w:t>
            </w:r>
          </w:p>
          <w:p w14:paraId="74848C3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11.机器人系统软件具备自动巡检功能，可通过云平台的控制与调度，实现对场景内的巡检路径规划（提供相关的知识产权证书扫描件）；</w:t>
            </w:r>
          </w:p>
          <w:p w14:paraId="4047E75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12.提供基础实验（训）项目：需围绕ROS操作系统、移动机器人控制、激光SLAM建图、传感器技术等课程或知识点，提供≥30个基础实验（训）项目，满足日常教学实践的要求；</w:t>
            </w:r>
          </w:p>
          <w:p w14:paraId="506BDB9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13.需配套提供如下应用实践案例：</w:t>
            </w:r>
          </w:p>
          <w:p w14:paraId="3B6F9A1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（1）提供车道线识别案例，并开放全部源代码；（提供该案例库的操作说明，要求包含操作步骤说明和示例代码）；</w:t>
            </w:r>
          </w:p>
          <w:p w14:paraId="36A56D1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strike w:val="0"/>
                <w:dstrike w:val="0"/>
                <w:color w:val="auto"/>
                <w:sz w:val="20"/>
                <w:szCs w:val="20"/>
                <w:highlight w:val="none"/>
                <w:lang w:val="en-US" w:eastAsia="zh-CN"/>
              </w:rPr>
              <w:t>（2）提供红绿灯识别案例，并开放全部源代码；（提供该案例库的操作说明，要求包含操作步骤说明和示例代码）；</w:t>
            </w:r>
          </w:p>
          <w:p w14:paraId="57E3AC8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trike w:val="0"/>
                <w:dstrike w:val="0"/>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（3）提供交通标志牌识别案例，并开放全部源代码；</w:t>
            </w:r>
          </w:p>
          <w:p w14:paraId="1FBAF46B">
            <w:pPr>
              <w:numPr>
                <w:ilvl w:val="0"/>
                <w:numId w:val="0"/>
              </w:numPr>
              <w:spacing w:line="360" w:lineRule="auto"/>
              <w:ind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（4）提供行人识别案例，并开放全部源代码。</w:t>
            </w:r>
          </w:p>
        </w:tc>
      </w:tr>
      <w:tr w14:paraId="5AF8CE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3DF2AD99">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5</w:t>
            </w:r>
          </w:p>
        </w:tc>
        <w:tc>
          <w:tcPr>
            <w:tcW w:w="1113" w:type="dxa"/>
          </w:tcPr>
          <w:p w14:paraId="5376DCE3">
            <w:pPr>
              <w:spacing w:line="360" w:lineRule="auto"/>
              <w:rPr>
                <w:rFonts w:hint="eastAsia" w:ascii="仿宋" w:hAnsi="仿宋" w:eastAsia="仿宋" w:cs="仿宋"/>
                <w:sz w:val="20"/>
                <w:szCs w:val="20"/>
              </w:rPr>
            </w:pPr>
          </w:p>
        </w:tc>
        <w:tc>
          <w:tcPr>
            <w:tcW w:w="6500" w:type="dxa"/>
          </w:tcPr>
          <w:p w14:paraId="02D9D38D">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五、</w:t>
            </w:r>
            <w:r>
              <w:rPr>
                <w:rFonts w:hint="eastAsia" w:ascii="仿宋" w:hAnsi="仿宋" w:eastAsia="仿宋" w:cs="仿宋"/>
                <w:b w:val="0"/>
                <w:bCs/>
                <w:color w:val="auto"/>
                <w:sz w:val="20"/>
                <w:szCs w:val="20"/>
                <w:highlight w:val="none"/>
                <w:lang w:val="en-US" w:eastAsia="zh-CN"/>
              </w:rPr>
              <w:t>四足机器狗：1台套</w:t>
            </w:r>
          </w:p>
          <w:p w14:paraId="560F7F1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1.产品尺寸≥70cmx31cmx40cm；整机重量≥15kg（含电池）；载荷能力≥7kg；运动速度范围0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2.5m/s；</w:t>
            </w:r>
          </w:p>
          <w:p w14:paraId="46373BB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2.最大攀爬落差高度≥15cm；最大攀爬斜坡角度≥30°；</w:t>
            </w:r>
          </w:p>
          <w:p w14:paraId="7575B68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3.膝关节内走线，关节热管辅助散热；</w:t>
            </w:r>
          </w:p>
          <w:p w14:paraId="4E69E3F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4.具备超大关节运动空间。支持机身转动角度范围-48</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48°；大腿转动角度范围-200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90°；小腿转动角度范围-156</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-48°；</w:t>
            </w:r>
          </w:p>
          <w:p w14:paraId="00732E4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5.具备超广角3D激光雷达具备探物避障功能，广角高清相机；</w:t>
            </w:r>
          </w:p>
          <w:p w14:paraId="1820FC9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6.配备智能OTA升级；</w:t>
            </w:r>
          </w:p>
          <w:p w14:paraId="7B6ECDB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7.支持APP高清图传、遥控、所有数据查看；APP图形化编程；</w:t>
            </w:r>
          </w:p>
          <w:p w14:paraId="0F11960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8.支持≥WIFI6双频无线802.11ax；≥蓝牙 5.2/4.2/2.1等通信方式；</w:t>
            </w:r>
          </w:p>
          <w:p w14:paraId="6621D3D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9.配置长续航（≥15000mAh）电池，续航时间≥4h；</w:t>
            </w:r>
          </w:p>
          <w:p w14:paraId="5C4CB9A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shd w:val="clear" w:fill="000000"/>
                <w:lang w:val="en-US" w:eastAsia="zh-CN"/>
              </w:rPr>
            </w:pPr>
            <w:r>
              <w:rPr>
                <w:rFonts w:hint="eastAsia" w:ascii="仿宋" w:hAnsi="仿宋" w:eastAsia="仿宋" w:cs="仿宋"/>
                <w:b w:val="0"/>
                <w:bCs/>
                <w:color w:val="auto"/>
                <w:sz w:val="20"/>
                <w:szCs w:val="20"/>
                <w:highlight w:val="none"/>
                <w:lang w:val="en-US" w:eastAsia="zh-CN"/>
              </w:rPr>
              <w:t>10.支持足端传感器，支持二次</w:t>
            </w:r>
            <w:r>
              <w:rPr>
                <w:rFonts w:hint="eastAsia" w:ascii="仿宋" w:hAnsi="仿宋" w:eastAsia="仿宋" w:cs="仿宋"/>
                <w:b w:val="0"/>
                <w:bCs/>
                <w:color w:val="auto"/>
                <w:sz w:val="20"/>
                <w:szCs w:val="20"/>
                <w:highlight w:val="none"/>
                <w:shd w:val="clear"/>
                <w:lang w:val="en-US" w:eastAsia="zh-CN"/>
              </w:rPr>
              <w:t>开发，支持充电桩；</w:t>
            </w:r>
          </w:p>
          <w:p w14:paraId="6CDB607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11.具备月球步(即太空步)、侧边步、交叉步、向上跳、向前跳、前空翻、开心、握手、扑人、坐下、伸懒腰、作揖、多种创意舞蹈等运动能力；</w:t>
            </w:r>
          </w:p>
          <w:p w14:paraId="672D8E1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12.具备系统状态指示功能，实时反馈机器人状态；</w:t>
            </w:r>
          </w:p>
          <w:p w14:paraId="2132FD3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13.出厂标配充电电极；</w:t>
            </w:r>
          </w:p>
          <w:p w14:paraId="05A565E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14.配备SLAM导航算法，支持二次开发；</w:t>
            </w:r>
          </w:p>
          <w:p w14:paraId="68A73DB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15.云台等效焦距≥21mm；FOV水平81°；有效像素≥800万；</w:t>
            </w:r>
          </w:p>
          <w:p w14:paraId="1A7B2EF7">
            <w:pPr>
              <w:numPr>
                <w:ilvl w:val="0"/>
                <w:numId w:val="0"/>
              </w:numPr>
              <w:spacing w:line="360" w:lineRule="auto"/>
              <w:ind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16.激光雷达供电电压范围为DC 9</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27V；激光波长：905mm；FOV水平360°，竖直-7°</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52°。</w:t>
            </w:r>
          </w:p>
        </w:tc>
      </w:tr>
      <w:tr w14:paraId="66412A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7915A0DD">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6</w:t>
            </w:r>
          </w:p>
        </w:tc>
        <w:tc>
          <w:tcPr>
            <w:tcW w:w="1113" w:type="dxa"/>
          </w:tcPr>
          <w:p w14:paraId="305D5443">
            <w:pPr>
              <w:spacing w:line="360" w:lineRule="auto"/>
              <w:rPr>
                <w:rFonts w:hint="eastAsia" w:ascii="仿宋" w:hAnsi="仿宋" w:eastAsia="仿宋" w:cs="仿宋"/>
                <w:sz w:val="20"/>
                <w:szCs w:val="20"/>
              </w:rPr>
            </w:pPr>
          </w:p>
        </w:tc>
        <w:tc>
          <w:tcPr>
            <w:tcW w:w="6500" w:type="dxa"/>
          </w:tcPr>
          <w:p w14:paraId="690AA4B5">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六、</w:t>
            </w:r>
            <w:r>
              <w:rPr>
                <w:rFonts w:hint="eastAsia" w:ascii="仿宋" w:hAnsi="仿宋" w:eastAsia="仿宋" w:cs="仿宋"/>
                <w:b w:val="0"/>
                <w:bCs/>
                <w:color w:val="auto"/>
                <w:sz w:val="20"/>
                <w:szCs w:val="20"/>
                <w:highlight w:val="none"/>
                <w:lang w:val="en-US" w:eastAsia="zh-CN"/>
              </w:rPr>
              <w:t>智能桌面级机器人：1台套</w:t>
            </w:r>
          </w:p>
          <w:p w14:paraId="4DB38FC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1、体型参数≥340mm*220mm*110mm；重量≤1.8KG。材质需采用铝合金+PC/ABS塑胶+光敏树脂；</w:t>
            </w:r>
          </w:p>
          <w:p w14:paraId="4BFB922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2、控制方式需支持2.4G群控，群体控制数量≥50；</w:t>
            </w:r>
          </w:p>
          <w:p w14:paraId="2E19C44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3、步态算法支持慢走≥3厘米/秒，快走≥10厘米/秒；需支持翻滚、大鹏展翅等高难度动作，支持舞蹈、足球、拳击等动作；</w:t>
            </w:r>
          </w:p>
          <w:p w14:paraId="04E5515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4、控制器需搭载单片机和SoC双运算系统，板载储存空间≥128M，可储存多个动作组，开关内置，充电接口内置，带有过载保护，可以同时控制≥17个数字舵机，支持无线通信手柄；</w:t>
            </w:r>
          </w:p>
          <w:p w14:paraId="728250B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5、支持≥17个自由度，头部关节≥1个自由度，两只肩部关节1个自由度，两只手臂关节2个自由度，两只腿部关节4个自由度，两只脚部关节1个自由度；</w:t>
            </w:r>
          </w:p>
          <w:p w14:paraId="110A77B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6、配置≥17个强扭矩伺服舵机；尺寸约40×37×20（mm）；运动范围≥180°；运动精度≥于1°；运动速度≥461°/S；减速齿轮箱结构为4级传动结构；</w:t>
            </w:r>
          </w:p>
          <w:p w14:paraId="072CC10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7、电池容量≥3200mAH；</w:t>
            </w:r>
          </w:p>
          <w:p w14:paraId="6DE1E7D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8、音频输出功率≥1.5W，机体带有MP3模块和扬声器，可以播放音乐；</w:t>
            </w:r>
          </w:p>
          <w:p w14:paraId="6B489E8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9、开发平台CPU为四核64位ARM架构，主频≥2.0GHz,集成GPU，支持 OpenGL ES 3.2、OpenCL 2.0、Vulkan 1.1，及算力≥1 TOPS 的独立NPU（支持 INT8/INT16/FP16 混合精度），实现上位机国产化，支持搭载至少两个摄像头；</w:t>
            </w:r>
          </w:p>
          <w:p w14:paraId="02085E8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10、开发系统以OpenHarmony为框架开发，具备分布式任务调度、原子化任务分发、无屏设备有屏控制、一次开发多端部署等功能特性的超级设备管理终端。需适配低代码编程平台与国产化开发者开发工具；</w:t>
            </w:r>
          </w:p>
          <w:p w14:paraId="32D186A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编程平台需兼容PC端软件，支持C/C++、Js/ArkTS编程。需支持图形化编程，配备图形化编程界面，支持PC端动作编程；软件内置不少于76个基本动作、不少于14个拳击动作、不少于6个足球动作，可通过软件自定义编辑机器人动作和任务流程图，完成快走、滚翻、单脚站立、倒立、俯卧撑等，支持多台机器人集体表演；</w:t>
            </w:r>
          </w:p>
          <w:p w14:paraId="5202F13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12、内置≥2个传感器，至少包含头部摄像头和胸部摄像头；</w:t>
            </w:r>
          </w:p>
          <w:p w14:paraId="09272AE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13、支持机器人功能拓展，配置≥7个无线连接外置拓展模块通过分布式软总线相互配合完成不同的场景任务。可与机器人本体无线连接，组成超级设备。</w:t>
            </w:r>
          </w:p>
          <w:p w14:paraId="790023A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需包含但不限于以下输入模块：</w:t>
            </w:r>
          </w:p>
          <w:p w14:paraId="5E09F47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w:t>
            </w:r>
            <w:r>
              <w:rPr>
                <w:rFonts w:hint="eastAsia" w:ascii="仿宋" w:hAnsi="仿宋" w:eastAsia="仿宋" w:cs="仿宋"/>
                <w:b w:val="0"/>
                <w:bCs/>
                <w:color w:val="auto"/>
                <w:sz w:val="20"/>
                <w:szCs w:val="20"/>
                <w:highlight w:val="none"/>
                <w:lang w:val="en-US" w:eastAsia="zh-CN"/>
              </w:rPr>
              <w:t>人体红外传感器</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红外线检测有人经过；</w:t>
            </w:r>
          </w:p>
          <w:p w14:paraId="34A78B4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w:t>
            </w:r>
            <w:r>
              <w:rPr>
                <w:rFonts w:hint="eastAsia" w:ascii="仿宋" w:hAnsi="仿宋" w:eastAsia="仿宋" w:cs="仿宋"/>
                <w:b w:val="0"/>
                <w:bCs/>
                <w:color w:val="auto"/>
                <w:sz w:val="20"/>
                <w:szCs w:val="20"/>
                <w:highlight w:val="none"/>
                <w:lang w:val="en-US" w:eastAsia="zh-CN"/>
              </w:rPr>
              <w:t>温湿度传感器</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探测环境温度湿度；</w:t>
            </w:r>
          </w:p>
          <w:p w14:paraId="492D773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w:t>
            </w:r>
            <w:r>
              <w:rPr>
                <w:rFonts w:hint="eastAsia" w:ascii="仿宋" w:hAnsi="仿宋" w:eastAsia="仿宋" w:cs="仿宋"/>
                <w:b w:val="0"/>
                <w:bCs/>
                <w:color w:val="auto"/>
                <w:sz w:val="20"/>
                <w:szCs w:val="20"/>
                <w:highlight w:val="none"/>
                <w:lang w:val="en-US" w:eastAsia="zh-CN"/>
              </w:rPr>
              <w:t>NFC传感器</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检测NFC卡；</w:t>
            </w:r>
          </w:p>
          <w:p w14:paraId="58A3F0A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w:t>
            </w:r>
            <w:r>
              <w:rPr>
                <w:rFonts w:hint="eastAsia" w:ascii="仿宋" w:hAnsi="仿宋" w:eastAsia="仿宋" w:cs="仿宋"/>
                <w:b w:val="0"/>
                <w:bCs/>
                <w:color w:val="auto"/>
                <w:sz w:val="20"/>
                <w:szCs w:val="20"/>
                <w:highlight w:val="none"/>
                <w:lang w:val="en-US" w:eastAsia="zh-CN"/>
              </w:rPr>
              <w:t>血氧心率传感器</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检测血氧和心率；</w:t>
            </w:r>
          </w:p>
          <w:p w14:paraId="5CCB7C8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（5）</w:t>
            </w:r>
            <w:r>
              <w:rPr>
                <w:rFonts w:hint="eastAsia" w:ascii="仿宋" w:hAnsi="仿宋" w:eastAsia="仿宋" w:cs="仿宋"/>
                <w:b w:val="0"/>
                <w:bCs/>
                <w:color w:val="auto"/>
                <w:sz w:val="20"/>
                <w:szCs w:val="20"/>
                <w:highlight w:val="none"/>
                <w:lang w:val="en-US" w:eastAsia="zh-CN"/>
              </w:rPr>
              <w:t>红外测温传感器</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检测温度。</w:t>
            </w:r>
          </w:p>
          <w:p w14:paraId="4EC0CD5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需包含但不限于以下输出模块：</w:t>
            </w:r>
          </w:p>
          <w:p w14:paraId="0E54BE8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w:t>
            </w:r>
            <w:r>
              <w:rPr>
                <w:rFonts w:hint="eastAsia" w:ascii="仿宋" w:hAnsi="仿宋" w:eastAsia="仿宋" w:cs="仿宋"/>
                <w:b w:val="0"/>
                <w:bCs/>
                <w:color w:val="auto"/>
                <w:sz w:val="20"/>
                <w:szCs w:val="20"/>
                <w:highlight w:val="none"/>
                <w:lang w:val="en-US" w:eastAsia="zh-CN"/>
              </w:rPr>
              <w:t>LED灯</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实现常亮、闪烁等多种编程；</w:t>
            </w:r>
          </w:p>
          <w:p w14:paraId="2C6E9C7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w:t>
            </w:r>
            <w:r>
              <w:rPr>
                <w:rFonts w:hint="eastAsia" w:ascii="仿宋" w:hAnsi="仿宋" w:eastAsia="仿宋" w:cs="仿宋"/>
                <w:b w:val="0"/>
                <w:bCs/>
                <w:color w:val="auto"/>
                <w:sz w:val="20"/>
                <w:szCs w:val="20"/>
                <w:highlight w:val="none"/>
                <w:lang w:val="en-US" w:eastAsia="zh-CN"/>
              </w:rPr>
              <w:t>OLED屏</w:t>
            </w:r>
            <w:r>
              <w:rPr>
                <w:rFonts w:hint="eastAsia" w:ascii="仿宋" w:hAnsi="仿宋" w:eastAsia="仿宋" w:cs="仿宋"/>
                <w:b w:val="0"/>
                <w:bCs/>
                <w:strike w:val="0"/>
                <w:dstrike w:val="0"/>
                <w:color w:val="auto"/>
                <w:sz w:val="20"/>
                <w:szCs w:val="20"/>
                <w:highlight w:val="none"/>
                <w:lang w:val="en-US" w:eastAsia="zh-CN"/>
              </w:rPr>
              <w:t>≥1个。可用于</w:t>
            </w:r>
            <w:r>
              <w:rPr>
                <w:rFonts w:hint="eastAsia" w:ascii="仿宋" w:hAnsi="仿宋" w:eastAsia="仿宋" w:cs="仿宋"/>
                <w:b w:val="0"/>
                <w:bCs/>
                <w:color w:val="auto"/>
                <w:sz w:val="20"/>
                <w:szCs w:val="20"/>
                <w:highlight w:val="none"/>
                <w:lang w:val="en-US" w:eastAsia="zh-CN"/>
              </w:rPr>
              <w:t>在OLED屏幕上显示中文指定短语和英文自定义短语，显示字符小于等于32个字符。</w:t>
            </w:r>
          </w:p>
          <w:p w14:paraId="26BE06E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14、配置摄像头镜头≥60度，≥500万像素；</w:t>
            </w:r>
          </w:p>
          <w:p w14:paraId="7BA1932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15、遥控器发射控制方式为无线通信手柄，支持2.4G连接及发射频率可按需修改；按键配置≥2个摇杆，10个自定义按键，3个功能按键；可以切换4种遥控模式，分别为兼容模式、拳击模式、足球模式和表演模式；</w:t>
            </w:r>
          </w:p>
          <w:p w14:paraId="2AB7C0CC">
            <w:pPr>
              <w:widowControl w:val="0"/>
              <w:numPr>
                <w:ilvl w:val="0"/>
                <w:numId w:val="0"/>
              </w:numPr>
              <w:spacing w:line="360" w:lineRule="auto"/>
              <w:jc w:val="both"/>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16、机器人需获得OpenHarmony生态产品兼容性证书；</w:t>
            </w:r>
          </w:p>
          <w:p w14:paraId="62AFDE8F">
            <w:pPr>
              <w:widowControl w:val="0"/>
              <w:numPr>
                <w:ilvl w:val="0"/>
                <w:numId w:val="0"/>
              </w:numPr>
              <w:spacing w:line="360" w:lineRule="auto"/>
              <w:jc w:val="both"/>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w:t>
            </w:r>
            <w:r>
              <w:rPr>
                <w:rFonts w:hint="eastAsia" w:ascii="仿宋" w:hAnsi="仿宋" w:eastAsia="仿宋" w:cs="仿宋"/>
                <w:b w:val="0"/>
                <w:bCs/>
                <w:color w:val="auto"/>
                <w:sz w:val="20"/>
                <w:szCs w:val="20"/>
                <w:highlight w:val="none"/>
                <w:lang w:val="en-US" w:eastAsia="zh-CN"/>
              </w:rPr>
              <w:t>17、机器人需可参加高等教育学会榜单赛事</w:t>
            </w:r>
          </w:p>
        </w:tc>
      </w:tr>
      <w:tr w14:paraId="5A57A6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6DF195BD">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7</w:t>
            </w:r>
          </w:p>
        </w:tc>
        <w:tc>
          <w:tcPr>
            <w:tcW w:w="1113" w:type="dxa"/>
          </w:tcPr>
          <w:p w14:paraId="3706C061">
            <w:pPr>
              <w:spacing w:line="360" w:lineRule="auto"/>
              <w:rPr>
                <w:rFonts w:hint="eastAsia" w:ascii="仿宋" w:hAnsi="仿宋" w:eastAsia="仿宋" w:cs="仿宋"/>
                <w:sz w:val="20"/>
                <w:szCs w:val="20"/>
              </w:rPr>
            </w:pPr>
          </w:p>
        </w:tc>
        <w:tc>
          <w:tcPr>
            <w:tcW w:w="6500" w:type="dxa"/>
          </w:tcPr>
          <w:p w14:paraId="1A4C8B1C">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七、</w:t>
            </w:r>
            <w:r>
              <w:rPr>
                <w:rFonts w:hint="eastAsia" w:ascii="仿宋" w:hAnsi="仿宋" w:eastAsia="仿宋" w:cs="仿宋"/>
                <w:b w:val="0"/>
                <w:bCs/>
                <w:color w:val="auto"/>
                <w:sz w:val="20"/>
                <w:szCs w:val="20"/>
                <w:highlight w:val="none"/>
                <w:lang w:val="en-US" w:eastAsia="zh-CN"/>
              </w:rPr>
              <w:t>实验教学智慧屏显矩阵（含多屏联动模块）</w:t>
            </w:r>
          </w:p>
          <w:p w14:paraId="1BCA7485">
            <w:pPr>
              <w:numPr>
                <w:ilvl w:val="0"/>
                <w:numId w:val="0"/>
              </w:numPr>
              <w:spacing w:line="360" w:lineRule="auto"/>
              <w:ind w:left="0"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（一）</w:t>
            </w:r>
            <w:r>
              <w:rPr>
                <w:rFonts w:hint="eastAsia" w:ascii="仿宋" w:hAnsi="仿宋" w:eastAsia="仿宋" w:cs="仿宋"/>
                <w:b w:val="0"/>
                <w:bCs/>
                <w:color w:val="auto"/>
                <w:sz w:val="20"/>
                <w:szCs w:val="20"/>
                <w:highlight w:val="none"/>
                <w:lang w:val="en-US" w:eastAsia="zh-CN"/>
              </w:rPr>
              <w:t>教学一体机智慧大屏：2台套（多媒体教学）</w:t>
            </w:r>
          </w:p>
          <w:p w14:paraId="7CAEBD4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1.外观结构整机采用一体化设计，外部无任何可见内部功能模块的连接线；屏幕边缘采用圆角包边防护，整机背板采用金属材质，整机表面无尖锐边缘；前置端子接口边缘无棱角、无毛刺；</w:t>
            </w:r>
          </w:p>
          <w:p w14:paraId="6085049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液晶屏单屏幕尺寸≥86英寸，显示比例16:9，整机采用窄边框设计，屏占比≥96%；可视角度≥178°，显示分辨率3840×2160，液晶屏达到A级标准；显示屏至物理外壳最外侧的物理边框宽度≤15mm；采用无边框设计，钢化玻璃与设备物理外边缘完全齐平，物理边框宽度为 0mm。使用1台插拔式电脑即可支持双屏拼接、三屏拼接；双屏拼接屏幕尺寸≥156英寸；三屏拼接屏幕尺寸≥225英寸；</w:t>
            </w:r>
          </w:p>
          <w:p w14:paraId="5E13B53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3.配置全贴合触控显示模组；</w:t>
            </w:r>
          </w:p>
          <w:p w14:paraId="69210C0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4.显示性能整机支持≥1.07B(10bit)色深；灰阶等级≥256级；DLED背光源；对比度≥5000:1；色彩覆盖率（色域）≥NTSC 95%；色彩覆盖率（色域）≥sRGB 130%；亮度均匀性≥90%；屏幕漏光度≤0.05cd/㎡；整机在强光(≥500K LUX) 照射下，触摸、书写功能正常操作；</w:t>
            </w:r>
          </w:p>
          <w:p w14:paraId="3A6506A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5.具备高色准，支持色彩空间可选，至少包含自动模式、标准模式、扩展（sRGB）模式等，在扩展（sRGB）模式下可达到高色准△E≤1；</w:t>
            </w:r>
          </w:p>
          <w:p w14:paraId="67D9DF9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6.配置钢化玻璃屏幕。整机采用防眩光、钢化玻璃，厚度≤3mm。玻璃具有防飞溅功能，玻璃破碎不会溅出伤人，具备耐高温、耐低温性能；</w:t>
            </w:r>
          </w:p>
          <w:p w14:paraId="73EF2CA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7.钢化玻璃莫氏硬度≥8级，玻璃面板表面硬度≥9H，努氏硬度≥4.1GPa，可承受表面应力冲击≥120MPa。玻璃透光率/可见光透射比≥95%，雾度≤5%±2，光泽度≥79，反射率≤1%。长时间使用导致的玻璃雾度损耗≤1%；</w:t>
            </w:r>
          </w:p>
          <w:p w14:paraId="54C9266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整机内置操作系统，版本要求安卓13或以上；采用国产化处理器，总核心数≥16核，其中至少具备8核CPU、8核GPU；制程工艺≤12nm；整机采用8核CPU处理器（至少达到4核A73+4核A53或以上），主频≥2.2GHz，NPU算力≥6.0 TOPS；整机采用8核GPU处理器，支持≥4K 60FPS编解码性能；整机安卓系统内存≥4GB，存储空间≥32GB；</w:t>
            </w:r>
          </w:p>
          <w:p w14:paraId="093BB4B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9.整机采用国产化主要元器件，包含但不限于：可编程逻辑芯片、CPU处理单元、音视频硬件编解码单元、WiFi、蓝牙、网络PHY芯片等；</w:t>
            </w:r>
          </w:p>
          <w:p w14:paraId="1150549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10.屏幕支持电容触控技术，在整机安卓系统、电脑系统下支持≥55点同时触控，支持多人同时书写和擦除，光标移动速度≥300点（帧）/秒，触控报点率≥150Hz，触摸分辨率≥32768×32768，定位精度±0.1mm，最小触摸物体直径≤2mm。触摸功能在通道切换后内部通道在1秒内达到可触摸状态，外部通道在3秒内达到可触摸状态；</w:t>
            </w:r>
          </w:p>
          <w:p w14:paraId="7DE0EDD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11.整机安卓系统及电脑系统响应时间，书写延迟≤10ms，首点响应时间≤4ms，连续响应时间≤2ms；</w:t>
            </w:r>
          </w:p>
          <w:p w14:paraId="1599F60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★12.整机内置2.2声道扬声器，边框出音，扬声器规格至少达到两腔四驱，发声单元≥4个，总音腔体积≥2L，高频扬声器≥2*18W，全频扬声器≥2*18W；</w:t>
            </w:r>
          </w:p>
          <w:p w14:paraId="0161065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★13.支持杜比音频解码，支持开启Dolby Atmos杜比全景声音效。音效开启后声音响度SPL相较于无音效可提升≥10倍，低频响应支持下潜至≤80Hz，高频响应支持延伸至≥10KHz，总谐波失真THD≤10%(1KHz/90dB)；</w:t>
            </w:r>
          </w:p>
          <w:p w14:paraId="7855E11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14.整机前置接口至少具备3路USB3.0-A，1路Type-C，1路HDMI输入。具有中/英文丝印标识，USB 接口、HDMI接口、Type-C接口支持在电脑和安卓下被读取即插即用；</w:t>
            </w:r>
          </w:p>
          <w:p w14:paraId="2AC88D2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15.整机侧置接口至少具备1路USB3.0-A（支持智能识别），1路Touch USB，2路HDMI输入（至少1路支持eARC），1路HDMI2.0输出，1路数字音频输出；</w:t>
            </w:r>
          </w:p>
          <w:p w14:paraId="44A7FDA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16.整机硬件配置为，处理器采用性能核（P-Core）与能效核（E-Core）混合架构，总核心数≥12 核（其中性能核≥ 8 核、能效核≥4 核），总线程数≥20 线程，三级缓存≥25MB，性能核最高睿频频率≥4.80GHz，≥16G DDR4 笔记本内存或以上配置，≥512G SSD 固态硬盘；</w:t>
            </w:r>
          </w:p>
          <w:p w14:paraId="731DEF7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17.整机支持智能手机与整机在同一局域网内，可实现配对，一键投屏。</w:t>
            </w:r>
          </w:p>
          <w:p w14:paraId="7731592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18.整机内置摄像头，像素值≥800万；</w:t>
            </w:r>
          </w:p>
          <w:p w14:paraId="2E40F8FC">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19.内置广角高清摄像头，视场角≥150°，水平视场角≥135°，支持输出4:3、16:9比例的图片和视频；在清晰度为3840x2160分辨率下，支持≥30帧的视频输出；</w:t>
            </w:r>
          </w:p>
          <w:p w14:paraId="3FB4F5F6">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（二）双屏智慧联动软件：1套</w:t>
            </w:r>
          </w:p>
          <w:p w14:paraId="3E305A5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★1.支持系统级双屏、三屏模式切换，支持多屏复制模式，多屏异显模式、双侧复制显示模式快速切换，支持切换时根据用户当前使用窗口自适应置顶布局；</w:t>
            </w:r>
          </w:p>
          <w:p w14:paraId="165687C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2.支持以列表的形式展示当前系统内所有教学素材窗口及应用窗口的实时画面，支持手指拖动教学素材窗口及应用窗口到任意大屏中进行置顶显示；</w:t>
            </w:r>
          </w:p>
          <w:p w14:paraId="4FC054F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3.支持控制任意屏幕的教学PPT课件翻页、音视频播放及进度条控制；</w:t>
            </w:r>
          </w:p>
          <w:p w14:paraId="2278E5D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支持半屏联动。支持双屏、三屏模式下全局同步半屏下降功能，可一键联动调节主副屏屏幕高度，支持自定义调节下降高度，下降高度支持无级调节。屏幕下降后仍可进行触控、书写等操作，点击屏幕即可恢复全屏显示；</w:t>
            </w:r>
          </w:p>
          <w:p w14:paraId="5869FF4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★5.支持联动开关机。支持双屏、三屏显示模式，具备一键联动控制功能；通过操作主屏触控界面或物理控制按键，即可实现所有显示屏的同步开机、同步关机控制；</w:t>
            </w:r>
          </w:p>
          <w:p w14:paraId="1492D57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★6.支持联动控制。支持多屏全局同步调控功能。支持双屏、三屏模式下全局同步调节功能，通过单一操作指令，可实现所有屏幕音量、亮度的等比例同步增减控制；</w:t>
            </w:r>
          </w:p>
          <w:p w14:paraId="77491E1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★7.支持拼合显示。支持单屏（16：9）、双屏（32：9）、三屏（48：9）等多种拼合显示模式；任意屏幕可同时展示多个任务窗口，支持独立任务窗口跨屏幕自由显示；</w:t>
            </w:r>
          </w:p>
          <w:p w14:paraId="14B9927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支持PPT联动。双屏支持上、下连续两页，三屏支持上、中、下连续三页PPT课件的同时展示、书写，支持多屏联动进行PPT翻页。双屏、三屏模式下PPT课件页面切换效果、元素动画、音效、视频、音频等应正常解析播放；</w:t>
            </w:r>
          </w:p>
          <w:p w14:paraId="7E8AA21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9.支持以窗口形式打开多浏览器及多媒体资源，至少包含视频、音频、图片、PPT、PDF、WORD、EXCEL文档等。可对任意窗口进行拖动、缩放、堆叠及飞指移动至第二屏、第三屏操作；支持单屏幕全屏与跨屏幕全屏显示；</w:t>
            </w:r>
          </w:p>
          <w:p w14:paraId="59AD251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10.图片窗口支持放大、缩小、拖动及旋转操作，支持横向长图跨双屏、三屏全屏显示；</w:t>
            </w:r>
          </w:p>
          <w:p w14:paraId="06DE4E7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11.视频窗口支持播放、暂停、音量调节、进度条拖动等控制功能，支持双屏、三屏全屏显示；</w:t>
            </w:r>
          </w:p>
          <w:p w14:paraId="0E22BAC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12.支持已打开任务窗口快速预览，可对单个窗口进行收起与展开操作；支持全局窗口一键最大化、一键收起，可通过快捷窗口将目标窗口便捷调取；</w:t>
            </w:r>
          </w:p>
          <w:p w14:paraId="61EC463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13.大屏采用无界画布设计，支持双指拖动实现画布整体移动，拓展书写空间；支持双指捏合控制画布显示比例，并可快速切换至常用显示比例；</w:t>
            </w:r>
          </w:p>
          <w:p w14:paraId="34C4A55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14.支持多屏同显。支持教学主屏与配套副屏实现复制同显模式，多屏画面显示内容、触控操作指令实时同步一致，画面同步无延迟、无卡顿；</w:t>
            </w:r>
          </w:p>
          <w:p w14:paraId="04ACA59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15.支持多屏异显。支持主屏与副屏独立分屏显示，可分别独立打开课件、音视频素材、电子白板等教学资源开展多线对比教学；支持触控手势甩动交互，可通过手指甩动操作，将当前屏幕的应用窗口、教学素材一键投放至另一屏幕显示，教学内容切换流畅无卡顿；</w:t>
            </w:r>
          </w:p>
          <w:p w14:paraId="526755B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16.支持多屏板书。支持双屏、三屏联动组成一体化连续书写板书区域，实现跨屏无缝书写、讲解推演，大幅扩展板书书写面积；支持单屏独立板书与多屏一体化板书模式一键切换，模式切换过程中原板书书写内容完整保留，切换完成后可无缝接续书写；</w:t>
            </w:r>
          </w:p>
          <w:p w14:paraId="26226B7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17.多屏拼接播放。支持多屏拼接融合显示，可将多个屏幕拼接为完整显示区域，全屏展示图片、视频、课件等各类教学素材，兼容任意比例多媒体素材的完整、无畸变播放显示；</w:t>
            </w:r>
          </w:p>
          <w:p w14:paraId="5C37544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★18.支持AI 教学助手。支持教师语音输入教学相关问题及操作需求，AI 教学助手可精准识别语音指令，针对问题进行专业解答，或根据指令完成对应教学操作、返回匹配的教学资源结果；</w:t>
            </w:r>
          </w:p>
          <w:p w14:paraId="4044425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19.支持AI划屏搜索。支持通过圈选屏幕任意区域的教学内容，AI教学助手可自动识别并理解圈选内容，同步输出对应知识点的拓展讲解内容，以及匹配的图片、视频等多媒体教学素材，实现教学内容一键拓展搜索；</w:t>
            </w:r>
          </w:p>
          <w:p w14:paraId="7C2709C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20.支持多屏联动课件演示。支持多屏同步放映演示页同一页；支持上下页联动放映演示页，一块屏幕放映当前演示页面，其他屏幕分别放映前、后页；白板功能支持多屏共同作为一个画板，通过滑动画板实现板书和资源内容穿越屏幕展示；</w:t>
            </w:r>
          </w:p>
          <w:p w14:paraId="2997289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21.支持在双屏画布上展示 32:9比例，三屏画布上展示48:9比例的图片资源，支持通过画板移动缩放调整合适的演示尺寸；</w:t>
            </w:r>
          </w:p>
          <w:p w14:paraId="6F50CCF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22.支持多屏设为拓展模式，一体化展示一张无限(无限滑动,没有边界)画板，支持滑动画板实现板书和资源内容穿越屏幕展示；</w:t>
            </w:r>
          </w:p>
          <w:p w14:paraId="1603316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23.支持触控跟随。教师授课开始前，在所有屏幕均显示相同的开始授课界面，当教师在屏幕触发开始授课按钮后，自动选中该屏幕作为主讲屏。教师授课过程中，当教师通过点击任一屏幕时，工具栏会自动跟随教师的触控进行显示；</w:t>
            </w:r>
          </w:p>
          <w:p w14:paraId="5337230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24.支持屏幕扩展。支持将文件、白板、通话、学生端投屏、小组研讨功能界面发送到扩展屏展示讲解，实现主屏切换课件、副屏辅助讲解的双线教学模式；</w:t>
            </w:r>
          </w:p>
          <w:p w14:paraId="1BAE630C">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25.支持多功能互动投屏。支持教师访问后台，将个人笔记本电脑的画面投送到教师授课端设备，学生端自动跟随演示画面；支持教师将授课端设备的系统桌面画面直接共享到学生端;共享过程中教师端可随时结束投屏共享；授课过程中，支持学生随时申请投屏，经老师同意后开始共享至其他学生端，学生自动跟随投屏人屏幕画面；</w:t>
            </w:r>
          </w:p>
          <w:p w14:paraId="03AB764C">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（三）广播投屏设备：4台套</w:t>
            </w:r>
          </w:p>
          <w:p w14:paraId="49935A0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1.LED屏幕尺寸≥65英寸；</w:t>
            </w:r>
          </w:p>
          <w:p w14:paraId="21DC975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2.屏幕比例16:9；</w:t>
            </w:r>
          </w:p>
          <w:p w14:paraId="10BF32E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3.HDMI接口≥2个；</w:t>
            </w:r>
          </w:p>
          <w:p w14:paraId="2B59E70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4.带网络、USB、AV等接口；</w:t>
            </w:r>
          </w:p>
          <w:p w14:paraId="18E6FDB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5.分辨率≥3840*2160；</w:t>
            </w:r>
          </w:p>
          <w:p w14:paraId="0329C5E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6.支持加电自启；</w:t>
            </w:r>
          </w:p>
          <w:p w14:paraId="5E32D3F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7.刷屏率≥ 60Hz；</w:t>
            </w:r>
          </w:p>
          <w:p w14:paraId="0269B7A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8.扫描方式为逐行扫描；</w:t>
            </w:r>
          </w:p>
          <w:p w14:paraId="22BBDC1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9.亮度≥ 250cd/m</w:t>
            </w:r>
            <w:r>
              <w:rPr>
                <w:rFonts w:hint="eastAsia" w:ascii="仿宋" w:hAnsi="仿宋" w:eastAsia="仿宋" w:cs="仿宋"/>
                <w:b w:val="0"/>
                <w:bCs/>
                <w:color w:val="auto"/>
                <w:sz w:val="20"/>
                <w:szCs w:val="20"/>
                <w:highlight w:val="none"/>
                <w:vertAlign w:val="superscript"/>
                <w:lang w:val="en-US" w:eastAsia="zh-CN"/>
              </w:rPr>
              <w:t>2；</w:t>
            </w:r>
          </w:p>
          <w:p w14:paraId="099787C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10.对比度≥ 50000:1；</w:t>
            </w:r>
          </w:p>
          <w:p w14:paraId="42FD95D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11.色域(NTSC)≥ 72%；</w:t>
            </w:r>
          </w:p>
          <w:p w14:paraId="759D6701">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i w:val="0"/>
                <w:iCs w:val="0"/>
                <w:color w:val="auto"/>
                <w:sz w:val="20"/>
                <w:szCs w:val="20"/>
                <w:highlight w:val="none"/>
                <w:lang w:val="en-US" w:eastAsia="zh-CN"/>
              </w:rPr>
              <w:t>12.色域(BT709)≥ 100</w:t>
            </w:r>
            <w:r>
              <w:rPr>
                <w:rFonts w:hint="eastAsia" w:ascii="仿宋" w:hAnsi="仿宋" w:eastAsia="仿宋" w:cs="仿宋"/>
                <w:b w:val="0"/>
                <w:bCs/>
                <w:color w:val="auto"/>
                <w:sz w:val="20"/>
                <w:szCs w:val="20"/>
                <w:highlight w:val="none"/>
                <w:lang w:val="en-US" w:eastAsia="zh-CN"/>
              </w:rPr>
              <w:t>%。</w:t>
            </w:r>
          </w:p>
        </w:tc>
      </w:tr>
      <w:tr w14:paraId="67CF8F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4CDB233A">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8</w:t>
            </w:r>
          </w:p>
        </w:tc>
        <w:tc>
          <w:tcPr>
            <w:tcW w:w="1113" w:type="dxa"/>
          </w:tcPr>
          <w:p w14:paraId="38FB954F">
            <w:pPr>
              <w:spacing w:line="360" w:lineRule="auto"/>
              <w:rPr>
                <w:rFonts w:hint="eastAsia" w:ascii="仿宋" w:hAnsi="仿宋" w:eastAsia="仿宋" w:cs="仿宋"/>
                <w:sz w:val="20"/>
                <w:szCs w:val="20"/>
              </w:rPr>
            </w:pPr>
          </w:p>
        </w:tc>
        <w:tc>
          <w:tcPr>
            <w:tcW w:w="6500" w:type="dxa"/>
          </w:tcPr>
          <w:p w14:paraId="3F7DF378">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八、</w:t>
            </w:r>
            <w:r>
              <w:rPr>
                <w:rFonts w:hint="eastAsia" w:ascii="仿宋" w:hAnsi="仿宋" w:eastAsia="仿宋" w:cs="仿宋"/>
                <w:sz w:val="20"/>
                <w:szCs w:val="20"/>
                <w:lang w:val="en-US" w:eastAsia="zh-CN"/>
              </w:rPr>
              <w:t>实验操作调试台：</w:t>
            </w:r>
            <w:r>
              <w:rPr>
                <w:rFonts w:hint="eastAsia" w:ascii="仿宋" w:hAnsi="仿宋" w:eastAsia="仿宋" w:cs="仿宋"/>
                <w:b w:val="0"/>
                <w:bCs/>
                <w:color w:val="auto"/>
                <w:sz w:val="20"/>
                <w:szCs w:val="20"/>
                <w:highlight w:val="none"/>
                <w:lang w:val="en-US" w:eastAsia="zh-CN"/>
              </w:rPr>
              <w:t>16台套</w:t>
            </w:r>
          </w:p>
          <w:p w14:paraId="17A8C5F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1.调试台主体框架为铝合金材质，包含实验操作台和仪器设备台二级台面；</w:t>
            </w:r>
          </w:p>
          <w:p w14:paraId="6C312BA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调试台主体框架采用国标40*40mm铝型材，≥1.2mm壁厚（整体静载≥150kg，满载下台面挠度≤跨度的1/500）；配置上下两层防刮、防静电型台面（台面材质为实芯理化板），台面采用≥12mm厚实芯理化板，边缘用同质材料双层加厚至≥25mm，边缘打磨呈弧形，表面光滑平整，具有耐酸碱、防腐蚀、防静电、耐磨、抗冲击性能。上层台面尺寸≥1800mm（L）*320mm（W）*1150mm（H，台面离地高度）</w:t>
            </w:r>
            <w:r>
              <w:rPr>
                <w:rFonts w:hint="default" w:ascii="仿宋" w:hAnsi="仿宋" w:eastAsia="仿宋" w:cs="仿宋"/>
                <w:b w:val="0"/>
                <w:bCs/>
                <w:color w:val="auto"/>
                <w:sz w:val="20"/>
                <w:szCs w:val="20"/>
                <w:highlight w:val="none"/>
                <w:lang w:val="en-US" w:eastAsia="zh-CN"/>
              </w:rPr>
              <w:t>，</w:t>
            </w:r>
            <w:r>
              <w:rPr>
                <w:rFonts w:hint="eastAsia" w:ascii="仿宋" w:hAnsi="仿宋" w:eastAsia="仿宋" w:cs="仿宋"/>
                <w:b w:val="0"/>
                <w:bCs/>
                <w:color w:val="auto"/>
                <w:sz w:val="20"/>
                <w:szCs w:val="20"/>
                <w:highlight w:val="none"/>
                <w:lang w:val="en-US" w:eastAsia="zh-CN"/>
              </w:rPr>
              <w:t>下层台面尺寸≥1800mm（L）*800mm（W）*760mm（H，台面离地高度），总高≥1150mm，下层台面下配置带阻尼滑道平面抽屉≥3个，抽屉自身高度范围120mm</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130mm；</w:t>
            </w:r>
          </w:p>
          <w:p w14:paraId="59AE283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3.操作台离地高度≥760mm；</w:t>
            </w:r>
          </w:p>
          <w:p w14:paraId="64C9448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4.工作区宽度≥480mm；</w:t>
            </w:r>
          </w:p>
          <w:p w14:paraId="0F82F8D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5.仪器设备台离地高度≥1100mm；</w:t>
            </w:r>
          </w:p>
          <w:p w14:paraId="51AD976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6.单台集成带开关5孔供电插座≥4个，其中带额外USB接口插座≥1个，连接线采用全封闭防触电结构，供电侧配置2500w</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3000w漏电保护器，操作工位须符合防静电工作区标准，台面及金属主体框架须建立完整可靠的防静电接地，并应在金属导体上引出接地导线等补充接地要求等安全防护功能；</w:t>
            </w:r>
          </w:p>
          <w:p w14:paraId="0A105AC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7.单台套调试台配套≥3个独立座椅；</w:t>
            </w:r>
          </w:p>
          <w:p w14:paraId="2C17096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（1）</w:t>
            </w:r>
            <w:r>
              <w:rPr>
                <w:rFonts w:hint="eastAsia" w:ascii="仿宋" w:hAnsi="仿宋" w:eastAsia="仿宋" w:cs="仿宋"/>
                <w:b w:val="0"/>
                <w:bCs/>
                <w:color w:val="auto"/>
                <w:sz w:val="20"/>
                <w:szCs w:val="20"/>
                <w:highlight w:val="none"/>
                <w:lang w:val="en-US" w:eastAsia="zh-CN"/>
              </w:rPr>
              <w:t>配套座椅凳面：采用三聚氰胺饰面，E0级刨花板基材，经过防虫、防潮、防腐处理，表面防刮耐磨。台面厚度≥25mm，PVC胶边，防火、耐磨、防污、牢固耐用；</w:t>
            </w:r>
          </w:p>
          <w:p w14:paraId="0368D47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（2）</w:t>
            </w:r>
            <w:r>
              <w:rPr>
                <w:rFonts w:hint="eastAsia" w:ascii="仿宋" w:hAnsi="仿宋" w:eastAsia="仿宋" w:cs="仿宋"/>
                <w:b w:val="0"/>
                <w:bCs/>
                <w:color w:val="auto"/>
                <w:sz w:val="20"/>
                <w:szCs w:val="20"/>
                <w:highlight w:val="none"/>
                <w:lang w:val="en-US" w:eastAsia="zh-CN"/>
              </w:rPr>
              <w:t>配套座椅凳架：采用冷轧钢板和钢管组合焊接成型，钢管尺寸25*25mm，壁厚1.0mm，表面采用防锈静电喷涂处理，实用牢固，承受力大,底部配有ABS固定脚垫，减小对地面的摩擦；</w:t>
            </w:r>
          </w:p>
          <w:p w14:paraId="63BBA0D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（3）</w:t>
            </w:r>
            <w:r>
              <w:rPr>
                <w:rFonts w:hint="eastAsia" w:ascii="仿宋" w:hAnsi="仿宋" w:eastAsia="仿宋" w:cs="仿宋"/>
                <w:b w:val="0"/>
                <w:bCs/>
                <w:color w:val="auto"/>
                <w:sz w:val="20"/>
                <w:szCs w:val="20"/>
                <w:highlight w:val="none"/>
                <w:lang w:val="en-US" w:eastAsia="zh-CN"/>
              </w:rPr>
              <w:t>配套座椅整体采用工整的方钢框架结构，底部采用“工”字横梁焊接固定四个方形脚架，凳面与凳架采用螺丝进行固定，整体的结构稳定，承重力强；</w:t>
            </w:r>
          </w:p>
          <w:p w14:paraId="6B0E1CF9">
            <w:pPr>
              <w:numPr>
                <w:ilvl w:val="0"/>
                <w:numId w:val="0"/>
              </w:numPr>
              <w:spacing w:line="360" w:lineRule="auto"/>
              <w:ind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strike w:val="0"/>
                <w:dstrike w:val="0"/>
                <w:color w:val="auto"/>
                <w:sz w:val="20"/>
                <w:szCs w:val="20"/>
                <w:highlight w:val="none"/>
                <w:lang w:val="en-US" w:eastAsia="zh-CN"/>
              </w:rPr>
              <w:t>（4）</w:t>
            </w:r>
            <w:r>
              <w:rPr>
                <w:rFonts w:hint="eastAsia" w:ascii="仿宋" w:hAnsi="仿宋" w:eastAsia="仿宋" w:cs="仿宋"/>
                <w:b w:val="0"/>
                <w:bCs/>
                <w:color w:val="auto"/>
                <w:sz w:val="20"/>
                <w:szCs w:val="20"/>
                <w:highlight w:val="none"/>
                <w:lang w:val="en-US" w:eastAsia="zh-CN"/>
              </w:rPr>
              <w:t>配套座椅产品尺寸（单位mm）: 350L*250W*450H。</w:t>
            </w:r>
          </w:p>
        </w:tc>
      </w:tr>
      <w:tr w14:paraId="4C623A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65F6AF62">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9</w:t>
            </w:r>
          </w:p>
        </w:tc>
        <w:tc>
          <w:tcPr>
            <w:tcW w:w="1113" w:type="dxa"/>
          </w:tcPr>
          <w:p w14:paraId="439B954D">
            <w:pPr>
              <w:spacing w:line="360" w:lineRule="auto"/>
              <w:rPr>
                <w:rFonts w:hint="eastAsia" w:ascii="仿宋" w:hAnsi="仿宋" w:eastAsia="仿宋" w:cs="仿宋"/>
                <w:sz w:val="20"/>
                <w:szCs w:val="20"/>
              </w:rPr>
            </w:pPr>
          </w:p>
        </w:tc>
        <w:tc>
          <w:tcPr>
            <w:tcW w:w="6500" w:type="dxa"/>
          </w:tcPr>
          <w:p w14:paraId="40262C79">
            <w:pPr>
              <w:numPr>
                <w:ilvl w:val="0"/>
                <w:numId w:val="0"/>
              </w:numPr>
              <w:spacing w:line="360" w:lineRule="auto"/>
              <w:ind w:left="0" w:leftChars="0" w:firstLine="0" w:firstLine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kern w:val="2"/>
                <w:sz w:val="20"/>
                <w:szCs w:val="20"/>
                <w:lang w:val="en-US" w:eastAsia="zh-CN" w:bidi="ar-SA"/>
              </w:rPr>
              <w:t>九、</w:t>
            </w:r>
            <w:r>
              <w:rPr>
                <w:rFonts w:hint="eastAsia" w:ascii="仿宋" w:hAnsi="仿宋" w:eastAsia="仿宋" w:cs="仿宋"/>
                <w:b w:val="0"/>
                <w:bCs/>
                <w:color w:val="auto"/>
                <w:sz w:val="20"/>
                <w:szCs w:val="20"/>
                <w:highlight w:val="none"/>
                <w:lang w:val="en-US" w:eastAsia="zh-CN"/>
              </w:rPr>
              <w:t>实验室环境改造</w:t>
            </w:r>
          </w:p>
          <w:p w14:paraId="25D7B7D7">
            <w:pPr>
              <w:numPr>
                <w:ilvl w:val="0"/>
                <w:numId w:val="2"/>
              </w:numPr>
              <w:spacing w:line="360" w:lineRule="auto"/>
              <w:ind w:leftChars="0"/>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空地协同无人系统微缩场景：1项</w:t>
            </w:r>
          </w:p>
          <w:p w14:paraId="67EB978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场景数量≥3。</w:t>
            </w:r>
          </w:p>
          <w:p w14:paraId="5295DC3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场景一：空地协同智能灭火救援系统</w:t>
            </w:r>
          </w:p>
          <w:p w14:paraId="651C37C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平台组成：本场景以软件平台为核心，结合前序已列四足机器狗、室内多旋翼无人机、智能驾驶小车等硬件，并配套场景道具构成。平台由灭火救援指挥调度平台（部署于本地服务器/工控机）、设备接入网关、应急指挥看板三部分组成，统一接入烟雾火灾感知终端、探查无人机、灭火无人车、救援机器狗。</w:t>
            </w:r>
          </w:p>
          <w:p w14:paraId="04243EE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2.通信协议与接口要求：</w:t>
            </w:r>
          </w:p>
          <w:p w14:paraId="57ECA7E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（1）烟雾、温度、火焰等物联网感知终端采用MQTT协议接入，支持TLS加密传输，心跳间隔可配置（默认30s），数据上报周期≤2s；</w:t>
            </w:r>
          </w:p>
          <w:p w14:paraId="33B9A90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（2）无人机图传采用RTSP/RTMP over H.264/H.265，飞行控制与遥测采用MAVLink协议，遥测上报频率≥10Hz，视频端到端时延≤300ms；</w:t>
            </w:r>
          </w:p>
          <w:p w14:paraId="3B591B8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（3）灭火无人车、救援机器狗采用ROS2 DDS协议或WebSocket(JSON)上报自身状态，平台经RESTful API（HTTP/HTTPS，JSON格式）下发任务与调度指令；</w:t>
            </w:r>
          </w:p>
          <w:p w14:paraId="04D20E7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（4）平台对外提供OpenAPI≥20个，支持与上层消防、安防物联网平台经AMQP消息队列联动推送告警事件；</w:t>
            </w:r>
          </w:p>
          <w:p w14:paraId="7554077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（5）平台与硬件设备之间支持断线重连，重连时间≤5s，断点数据不丢失。（提供通信协议清单、接口文档及接入联调截图）</w:t>
            </w:r>
          </w:p>
          <w:p w14:paraId="12A0F69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3.报警与任务调度：</w:t>
            </w:r>
          </w:p>
          <w:p w14:paraId="75F9ECF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（1）感知终端报警后，平台自动在建筑平面图上定位着火区域，从收到报警到生成应急任务响应时间≤3s；</w:t>
            </w:r>
          </w:p>
          <w:p w14:paraId="5429B7A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（2）支持一键群指：同时向无人机下发探查任务、向灭火无人车下发打弹任务、向救援机器狗下发搜救任务；</w:t>
            </w:r>
          </w:p>
          <w:p w14:paraId="67C80EF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（3）实时显示各设备位置、电量、姿态、在线状态，指挥看板支持≥4路视频同时上墙。</w:t>
            </w:r>
          </w:p>
          <w:p w14:paraId="10E6408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4.火灾类型智能识别与灭火弹匹配：</w:t>
            </w:r>
          </w:p>
          <w:p w14:paraId="6CEBB0B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（1）机载/云端AI模型可自动区分化学品火灾、电气设备火灾、木料火灾三类火源，基于火焰形态、温度特征与燃烧光谱特征识别，测试集识别准确率≥90%，误报率≤5%；</w:t>
            </w:r>
          </w:p>
          <w:p w14:paraId="4E1856A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（2）识别结果自动下发至灭火无人车，自动匹配水基/干粉/抗醇泡沫/二氧化碳等相应灭火弹并装填打弹，匹配正确率≥90%；</w:t>
            </w:r>
          </w:p>
          <w:p w14:paraId="5A94FC4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（3）火源点在建筑平面图上自动标定，定位误差≤1m；</w:t>
            </w:r>
          </w:p>
          <w:p w14:paraId="141B155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（4）灭火无人车单发水平射程≥5m，打弹落点精度≤0.5m，采用视觉瞄准。（提供三类火灾识别准确率的第三方检测报告或算法测试报告，含测试样本量与混淆矩阵）</w:t>
            </w:r>
          </w:p>
          <w:p w14:paraId="17C5934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5.态势回放与数据管理：</w:t>
            </w:r>
          </w:p>
          <w:p w14:paraId="29C9E2D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（1）支持作业全过程视频与遥测数据回放，时间轴可拖拽，回放倍速1</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8倍；</w:t>
            </w:r>
          </w:p>
          <w:p w14:paraId="08B5E65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（2）报警记录、任务记录、识别结果云端存储周期≥180天，支持按时间、火灾类型、设备检索导出。</w:t>
            </w:r>
          </w:p>
          <w:p w14:paraId="2825558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6.硬件协同接入（复用前序硬件）：</w:t>
            </w:r>
          </w:p>
          <w:p w14:paraId="72CC7C6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（1）复用前序四足机器狗作为地面救援终端，经WiFi6接入平台；</w:t>
            </w:r>
          </w:p>
          <w:p w14:paraId="5410E3C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（2）复用前序室内多旋翼无人机作为空中探查端，本场景加装双光（可见光+红外热成像）吊舱与机载边缘计算单元；</w:t>
            </w:r>
          </w:p>
          <w:p w14:paraId="6E33109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（3）灭火无人车基于前序智能驾驶小车平台改装，加装自动装填灭火弹发射装置与多类型灭火弹舱。</w:t>
            </w:r>
          </w:p>
          <w:p w14:paraId="0B0A005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7.场景道具清单：</w:t>
            </w:r>
          </w:p>
          <w:p w14:paraId="25BEE85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（1）环保烟雾发生装置≥2套（可模拟建筑内烟雾扩散）；</w:t>
            </w:r>
          </w:p>
          <w:p w14:paraId="24AC858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（2）可控模拟火源道具≥3套，分别对应化学品、电气、木料三类火灾示意；</w:t>
            </w:r>
          </w:p>
          <w:p w14:paraId="2478D5E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（3）模拟受困人员假人/热靶标≥2个；</w:t>
            </w:r>
          </w:p>
          <w:p w14:paraId="4CE8D96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（4）模拟建筑楼层/房间场景沙盘≥1套；</w:t>
            </w:r>
          </w:p>
          <w:p w14:paraId="49222C4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（5）训练用非实弹灭火弹（水基/干粉模拟弹）≥5发；</w:t>
            </w:r>
          </w:p>
          <w:p w14:paraId="36D84B3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（6）感烟感温探测终端演示节点≥4个。（提供道具清单及实物照片）</w:t>
            </w:r>
          </w:p>
          <w:p w14:paraId="261B6FE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8.教学资源：</w:t>
            </w:r>
          </w:p>
          <w:p w14:paraId="56CFBAF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（1）围绕本场景提供实验（训）项目≥6个，涵盖报警联动、火情感知、灭火弹匹配、生命搜救、多机协同等；</w:t>
            </w:r>
          </w:p>
          <w:p w14:paraId="7555F42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（2）开放≥3个完整实验源代码及二次开发SDK，提供API二次开发文档。（提供实验项目清单及源代码目录截图）</w:t>
            </w:r>
          </w:p>
          <w:p w14:paraId="3D353EB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场景二：空地一体智能巡检系统</w:t>
            </w:r>
          </w:p>
          <w:p w14:paraId="4A96DBF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1.平台组成：本场景以软件平台为核心，结合前序已列无人机、智能驾驶小车、四足机器狗及巡检场景道具构成。平台由巡检任务规划、设备协同调度、AI识别引擎、报表中心四个模块组成。</w:t>
            </w:r>
          </w:p>
          <w:p w14:paraId="6559EB1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2.通信协议与接口要求：</w:t>
            </w:r>
          </w:p>
          <w:p w14:paraId="69910F2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（1）无人机经MAVLink/MAVSDK接收航线任务与航点指令，遥测数据上报频率≥10Hz；</w:t>
            </w:r>
          </w:p>
          <w:p w14:paraId="18EB415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（2）地面无人车、机器狗经ROS2 DDS或MQTT协议上报巡检数据与状态；</w:t>
            </w:r>
          </w:p>
          <w:p w14:paraId="40774DF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（3）实时视频流采用RTSP/H.264/H.265编码，平台支持≥3路视频并发预览与回放；</w:t>
            </w:r>
          </w:p>
          <w:p w14:paraId="3F792DC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（4）平台对外提供RESTful API（JSON格式），支持与前序物联网云平台、安防平台经WebSocket推送告警事件，接口≥15个。（提供通信协议清单、接口文档及≥3台设备同时在线的调度截图）</w:t>
            </w:r>
          </w:p>
          <w:p w14:paraId="1C5A8C7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3.任务规划与协同调度：</w:t>
            </w:r>
          </w:p>
          <w:p w14:paraId="08E6D3B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（1）支持定时巡检、定点巡检、手动巡检、异常触发巡检四种模式；</w:t>
            </w:r>
          </w:p>
          <w:p w14:paraId="4F8D28A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（2）巡检航线与地面路径在电子地图上可视化编辑，支持断点续巡、跨楼层/跨区域任务划分；</w:t>
            </w:r>
          </w:p>
          <w:p w14:paraId="4EC169D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（3）单平台可同时调度≥3台巡检设备（含1台无人机+2台地面设备）协同作业，任务自动避碰、无冲突，调度切换时间≤3s。（提供≥3台设备同时协同巡检的软件界面截图）</w:t>
            </w:r>
          </w:p>
          <w:p w14:paraId="405B5F6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4.AI巡检识别引擎：</w:t>
            </w:r>
          </w:p>
          <w:p w14:paraId="4D0D073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（1）支持指针式/数字式仪表读数识别、烟火识别、安全帽佩戴/人员越界识别、设备温度异常识别五类常见巡检目标，综合识别准确率≥90%；</w:t>
            </w:r>
          </w:p>
          <w:p w14:paraId="22DB6CF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（2）异常发现后自动抓拍、自动定位设备位置、自动生成巡检工单并推送至平台（提供五类巡检目标的识别准确率测试报告（含样本量与测试集说明）及现场识别截图）</w:t>
            </w:r>
          </w:p>
          <w:p w14:paraId="25B7508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5.空地协同补盲：</w:t>
            </w:r>
          </w:p>
          <w:p w14:paraId="558C6CA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（1）无人机在俯瞰巡检中发现高处/远距离异常后，自动下发近检任务至地面无人车或机器狗，任务下发时延≤5s；</w:t>
            </w:r>
          </w:p>
          <w:p w14:paraId="655E4099">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（2）地面设备到达异常点后自动回传近距离高清画面，并联动无人机悬停空中持续监控；</w:t>
            </w:r>
          </w:p>
          <w:p w14:paraId="075EE36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（3）整个补盲过程无需人工重新下发指令。</w:t>
            </w:r>
          </w:p>
          <w:p w14:paraId="30D416B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6.报表与数据管理：</w:t>
            </w:r>
          </w:p>
          <w:p w14:paraId="17A2C09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（1）自动生成日、周、月巡检报告，包含巡检覆盖率、异常项统计、异常位置分布图，支持导出PDF/Excel；</w:t>
            </w:r>
          </w:p>
          <w:p w14:paraId="679EA38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（2）巡检图像、传感器数据、告警记录云端存储≥1年，支持历史趋势对比分析。</w:t>
            </w:r>
          </w:p>
          <w:p w14:paraId="5924212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7.硬件协同接入（复用前序硬件）：</w:t>
            </w:r>
          </w:p>
          <w:p w14:paraId="1C0BCBF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（1）复用前序室内多旋翼无人机，本场景加装可见光云台与可选红外热成像吊舱；</w:t>
            </w:r>
          </w:p>
          <w:p w14:paraId="1BA40D35">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（2）复用前序智能驾驶小车作为地面巡检平台，本场景加装仪表识别相机与环境传感器扩展模块；</w:t>
            </w:r>
          </w:p>
          <w:p w14:paraId="7C4F9B5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（3）复用前序四足机器狗承担楼梯、狭窄通道等复杂地形巡检任务。</w:t>
            </w:r>
          </w:p>
          <w:p w14:paraId="5D3F170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8.场景道具清单：</w:t>
            </w:r>
          </w:p>
          <w:p w14:paraId="4ECB1F9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（1）模拟工业仪表（指针式压力表、数字温湿度表）≥5块；</w:t>
            </w:r>
          </w:p>
          <w:p w14:paraId="7526850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（2）模拟管廊/管线展板≥1套；</w:t>
            </w:r>
          </w:p>
          <w:p w14:paraId="7ACD798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（3）模拟配电箱、消防栓道具各≥2个；</w:t>
            </w:r>
          </w:p>
          <w:p w14:paraId="044529E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（4）巡检地标二维码/标识牌≥10个；</w:t>
            </w:r>
          </w:p>
          <w:p w14:paraId="1A33FF6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（5）模拟异常靶标（漏液瓶、温升装置、烟雾发生器）≥5个。（提供道具清单及布置实景照片）</w:t>
            </w:r>
          </w:p>
          <w:p w14:paraId="2871141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9.教学资源：</w:t>
            </w:r>
          </w:p>
          <w:p w14:paraId="30DF6AAE">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（1）围绕本场景提供实验（训）项目≥5个，涵盖巡检路径规划、仪表识别、异常告警、空地协同补盲等；</w:t>
            </w:r>
          </w:p>
          <w:p w14:paraId="0D800D7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（2）开放仪表读数识别、交通标识/地标识别等≥3个案例的完整源代码。（提供实验项目清单及源代码目录截图）</w:t>
            </w:r>
          </w:p>
          <w:p w14:paraId="5A1BC6E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场景三：空地异构体协同智能向导系统</w:t>
            </w:r>
          </w:p>
          <w:p w14:paraId="3849659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1.平台组成：本场景以软件平台为核心，结合前序已列无人机、四足机器狗及导览场景道具构成。平台由访客管理、路线规划、协同调度、语音交互、内容管理五个模块组成。</w:t>
            </w:r>
          </w:p>
          <w:p w14:paraId="33B25E9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2.通信协议与接口要求：</w:t>
            </w:r>
          </w:p>
          <w:p w14:paraId="293A1D5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（1）无人机与地面设备经WiFi 6（802.11ax）接入平台，设备状态经MQTT上报，控制指令经WebSocket(JSON)实时下发；</w:t>
            </w:r>
          </w:p>
          <w:p w14:paraId="6F0C98C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（2）语音交互采用WebSocket流式传输ASR/TTS，端到端语音响应时延≤1.5s；</w:t>
            </w:r>
          </w:p>
          <w:p w14:paraId="52AC96F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（3）平台对外提供RESTful API（JSON格式），支持与门禁、预约、签到系统对接，接口≥10个。（提供通信协议清单、接口文档及语音交互时延测试截图）</w:t>
            </w:r>
          </w:p>
          <w:p w14:paraId="67904B1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3.访客管理与路线规划：</w:t>
            </w:r>
          </w:p>
          <w:p w14:paraId="2F7DC2D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（1）支持预约登记、现场扫码、语音呼叫三种导览任务发起方式；</w:t>
            </w:r>
          </w:p>
          <w:p w14:paraId="6456358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（2）支持人脸识别或二维码识别访客身份，身份识别响应时间≤1s，按访客类型（VIP/普通访客/学生）自动匹配导览路线与讲解词；</w:t>
            </w:r>
          </w:p>
          <w:p w14:paraId="675CB51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（3）电子地图上可配置≥20个兴趣点，路线规划自动避障、避禁入区域。（提供访客身份识别与自动路线匹配的演示视频或截图）</w:t>
            </w:r>
          </w:p>
          <w:p w14:paraId="35A4C63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4.空地协同引路：</w:t>
            </w:r>
          </w:p>
          <w:p w14:paraId="033BCB7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（1）无人机自出发地起飞，在访客前方3</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5m、距地面2</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3m高度飞行引路，飞行速度0.8</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sz w:val="20"/>
                <w:szCs w:val="20"/>
                <w:highlight w:val="none"/>
                <w:lang w:val="en-US" w:eastAsia="zh-CN"/>
              </w:rPr>
              <w:t xml:space="preserve">1.2m/s； </w:t>
            </w:r>
          </w:p>
          <w:p w14:paraId="0263183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（2）机器狗或无人车在访客侧前方引导，自动避障并通过门槛、台阶；</w:t>
            </w:r>
          </w:p>
          <w:p w14:paraId="4E083A1A">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5.设备低电量或异常时自动调度备用设备接替，原设备自动返充，切换过程≤10s。</w:t>
            </w:r>
          </w:p>
          <w:p w14:paraId="27CF2F33">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6.语音交互与内容管理：</w:t>
            </w:r>
          </w:p>
          <w:p w14:paraId="6C79965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（1）支持中文讲解与自由问答，语音响应时延≤3.5s，支持中/英双语切换；</w:t>
            </w:r>
          </w:p>
          <w:p w14:paraId="20149574">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（2）支持语音控制导览设备前进、停止、加速、重新规划路线、返回入口；</w:t>
            </w:r>
          </w:p>
          <w:p w14:paraId="2876F99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（3）讲解词后台可视化编辑，支持图文、语音素材上传，预置讲解词模板≥10条，支持人工添加。</w:t>
            </w:r>
          </w:p>
          <w:p w14:paraId="2ECCDFC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7.数据统计：自动记录导览时长、行进路线、访客停留点、问答热点，形成导览效果分析报表，支持导出Excel/PDF。</w:t>
            </w:r>
          </w:p>
          <w:p w14:paraId="3DC39A9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8.硬件协同接入（复用前序硬件）：</w:t>
            </w:r>
          </w:p>
          <w:p w14:paraId="60409B81">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（1）复用前序室内多旋翼无人机作为空中引路端，加装语音播报模块与机身指示灯；</w:t>
            </w:r>
          </w:p>
          <w:p w14:paraId="3894427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（2）复用前序四足机器狗作为地面随行端，本场景加装语音交互模块与扬声器。</w:t>
            </w:r>
          </w:p>
          <w:p w14:paraId="164764C0">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ascii="仿宋_GB2312" w:hAnsi="仿宋_GB2312" w:eastAsia="仿宋_GB2312" w:cs="仿宋_GB2312"/>
              </w:rPr>
              <w:t>★</w:t>
            </w:r>
            <w:r>
              <w:rPr>
                <w:rFonts w:hint="eastAsia" w:ascii="仿宋" w:hAnsi="仿宋" w:eastAsia="仿宋" w:cs="仿宋"/>
                <w:b w:val="0"/>
                <w:bCs/>
                <w:color w:val="auto"/>
                <w:sz w:val="20"/>
                <w:szCs w:val="20"/>
                <w:highlight w:val="none"/>
                <w:lang w:val="en-US" w:eastAsia="zh-CN"/>
              </w:rPr>
              <w:t>9.场景道具清单：</w:t>
            </w:r>
          </w:p>
          <w:p w14:paraId="778F4027">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（1）展区/参观路线指示牌≥5个；</w:t>
            </w:r>
          </w:p>
          <w:p w14:paraId="42D3E64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（2）展品介绍立牌或电子屏≥5个；</w:t>
            </w:r>
          </w:p>
          <w:p w14:paraId="2CE912A4">
            <w:pPr>
              <w:pStyle w:val="3"/>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（3）模拟门禁/道闸道具≥1套；</w:t>
            </w:r>
          </w:p>
          <w:p w14:paraId="75A614A1">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（4）人脸识别签到台或签到二维码≥1套。</w:t>
            </w:r>
          </w:p>
          <w:p w14:paraId="7BED1A39">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附带配套：场景投屏摄像头</w:t>
            </w:r>
          </w:p>
          <w:p w14:paraId="0314DA84">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1.400万2.5寸4倍半球型网络红外PTZ摄像机。</w:t>
            </w:r>
          </w:p>
          <w:p w14:paraId="20B08F05">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2.配置1/2.7＂ progressive scan CMOS及以上性能传感器。</w:t>
            </w:r>
          </w:p>
          <w:p w14:paraId="4E2E2A6B">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3.最低照度为彩色0.005Lux @ (F1.8，AGC ON)；黑白0.001Lux @(F1.8，AGC ON)。</w:t>
            </w:r>
          </w:p>
          <w:p w14:paraId="26D0015F">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4.支持4倍光学变倍和16倍数字变倍。</w:t>
            </w:r>
          </w:p>
          <w:p w14:paraId="7322E6C0">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5.焦距范围≥2.8-12mm。</w:t>
            </w:r>
          </w:p>
          <w:p w14:paraId="3E67C0E5">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6.视场角≥99.4</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32.8度(水平)，51.7</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18.4度(垂直)，119.9</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37.5度(对角线)。</w:t>
            </w:r>
          </w:p>
          <w:p w14:paraId="52CB41F0">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7.补光灯类型为红外补光，补光灯距离≥20m，支持防补光过曝，红外波长范围≥850nm。</w:t>
            </w:r>
          </w:p>
          <w:p w14:paraId="5D5B310B">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8.摄像头水平范围≥0°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-355°，垂直范围≥0°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-90°，水平速度范围≥0.1°</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50°/s,速度可设;水平预置点速度≥50°/s，垂直速度范围≥0.1°</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50°/s,速度可设;垂直预置点速度≥50°/s。</w:t>
            </w:r>
          </w:p>
          <w:p w14:paraId="4D81966C">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9.支持主码流帧率分辨率：50 Hz:25 fps (2560×1440,1920×1080,1280×960,1280×720), 60 Hz: 30 fps(2560×1440, 1920×1080,1280×960,1280×720)。</w:t>
            </w:r>
          </w:p>
          <w:p w14:paraId="352CC14E">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10.支持视频压缩标准H.265/H.264/MJPEG。</w:t>
            </w:r>
          </w:p>
          <w:p w14:paraId="7D6051BE">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11.配置丰富外设接口，RJ45网口≥1个，自适应10M/100M网络数据；</w:t>
            </w:r>
          </w:p>
          <w:p w14:paraId="3F55DF29">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SD卡扩展口≥1个，支持Micro SD/Micro SDHC/Micro SDXC卡,最大支持扩展512GB。</w:t>
            </w:r>
          </w:p>
          <w:p w14:paraId="36DF4708">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12.内置麦克风≥1个，可清晰接收到半径≥5m以内的声音。</w:t>
            </w:r>
          </w:p>
          <w:p w14:paraId="4C46C2F8">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13.内置扬声器≥1个，警戒声音最大传播半径≥10m。</w:t>
            </w:r>
          </w:p>
          <w:p w14:paraId="0ACF021E">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14.电源供电DC12V，电流≤60mA,最大功耗≤11.2W。</w:t>
            </w:r>
          </w:p>
          <w:p w14:paraId="641BAE6C">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color w:val="auto"/>
                <w:kern w:val="2"/>
                <w:sz w:val="20"/>
                <w:szCs w:val="20"/>
                <w:highlight w:val="none"/>
                <w:lang w:val="en-US" w:eastAsia="zh-CN" w:bidi="ar-SA"/>
              </w:rPr>
            </w:pPr>
            <w:r>
              <w:rPr>
                <w:rFonts w:hint="eastAsia" w:ascii="仿宋" w:hAnsi="仿宋" w:eastAsia="仿宋" w:cs="仿宋"/>
                <w:b w:val="0"/>
                <w:bCs/>
                <w:color w:val="auto"/>
                <w:kern w:val="2"/>
                <w:sz w:val="20"/>
                <w:szCs w:val="20"/>
                <w:highlight w:val="none"/>
                <w:lang w:val="en-US" w:eastAsia="zh-CN" w:bidi="ar-SA"/>
              </w:rPr>
              <w:t>15.整体尺寸≥Φ130.7×103.6mm。</w:t>
            </w:r>
          </w:p>
          <w:p w14:paraId="283E0341">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lang w:val="en-US" w:eastAsia="zh-CN"/>
              </w:rPr>
            </w:pPr>
            <w:r>
              <w:rPr>
                <w:rFonts w:hint="eastAsia" w:ascii="仿宋" w:hAnsi="仿宋" w:eastAsia="仿宋" w:cs="仿宋"/>
                <w:b w:val="0"/>
                <w:bCs/>
                <w:color w:val="auto"/>
                <w:kern w:val="2"/>
                <w:sz w:val="20"/>
                <w:szCs w:val="20"/>
                <w:highlight w:val="none"/>
                <w:lang w:val="en-US" w:eastAsia="zh-CN" w:bidi="ar-SA"/>
              </w:rPr>
              <w:t>16.工作温度范围≥-30℃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60℃；湿度范围≥0</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b w:val="0"/>
                <w:bCs/>
                <w:color w:val="auto"/>
                <w:kern w:val="2"/>
                <w:sz w:val="20"/>
                <w:szCs w:val="20"/>
                <w:highlight w:val="none"/>
                <w:lang w:val="en-US" w:eastAsia="zh-CN" w:bidi="ar-SA"/>
              </w:rPr>
              <w:t>90%。</w:t>
            </w:r>
          </w:p>
          <w:p w14:paraId="7FDF6AD8">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（二）设备流转柜：1组</w:t>
            </w:r>
          </w:p>
          <w:p w14:paraId="40D664B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1.柜体主体金属材质，自带≥7英寸液晶触控信息屏；</w:t>
            </w:r>
          </w:p>
          <w:p w14:paraId="1762257B">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2.开柜方式支持智能电锁，开锁弹开；</w:t>
            </w:r>
          </w:p>
          <w:p w14:paraId="09F19C6F">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3.面板门支持亚克力、玻璃可选；</w:t>
            </w:r>
          </w:p>
          <w:p w14:paraId="3B29AEED">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4.借还方式同时支持二维码扫码、帐号密码、一卡通卡等多种方式；</w:t>
            </w:r>
          </w:p>
          <w:p w14:paraId="65F89ED8">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5.自助借还读写器工作频率为13.56M，兼容二代居民身份证、一卡通卡；</w:t>
            </w:r>
          </w:p>
          <w:p w14:paraId="10CE9C8C">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6.工作模式支持刷卡/帐号密码/电动等方式，开柜取/还设备；</w:t>
            </w:r>
          </w:p>
          <w:p w14:paraId="1E491C76">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7.平铺式/壁挂式天线，可按设备具体安装情况定制；</w:t>
            </w:r>
          </w:p>
          <w:p w14:paraId="5F5ECD32">
            <w:pPr>
              <w:pStyle w:val="3"/>
              <w:keepNext w:val="0"/>
              <w:keepLines w:val="0"/>
              <w:pageBreakBefore w:val="0"/>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8.满足24小时自助借还使用要求，不受金属柜子屏蔽；不受近距离后排人员干扰，抗干扰能力强；</w:t>
            </w:r>
          </w:p>
          <w:p w14:paraId="76300D37">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9.柜体布局为多开门不对称布局，板卡侧两列，每列≥12层，载具侧单列≥4层，1400mm*600mm*1800mm；</w:t>
            </w:r>
          </w:p>
          <w:p w14:paraId="35FBE9D5">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lang w:val="en-US" w:eastAsia="zh-CN"/>
              </w:rPr>
              <w:t>（三）</w:t>
            </w:r>
            <w:r>
              <w:rPr>
                <w:rFonts w:hint="eastAsia" w:ascii="仿宋" w:hAnsi="仿宋" w:eastAsia="仿宋" w:cs="仿宋"/>
                <w:color w:val="000000"/>
                <w:kern w:val="0"/>
                <w:sz w:val="20"/>
                <w:szCs w:val="20"/>
                <w:highlight w:val="none"/>
                <w:lang w:bidi="ar"/>
              </w:rPr>
              <w:t>讲台</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b w:val="0"/>
                <w:bCs/>
                <w:color w:val="auto"/>
                <w:sz w:val="20"/>
                <w:szCs w:val="20"/>
                <w:highlight w:val="none"/>
                <w:lang w:val="en-US" w:eastAsia="zh-CN"/>
              </w:rPr>
              <w:t>1台套</w:t>
            </w:r>
          </w:p>
          <w:p w14:paraId="537789E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1</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讲台</w:t>
            </w:r>
            <w:r>
              <w:rPr>
                <w:rFonts w:hint="eastAsia" w:ascii="仿宋" w:hAnsi="仿宋" w:eastAsia="仿宋" w:cs="仿宋"/>
                <w:color w:val="000000"/>
                <w:kern w:val="0"/>
                <w:sz w:val="20"/>
                <w:szCs w:val="20"/>
                <w:highlight w:val="none"/>
                <w:lang w:bidi="ar"/>
              </w:rPr>
              <w:t>桌面采用E1级环保板材，厚度</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20</w:t>
            </w:r>
            <w:r>
              <w:rPr>
                <w:rFonts w:hint="eastAsia" w:ascii="仿宋" w:hAnsi="仿宋" w:eastAsia="仿宋" w:cs="仿宋"/>
                <w:color w:val="000000"/>
                <w:kern w:val="0"/>
                <w:sz w:val="20"/>
                <w:szCs w:val="20"/>
                <w:highlight w:val="none"/>
                <w:lang w:bidi="ar"/>
              </w:rPr>
              <w:t>MM，板经过防虫、防腐的化学处理，强度高、钢性好、不变形、比重合理；板外表面采用中纤板喷粉技术处理，无需封边，桌面板所有棱边都采用弧形设计，美观大方；讲桌表面包括用户侧的边缘采用弧形倒角设计，防止撞伤；桌面安装长度为30 cm的铝拉丝档条，防止物品滑落；桌面配置有笔槽</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可以放置手机、ipad、笔等物品，桌面参考尺寸：715*475*20mm。桌面尺寸长宽≥750mm*500mm；所投产品的主要材质中纤板，符合GB/T 39600-2021《人造板及其制品甲醛释放量分级》的技术要求，提供国家认可的第三方检测机构认可的检测报告（盖鲜章）</w:t>
            </w:r>
          </w:p>
          <w:p w14:paraId="50B579C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2</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配置</w:t>
            </w:r>
            <w:r>
              <w:rPr>
                <w:rFonts w:hint="eastAsia" w:ascii="仿宋" w:hAnsi="仿宋" w:eastAsia="仿宋" w:cs="仿宋"/>
                <w:color w:val="000000"/>
                <w:kern w:val="0"/>
                <w:sz w:val="20"/>
                <w:szCs w:val="20"/>
                <w:highlight w:val="none"/>
                <w:lang w:bidi="ar"/>
              </w:rPr>
              <w:t>气动</w:t>
            </w:r>
            <w:r>
              <w:rPr>
                <w:rFonts w:hint="eastAsia" w:ascii="仿宋" w:hAnsi="仿宋" w:eastAsia="仿宋" w:cs="仿宋"/>
                <w:color w:val="000000"/>
                <w:kern w:val="0"/>
                <w:sz w:val="20"/>
                <w:szCs w:val="20"/>
                <w:highlight w:val="none"/>
                <w:lang w:val="en-US" w:eastAsia="zh-CN" w:bidi="ar"/>
              </w:rPr>
              <w:t>桌面</w:t>
            </w:r>
            <w:r>
              <w:rPr>
                <w:rFonts w:hint="eastAsia" w:ascii="仿宋" w:hAnsi="仿宋" w:eastAsia="仿宋" w:cs="仿宋"/>
                <w:color w:val="000000"/>
                <w:kern w:val="0"/>
                <w:sz w:val="20"/>
                <w:szCs w:val="20"/>
                <w:highlight w:val="none"/>
                <w:lang w:bidi="ar"/>
              </w:rPr>
              <w:t>升降杆</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气动升降杆采用优质铝合金作为升降杆柱体，表面采用高温静电喷涂。桌面气动升降范围为≥820*1206mm；气杆采用一键无极升降，升降按键采用弧形设计，符合人体工学；气动升降杆最大承重15KG</w:t>
            </w:r>
          </w:p>
          <w:p w14:paraId="7981F7C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3</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采用开放型设计的支架底盘，符合人体工学，不仅可以防止踢脚，还突破传统的束缚，解放双脚。底盘采用优质铝合金铸造成型，表面采用高温静电喷涂，安装4个两寸万向PU静音滑轮，2轮可刹车锁定，方便移动</w:t>
            </w:r>
          </w:p>
          <w:p w14:paraId="7F5FCDC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4</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桌面下方安装厚度5mm的亚克力LOGO装饰板，尺寸≥400*245mm，采用4颗装饰螺丝安装，可以印刷尺寸≤20CM的校徽</w:t>
            </w:r>
          </w:p>
          <w:p w14:paraId="18C41FB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5</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桌面</w:t>
            </w:r>
            <w:r>
              <w:rPr>
                <w:rFonts w:hint="eastAsia" w:ascii="仿宋" w:hAnsi="仿宋" w:eastAsia="仿宋" w:cs="仿宋"/>
                <w:color w:val="000000"/>
                <w:kern w:val="0"/>
                <w:sz w:val="20"/>
                <w:szCs w:val="20"/>
                <w:highlight w:val="none"/>
                <w:lang w:val="en-US" w:eastAsia="zh-CN" w:bidi="ar"/>
              </w:rPr>
              <w:t>可</w:t>
            </w:r>
            <w:r>
              <w:rPr>
                <w:rFonts w:hint="eastAsia" w:ascii="仿宋" w:hAnsi="仿宋" w:eastAsia="仿宋" w:cs="仿宋"/>
                <w:color w:val="000000"/>
                <w:kern w:val="0"/>
                <w:sz w:val="20"/>
                <w:szCs w:val="20"/>
                <w:highlight w:val="none"/>
                <w:lang w:bidi="ar"/>
              </w:rPr>
              <w:t>呈≥10度倾斜，配置有塑料水杯架</w:t>
            </w:r>
          </w:p>
          <w:p w14:paraId="27F0DAA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6.产品整体尺寸（ L*W*H单位mm）:最低尺寸：≥750*495*820mm，最高尺寸≥750*495*1206mm</w:t>
            </w:r>
          </w:p>
          <w:p w14:paraId="74D527F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7</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提供产品来源渠道合法的证明文件（包括但不限于销售协议、代理协议、原厂授权等）及原厂三年售后服务承诺函</w:t>
            </w:r>
          </w:p>
          <w:p w14:paraId="42628EC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8</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桌面配置摄像头，可将桌面文件投至智慧大屏，具体参数如下：</w:t>
            </w:r>
          </w:p>
          <w:p w14:paraId="19EB19D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(1)图像传感器：1/2.5英寸CMOS专业图像传感器</w:t>
            </w:r>
            <w:r>
              <w:rPr>
                <w:rFonts w:hint="eastAsia" w:ascii="仿宋" w:hAnsi="仿宋" w:eastAsia="仿宋" w:cs="仿宋"/>
                <w:color w:val="000000"/>
                <w:kern w:val="0"/>
                <w:sz w:val="20"/>
                <w:szCs w:val="20"/>
                <w:highlight w:val="none"/>
                <w:lang w:eastAsia="zh-CN" w:bidi="ar"/>
              </w:rPr>
              <w:t>；</w:t>
            </w:r>
          </w:p>
          <w:p w14:paraId="496C1DF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(2)图像像素≥500万像素</w:t>
            </w:r>
            <w:r>
              <w:rPr>
                <w:rFonts w:hint="eastAsia" w:ascii="仿宋" w:hAnsi="仿宋" w:eastAsia="仿宋" w:cs="仿宋"/>
                <w:color w:val="000000"/>
                <w:kern w:val="0"/>
                <w:sz w:val="20"/>
                <w:szCs w:val="20"/>
                <w:highlight w:val="none"/>
                <w:lang w:eastAsia="zh-CN" w:bidi="ar"/>
              </w:rPr>
              <w:t>；</w:t>
            </w:r>
          </w:p>
          <w:p w14:paraId="59454D3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(3)支持幅面A4</w:t>
            </w:r>
            <w:r>
              <w:rPr>
                <w:rFonts w:hint="eastAsia" w:ascii="仿宋" w:hAnsi="仿宋" w:eastAsia="仿宋" w:cs="仿宋"/>
                <w:color w:val="000000"/>
                <w:kern w:val="0"/>
                <w:sz w:val="20"/>
                <w:szCs w:val="20"/>
                <w:highlight w:val="none"/>
                <w:lang w:eastAsia="zh-CN" w:bidi="ar"/>
              </w:rPr>
              <w:t>；</w:t>
            </w:r>
          </w:p>
          <w:p w14:paraId="60C5E69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(4)输出格式MJPG，YUV</w:t>
            </w:r>
            <w:r>
              <w:rPr>
                <w:rFonts w:hint="eastAsia" w:ascii="仿宋" w:hAnsi="仿宋" w:eastAsia="仿宋" w:cs="仿宋"/>
                <w:color w:val="000000"/>
                <w:kern w:val="0"/>
                <w:sz w:val="20"/>
                <w:szCs w:val="20"/>
                <w:highlight w:val="none"/>
                <w:lang w:eastAsia="zh-CN" w:bidi="ar"/>
              </w:rPr>
              <w:t>；</w:t>
            </w:r>
          </w:p>
          <w:p w14:paraId="0D1093C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(5)无线WIFI链接，多屏共享，同时连接设备</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5个，无线传输距离可达50米</w:t>
            </w:r>
            <w:r>
              <w:rPr>
                <w:rFonts w:hint="eastAsia" w:ascii="仿宋" w:hAnsi="仿宋" w:eastAsia="仿宋" w:cs="仿宋"/>
                <w:color w:val="000000"/>
                <w:kern w:val="0"/>
                <w:sz w:val="20"/>
                <w:szCs w:val="20"/>
                <w:highlight w:val="none"/>
                <w:lang w:eastAsia="zh-CN" w:bidi="ar"/>
              </w:rPr>
              <w:t>；</w:t>
            </w:r>
          </w:p>
          <w:p w14:paraId="5591CD6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(6)自动白平衡，支持幅面的90度旋转</w:t>
            </w:r>
            <w:r>
              <w:rPr>
                <w:rFonts w:hint="eastAsia" w:ascii="仿宋" w:hAnsi="仿宋" w:eastAsia="仿宋" w:cs="仿宋"/>
                <w:color w:val="000000"/>
                <w:kern w:val="0"/>
                <w:sz w:val="20"/>
                <w:szCs w:val="20"/>
                <w:highlight w:val="none"/>
                <w:lang w:eastAsia="zh-CN" w:bidi="ar"/>
              </w:rPr>
              <w:t>；</w:t>
            </w:r>
          </w:p>
          <w:p w14:paraId="2720AE0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(7)灵活的结构设计，主臂可180度旋转,摄像臂可左右各旋转90度</w:t>
            </w:r>
            <w:r>
              <w:rPr>
                <w:rFonts w:hint="eastAsia" w:ascii="仿宋" w:hAnsi="仿宋" w:eastAsia="仿宋" w:cs="仿宋"/>
                <w:color w:val="000000"/>
                <w:kern w:val="0"/>
                <w:sz w:val="20"/>
                <w:szCs w:val="20"/>
                <w:highlight w:val="none"/>
                <w:lang w:eastAsia="zh-CN" w:bidi="ar"/>
              </w:rPr>
              <w:t>；</w:t>
            </w:r>
          </w:p>
          <w:p w14:paraId="570F62C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(8)光源</w:t>
            </w:r>
            <w:r>
              <w:rPr>
                <w:rFonts w:hint="eastAsia" w:ascii="仿宋" w:hAnsi="仿宋" w:eastAsia="仿宋" w:cs="仿宋"/>
                <w:color w:val="000000"/>
                <w:kern w:val="0"/>
                <w:sz w:val="20"/>
                <w:szCs w:val="20"/>
                <w:highlight w:val="none"/>
                <w:lang w:val="en-US" w:eastAsia="zh-CN" w:bidi="ar"/>
              </w:rPr>
              <w:t>为</w:t>
            </w:r>
            <w:r>
              <w:rPr>
                <w:rFonts w:hint="eastAsia" w:ascii="仿宋" w:hAnsi="仿宋" w:eastAsia="仿宋" w:cs="仿宋"/>
                <w:color w:val="000000"/>
                <w:kern w:val="0"/>
                <w:sz w:val="20"/>
                <w:szCs w:val="20"/>
                <w:highlight w:val="none"/>
                <w:lang w:bidi="ar"/>
              </w:rPr>
              <w:t>LED补光灯，带开关控制</w:t>
            </w:r>
            <w:r>
              <w:rPr>
                <w:rFonts w:hint="eastAsia" w:ascii="仿宋" w:hAnsi="仿宋" w:eastAsia="仿宋" w:cs="仿宋"/>
                <w:color w:val="000000"/>
                <w:kern w:val="0"/>
                <w:sz w:val="20"/>
                <w:szCs w:val="20"/>
                <w:highlight w:val="none"/>
                <w:lang w:eastAsia="zh-CN" w:bidi="ar"/>
              </w:rPr>
              <w:t>；</w:t>
            </w:r>
          </w:p>
          <w:p w14:paraId="244DEE8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(9)扫描图片格式：JPG，TIF，BMP</w:t>
            </w:r>
            <w:r>
              <w:rPr>
                <w:rFonts w:hint="eastAsia" w:ascii="仿宋" w:hAnsi="仿宋" w:eastAsia="仿宋" w:cs="仿宋"/>
                <w:color w:val="000000"/>
                <w:kern w:val="0"/>
                <w:sz w:val="20"/>
                <w:szCs w:val="20"/>
                <w:highlight w:val="none"/>
                <w:lang w:eastAsia="zh-CN" w:bidi="ar"/>
              </w:rPr>
              <w:t>；</w:t>
            </w:r>
          </w:p>
          <w:p w14:paraId="3B23FAD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(10)</w:t>
            </w:r>
            <w:r>
              <w:rPr>
                <w:rFonts w:hint="eastAsia" w:ascii="仿宋" w:hAnsi="仿宋" w:eastAsia="仿宋" w:cs="仿宋"/>
                <w:color w:val="000000"/>
                <w:kern w:val="0"/>
                <w:sz w:val="20"/>
                <w:szCs w:val="20"/>
                <w:highlight w:val="none"/>
                <w:lang w:val="en-US" w:eastAsia="zh-CN" w:bidi="ar"/>
              </w:rPr>
              <w:t>支持</w:t>
            </w:r>
            <w:r>
              <w:rPr>
                <w:rFonts w:hint="eastAsia" w:ascii="仿宋" w:hAnsi="仿宋" w:eastAsia="仿宋" w:cs="仿宋"/>
                <w:color w:val="000000"/>
                <w:kern w:val="0"/>
                <w:sz w:val="20"/>
                <w:szCs w:val="20"/>
                <w:highlight w:val="none"/>
                <w:lang w:bidi="ar"/>
              </w:rPr>
              <w:t>录像格式AVI</w:t>
            </w:r>
            <w:r>
              <w:rPr>
                <w:rFonts w:hint="eastAsia" w:ascii="仿宋" w:hAnsi="仿宋" w:eastAsia="仿宋" w:cs="仿宋"/>
                <w:color w:val="000000"/>
                <w:kern w:val="0"/>
                <w:sz w:val="20"/>
                <w:szCs w:val="20"/>
                <w:highlight w:val="none"/>
                <w:lang w:eastAsia="zh-CN" w:bidi="ar"/>
              </w:rPr>
              <w:t>；</w:t>
            </w:r>
          </w:p>
          <w:p w14:paraId="3E4D69A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(11)</w:t>
            </w:r>
            <w:r>
              <w:rPr>
                <w:rFonts w:hint="eastAsia" w:ascii="仿宋" w:hAnsi="仿宋" w:eastAsia="仿宋" w:cs="仿宋"/>
                <w:color w:val="000000"/>
                <w:kern w:val="0"/>
                <w:sz w:val="20"/>
                <w:szCs w:val="20"/>
                <w:highlight w:val="none"/>
                <w:lang w:val="en-US" w:eastAsia="zh-CN" w:bidi="ar"/>
              </w:rPr>
              <w:t>配置</w:t>
            </w:r>
            <w:r>
              <w:rPr>
                <w:rFonts w:hint="eastAsia" w:ascii="仿宋" w:hAnsi="仿宋" w:eastAsia="仿宋" w:cs="仿宋"/>
                <w:color w:val="000000"/>
                <w:kern w:val="0"/>
                <w:sz w:val="20"/>
                <w:szCs w:val="20"/>
                <w:highlight w:val="none"/>
                <w:lang w:bidi="ar"/>
              </w:rPr>
              <w:t>≥5200 毫安时锂电池，持续使用时间≥6小时；</w:t>
            </w:r>
          </w:p>
          <w:p w14:paraId="292ABF0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(12)</w:t>
            </w:r>
            <w:r>
              <w:rPr>
                <w:rFonts w:hint="eastAsia" w:ascii="仿宋" w:hAnsi="仿宋" w:eastAsia="仿宋" w:cs="仿宋"/>
                <w:color w:val="000000"/>
                <w:kern w:val="0"/>
                <w:sz w:val="20"/>
                <w:szCs w:val="20"/>
                <w:highlight w:val="none"/>
                <w:lang w:val="en-US" w:eastAsia="zh-CN" w:bidi="ar"/>
              </w:rPr>
              <w:t>配置</w:t>
            </w:r>
            <w:r>
              <w:rPr>
                <w:rFonts w:hint="eastAsia" w:ascii="仿宋" w:hAnsi="仿宋" w:eastAsia="仿宋" w:cs="仿宋"/>
                <w:color w:val="000000"/>
                <w:kern w:val="0"/>
                <w:sz w:val="20"/>
                <w:szCs w:val="20"/>
                <w:highlight w:val="none"/>
                <w:lang w:bidi="ar"/>
              </w:rPr>
              <w:t>USB2.0 DC接口充电可选择DC或者USB增加机器使用寿命</w:t>
            </w:r>
            <w:r>
              <w:rPr>
                <w:rFonts w:hint="eastAsia" w:ascii="仿宋" w:hAnsi="仿宋" w:eastAsia="仿宋" w:cs="仿宋"/>
                <w:color w:val="000000"/>
                <w:kern w:val="0"/>
                <w:sz w:val="20"/>
                <w:szCs w:val="20"/>
                <w:highlight w:val="none"/>
                <w:lang w:eastAsia="zh-CN" w:bidi="ar"/>
              </w:rPr>
              <w:t>；</w:t>
            </w:r>
          </w:p>
          <w:p w14:paraId="5DE43DB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(13)投标产品生产厂家授予投标人的针对本项目的授权书原件；</w:t>
            </w:r>
          </w:p>
          <w:p w14:paraId="0DD9B11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(14)控制软件著作权证书；</w:t>
            </w:r>
          </w:p>
          <w:p w14:paraId="541E656A">
            <w:pPr>
              <w:numPr>
                <w:ilvl w:val="0"/>
                <w:numId w:val="0"/>
              </w:numPr>
              <w:spacing w:line="360" w:lineRule="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(15)投标产品生产厂家的</w:t>
            </w:r>
            <w:r>
              <w:rPr>
                <w:rFonts w:hint="eastAsia" w:ascii="仿宋" w:hAnsi="仿宋" w:eastAsia="仿宋" w:cs="仿宋"/>
                <w:color w:val="000000"/>
                <w:kern w:val="0"/>
                <w:sz w:val="20"/>
                <w:szCs w:val="20"/>
                <w:highlight w:val="none"/>
                <w:lang w:val="en-US" w:eastAsia="zh-CN" w:bidi="ar"/>
              </w:rPr>
              <w:t>均被</w:t>
            </w:r>
            <w:r>
              <w:rPr>
                <w:rFonts w:hint="eastAsia" w:ascii="仿宋" w:hAnsi="仿宋" w:eastAsia="仿宋" w:cs="仿宋"/>
                <w:color w:val="000000"/>
                <w:kern w:val="0"/>
                <w:sz w:val="20"/>
                <w:szCs w:val="20"/>
                <w:highlight w:val="none"/>
                <w:lang w:bidi="ar"/>
              </w:rPr>
              <w:t>环境管理体系ISO</w:t>
            </w:r>
            <w:r>
              <w:rPr>
                <w:rFonts w:hint="eastAsia" w:ascii="仿宋" w:hAnsi="仿宋" w:eastAsia="仿宋" w:cs="仿宋"/>
                <w:color w:val="000000"/>
                <w:kern w:val="0"/>
                <w:sz w:val="20"/>
                <w:szCs w:val="20"/>
                <w:highlight w:val="none"/>
                <w:lang w:val="en-US" w:eastAsia="zh-CN" w:bidi="ar"/>
              </w:rPr>
              <w:t>认证资质</w:t>
            </w:r>
            <w:r>
              <w:rPr>
                <w:rFonts w:hint="eastAsia" w:ascii="仿宋" w:hAnsi="仿宋" w:eastAsia="仿宋" w:cs="仿宋"/>
                <w:color w:val="000000"/>
                <w:kern w:val="0"/>
                <w:sz w:val="20"/>
                <w:szCs w:val="20"/>
                <w:highlight w:val="none"/>
                <w:lang w:eastAsia="zh-CN" w:bidi="ar"/>
              </w:rPr>
              <w:t>。</w:t>
            </w:r>
          </w:p>
          <w:p w14:paraId="60418ACF">
            <w:pPr>
              <w:numPr>
                <w:ilvl w:val="0"/>
                <w:numId w:val="0"/>
              </w:numPr>
              <w:spacing w:line="360" w:lineRule="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四</w:t>
            </w:r>
            <w:r>
              <w:rPr>
                <w:rFonts w:hint="eastAsia" w:ascii="仿宋" w:hAnsi="仿宋" w:eastAsia="仿宋" w:cs="仿宋"/>
                <w:color w:val="000000"/>
                <w:kern w:val="0"/>
                <w:sz w:val="20"/>
                <w:szCs w:val="20"/>
                <w:highlight w:val="none"/>
                <w:lang w:eastAsia="zh-CN" w:bidi="ar"/>
              </w:rPr>
              <w:t>）扩音设备：1套</w:t>
            </w:r>
          </w:p>
          <w:p w14:paraId="67DBA737">
            <w:pPr>
              <w:pStyle w:val="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1.</w:t>
            </w:r>
            <w:r>
              <w:rPr>
                <w:rFonts w:hint="eastAsia" w:ascii="仿宋" w:hAnsi="仿宋" w:eastAsia="仿宋" w:cs="仿宋"/>
                <w:color w:val="000000"/>
                <w:kern w:val="0"/>
                <w:sz w:val="20"/>
                <w:szCs w:val="20"/>
                <w:highlight w:val="none"/>
                <w:lang w:bidi="ar"/>
              </w:rPr>
              <w:t>音频主机</w:t>
            </w:r>
            <w:r>
              <w:rPr>
                <w:rFonts w:hint="eastAsia" w:ascii="仿宋" w:hAnsi="仿宋" w:eastAsia="仿宋" w:cs="仿宋"/>
                <w:color w:val="000000"/>
                <w:kern w:val="0"/>
                <w:sz w:val="20"/>
                <w:szCs w:val="20"/>
                <w:highlight w:val="none"/>
                <w:lang w:eastAsia="zh-CN" w:bidi="ar"/>
              </w:rPr>
              <w:t>，LCD液晶显示</w:t>
            </w:r>
            <w:r>
              <w:rPr>
                <w:rFonts w:hint="eastAsia" w:ascii="仿宋" w:hAnsi="仿宋" w:eastAsia="仿宋" w:cs="仿宋"/>
                <w:color w:val="000000"/>
                <w:kern w:val="0"/>
                <w:sz w:val="20"/>
                <w:szCs w:val="20"/>
                <w:highlight w:val="none"/>
                <w:lang w:bidi="ar"/>
              </w:rPr>
              <w:t>≥3.5英寸触控屏，≥4路MIC输入，≥2路立体声输入，≥2路立体声输出，≥1 个RS232接口，≥1 个RS485接口，≥2*120W功放输出；内置音频AI处理芯片，具有音频采集、音频处理（反馈抑制、噪声抑制）、声压检测、自动调音等功能。</w:t>
            </w:r>
          </w:p>
          <w:p w14:paraId="1BE8DADB">
            <w:pPr>
              <w:pStyle w:val="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2.</w:t>
            </w:r>
            <w:r>
              <w:rPr>
                <w:rFonts w:hint="eastAsia" w:ascii="仿宋" w:hAnsi="仿宋" w:eastAsia="仿宋" w:cs="仿宋"/>
                <w:color w:val="000000"/>
                <w:kern w:val="0"/>
                <w:sz w:val="20"/>
                <w:szCs w:val="20"/>
                <w:highlight w:val="none"/>
                <w:lang w:bidi="ar"/>
              </w:rPr>
              <w:t>阵列麦克风</w:t>
            </w:r>
            <w:r>
              <w:rPr>
                <w:rFonts w:hint="eastAsia" w:ascii="仿宋" w:hAnsi="仿宋" w:eastAsia="仿宋" w:cs="仿宋"/>
                <w:color w:val="000000"/>
                <w:kern w:val="0"/>
                <w:sz w:val="20"/>
                <w:szCs w:val="20"/>
                <w:highlight w:val="none"/>
                <w:lang w:eastAsia="zh-CN" w:bidi="ar"/>
              </w:rPr>
              <w:t>：电容式，频率响应：40Hz—16000Hz，灵敏度≥-35dB，48V幻象电源供电，声压级≥114dB SPL，信噪比≥70dB;</w:t>
            </w:r>
          </w:p>
          <w:p w14:paraId="27762C1B">
            <w:pPr>
              <w:numPr>
                <w:ilvl w:val="0"/>
                <w:numId w:val="0"/>
              </w:numPr>
              <w:spacing w:line="360" w:lineRule="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3.</w:t>
            </w:r>
            <w:r>
              <w:rPr>
                <w:rFonts w:hint="eastAsia" w:ascii="仿宋" w:hAnsi="仿宋" w:eastAsia="仿宋" w:cs="仿宋"/>
                <w:color w:val="000000"/>
                <w:kern w:val="0"/>
                <w:sz w:val="20"/>
                <w:szCs w:val="20"/>
                <w:highlight w:val="none"/>
                <w:lang w:bidi="ar"/>
              </w:rPr>
              <w:t>无源音箱</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2个，≥4英寸，阻抗≥8Ω，功率≥60W，灵敏度（1W/1m）≥85dB，声压级（1W/1m）：≥105dB，频率响应：110Hz</w:t>
            </w:r>
            <w:r>
              <w:rPr>
                <w:rFonts w:hint="default" w:ascii="Times New Roman" w:hAnsi="Times New Roman" w:eastAsia="仿宋" w:cs="Times New Roman"/>
                <w:b w:val="0"/>
                <w:bCs/>
                <w:color w:val="auto"/>
                <w:kern w:val="2"/>
                <w:sz w:val="20"/>
                <w:szCs w:val="20"/>
                <w:highlight w:val="none"/>
                <w:lang w:val="en-US" w:eastAsia="zh-CN" w:bidi="ar-SA"/>
              </w:rPr>
              <w:t>~</w:t>
            </w:r>
            <w:r>
              <w:rPr>
                <w:rFonts w:hint="eastAsia" w:ascii="仿宋" w:hAnsi="仿宋" w:eastAsia="仿宋" w:cs="仿宋"/>
                <w:color w:val="000000"/>
                <w:kern w:val="0"/>
                <w:sz w:val="20"/>
                <w:szCs w:val="20"/>
                <w:highlight w:val="none"/>
                <w:lang w:bidi="ar"/>
              </w:rPr>
              <w:t>18kHz（±3dB），扩散角度：垂直≥40°，水平≥90°。</w:t>
            </w:r>
          </w:p>
          <w:p w14:paraId="186FF26B">
            <w:pPr>
              <w:numPr>
                <w:ilvl w:val="0"/>
                <w:numId w:val="0"/>
              </w:numPr>
              <w:spacing w:line="360" w:lineRule="auto"/>
              <w:rPr>
                <w:rFonts w:hint="eastAsia" w:ascii="仿宋" w:hAnsi="仿宋" w:eastAsia="仿宋" w:cs="仿宋"/>
                <w:color w:val="000000"/>
                <w:kern w:val="0"/>
                <w:sz w:val="20"/>
                <w:szCs w:val="20"/>
                <w:highlight w:val="none"/>
                <w:lang w:val="en-US" w:eastAsia="zh-CN" w:bidi="ar"/>
              </w:rPr>
            </w:pP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五</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环境温度控制器</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2台</w:t>
            </w:r>
          </w:p>
          <w:p w14:paraId="0759AF06">
            <w:pPr>
              <w:widowControl/>
              <w:spacing w:line="360" w:lineRule="auto"/>
              <w:jc w:val="left"/>
              <w:textAlignment w:val="center"/>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val="en-US" w:eastAsia="zh-CN" w:bidi="ar"/>
              </w:rPr>
              <w:t>1.</w:t>
            </w:r>
            <w:r>
              <w:rPr>
                <w:rFonts w:hint="eastAsia" w:ascii="仿宋" w:hAnsi="仿宋" w:eastAsia="仿宋" w:cs="仿宋"/>
                <w:color w:val="000000"/>
                <w:kern w:val="0"/>
                <w:sz w:val="20"/>
                <w:szCs w:val="20"/>
                <w:highlight w:val="none"/>
                <w:lang w:bidi="ar"/>
              </w:rPr>
              <w:t>冷暖型，变频，制热量：13820W(3500-15870),制冷量：12120W(3100-13110)</w:t>
            </w:r>
            <w:r>
              <w:rPr>
                <w:rFonts w:hint="eastAsia" w:ascii="仿宋" w:hAnsi="仿宋" w:eastAsia="仿宋" w:cs="仿宋"/>
                <w:color w:val="000000"/>
                <w:kern w:val="0"/>
                <w:sz w:val="20"/>
                <w:szCs w:val="20"/>
                <w:highlight w:val="none"/>
                <w:lang w:eastAsia="zh-CN" w:bidi="ar"/>
              </w:rPr>
              <w:t>。</w:t>
            </w:r>
          </w:p>
          <w:p w14:paraId="01CFC26E">
            <w:pPr>
              <w:widowControl/>
              <w:spacing w:line="360" w:lineRule="auto"/>
              <w:jc w:val="left"/>
              <w:textAlignment w:val="center"/>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val="en-US" w:eastAsia="zh-CN" w:bidi="ar"/>
              </w:rPr>
              <w:t>2</w:t>
            </w:r>
            <w:r>
              <w:rPr>
                <w:rFonts w:hint="eastAsia" w:ascii="仿宋" w:hAnsi="仿宋" w:eastAsia="仿宋" w:cs="仿宋"/>
                <w:color w:val="000000"/>
                <w:kern w:val="0"/>
                <w:sz w:val="20"/>
                <w:szCs w:val="20"/>
                <w:highlight w:val="none"/>
                <w:lang w:bidi="ar"/>
              </w:rPr>
              <w:t>.能效等级：2级及以上</w:t>
            </w:r>
            <w:r>
              <w:rPr>
                <w:rFonts w:hint="eastAsia" w:ascii="仿宋" w:hAnsi="仿宋" w:eastAsia="仿宋" w:cs="仿宋"/>
                <w:color w:val="000000"/>
                <w:kern w:val="0"/>
                <w:sz w:val="20"/>
                <w:szCs w:val="20"/>
                <w:highlight w:val="none"/>
                <w:lang w:eastAsia="zh-CN" w:bidi="ar"/>
              </w:rPr>
              <w:t>。</w:t>
            </w:r>
          </w:p>
          <w:p w14:paraId="6D7B43FD">
            <w:pPr>
              <w:numPr>
                <w:ilvl w:val="0"/>
                <w:numId w:val="0"/>
              </w:numPr>
              <w:spacing w:line="360" w:lineRule="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3</w:t>
            </w:r>
            <w:r>
              <w:rPr>
                <w:rFonts w:hint="eastAsia" w:ascii="仿宋" w:hAnsi="仿宋" w:eastAsia="仿宋" w:cs="仿宋"/>
                <w:color w:val="000000"/>
                <w:kern w:val="0"/>
                <w:sz w:val="20"/>
                <w:szCs w:val="20"/>
                <w:highlight w:val="none"/>
                <w:lang w:bidi="ar"/>
              </w:rPr>
              <w:t>.须提供节能产品认证证书。</w:t>
            </w:r>
          </w:p>
          <w:p w14:paraId="69ED00A7">
            <w:pPr>
              <w:numPr>
                <w:ilvl w:val="0"/>
                <w:numId w:val="3"/>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bidi="ar"/>
              </w:rPr>
              <w:t>防盗门</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b w:val="0"/>
                <w:bCs/>
                <w:color w:val="auto"/>
                <w:sz w:val="20"/>
                <w:szCs w:val="20"/>
                <w:highlight w:val="none"/>
                <w:lang w:val="en-US" w:eastAsia="zh-CN"/>
              </w:rPr>
              <w:t>2套</w:t>
            </w:r>
          </w:p>
          <w:p w14:paraId="0BB3C77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val="en-US" w:eastAsia="zh-CN" w:bidi="ar"/>
              </w:rPr>
              <w:t>1.</w:t>
            </w:r>
            <w:r>
              <w:rPr>
                <w:rFonts w:hint="eastAsia" w:ascii="仿宋" w:hAnsi="仿宋" w:eastAsia="仿宋" w:cs="仿宋"/>
                <w:color w:val="000000"/>
                <w:kern w:val="0"/>
                <w:sz w:val="20"/>
                <w:szCs w:val="20"/>
                <w:highlight w:val="none"/>
                <w:lang w:bidi="ar"/>
              </w:rPr>
              <w:t>包含智能门锁</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支持</w:t>
            </w:r>
            <w:r>
              <w:rPr>
                <w:rFonts w:hint="eastAsia" w:ascii="仿宋" w:hAnsi="仿宋" w:eastAsia="仿宋" w:cs="仿宋"/>
                <w:color w:val="000000"/>
                <w:kern w:val="0"/>
                <w:sz w:val="20"/>
                <w:szCs w:val="20"/>
                <w:highlight w:val="none"/>
                <w:lang w:bidi="ar"/>
              </w:rPr>
              <w:t>手机、指纹、人脸、密码、临时密码、智能卡、机械钥匙</w:t>
            </w:r>
            <w:r>
              <w:rPr>
                <w:rFonts w:hint="eastAsia" w:ascii="仿宋" w:hAnsi="仿宋" w:eastAsia="仿宋" w:cs="仿宋"/>
                <w:color w:val="000000"/>
                <w:kern w:val="0"/>
                <w:sz w:val="20"/>
                <w:szCs w:val="20"/>
                <w:highlight w:val="none"/>
                <w:lang w:val="en-US" w:eastAsia="zh-CN" w:bidi="ar"/>
              </w:rPr>
              <w:t>等</w:t>
            </w:r>
            <w:r>
              <w:rPr>
                <w:rFonts w:hint="eastAsia" w:ascii="仿宋" w:hAnsi="仿宋" w:eastAsia="仿宋" w:cs="仿宋"/>
                <w:color w:val="000000"/>
                <w:kern w:val="0"/>
                <w:sz w:val="20"/>
                <w:szCs w:val="20"/>
                <w:highlight w:val="none"/>
                <w:lang w:bidi="ar"/>
              </w:rPr>
              <w:t>开锁方式</w:t>
            </w:r>
          </w:p>
          <w:p w14:paraId="02546FA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2.</w:t>
            </w:r>
            <w:r>
              <w:rPr>
                <w:rFonts w:hint="eastAsia" w:ascii="仿宋" w:hAnsi="仿宋" w:eastAsia="仿宋" w:cs="仿宋"/>
                <w:color w:val="000000"/>
                <w:kern w:val="0"/>
                <w:sz w:val="20"/>
                <w:szCs w:val="20"/>
                <w:highlight w:val="none"/>
                <w:lang w:bidi="ar"/>
              </w:rPr>
              <w:t>锁体类型</w:t>
            </w:r>
            <w:r>
              <w:rPr>
                <w:rFonts w:hint="eastAsia" w:ascii="仿宋" w:hAnsi="仿宋" w:eastAsia="仿宋" w:cs="仿宋"/>
                <w:color w:val="000000"/>
                <w:kern w:val="0"/>
                <w:sz w:val="20"/>
                <w:szCs w:val="20"/>
                <w:highlight w:val="none"/>
                <w:lang w:val="en-US" w:eastAsia="zh-CN" w:bidi="ar"/>
              </w:rPr>
              <w:t>为</w:t>
            </w:r>
            <w:r>
              <w:rPr>
                <w:rFonts w:hint="eastAsia" w:ascii="仿宋" w:hAnsi="仿宋" w:eastAsia="仿宋" w:cs="仿宋"/>
                <w:color w:val="000000"/>
                <w:kern w:val="0"/>
                <w:sz w:val="20"/>
                <w:szCs w:val="20"/>
                <w:highlight w:val="none"/>
                <w:lang w:bidi="ar"/>
              </w:rPr>
              <w:t>电子锁体，三防精钢锁体，防强磁干扰</w:t>
            </w:r>
          </w:p>
          <w:p w14:paraId="1A55F2F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3.</w:t>
            </w:r>
            <w:r>
              <w:rPr>
                <w:rFonts w:hint="eastAsia" w:ascii="仿宋" w:hAnsi="仿宋" w:eastAsia="仿宋" w:cs="仿宋"/>
                <w:color w:val="000000"/>
                <w:kern w:val="0"/>
                <w:sz w:val="20"/>
                <w:szCs w:val="20"/>
                <w:highlight w:val="none"/>
                <w:lang w:bidi="ar"/>
              </w:rPr>
              <w:t>锁芯等级</w:t>
            </w:r>
            <w:r>
              <w:rPr>
                <w:rFonts w:hint="eastAsia" w:ascii="仿宋" w:hAnsi="仿宋" w:eastAsia="仿宋" w:cs="仿宋"/>
                <w:color w:val="000000"/>
                <w:kern w:val="0"/>
                <w:sz w:val="20"/>
                <w:szCs w:val="20"/>
                <w:highlight w:val="none"/>
                <w:lang w:val="en-US" w:eastAsia="zh-CN" w:bidi="ar"/>
              </w:rPr>
              <w:t>≥</w:t>
            </w:r>
            <w:r>
              <w:rPr>
                <w:rFonts w:hint="eastAsia" w:ascii="仿宋" w:hAnsi="仿宋" w:eastAsia="仿宋" w:cs="仿宋"/>
                <w:color w:val="000000"/>
                <w:kern w:val="0"/>
                <w:sz w:val="20"/>
                <w:szCs w:val="20"/>
                <w:highlight w:val="none"/>
                <w:lang w:bidi="ar"/>
              </w:rPr>
              <w:t>C 级</w:t>
            </w:r>
          </w:p>
          <w:p w14:paraId="3E43932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4.</w:t>
            </w:r>
            <w:r>
              <w:rPr>
                <w:rFonts w:hint="eastAsia" w:ascii="仿宋" w:hAnsi="仿宋" w:eastAsia="仿宋" w:cs="仿宋"/>
                <w:color w:val="000000"/>
                <w:kern w:val="0"/>
                <w:sz w:val="20"/>
                <w:szCs w:val="20"/>
                <w:highlight w:val="none"/>
                <w:lang w:bidi="ar"/>
              </w:rPr>
              <w:t>连接方式支持 2.4GHz Wi-Fi 连接</w:t>
            </w:r>
          </w:p>
          <w:p w14:paraId="4BD622B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5.配置</w:t>
            </w:r>
            <w:r>
              <w:rPr>
                <w:rFonts w:hint="eastAsia" w:ascii="仿宋" w:hAnsi="仿宋" w:eastAsia="仿宋" w:cs="仿宋"/>
                <w:color w:val="000000"/>
                <w:kern w:val="0"/>
                <w:sz w:val="20"/>
                <w:szCs w:val="20"/>
                <w:highlight w:val="none"/>
                <w:lang w:bidi="ar"/>
              </w:rPr>
              <w:t>应急电源接口</w:t>
            </w:r>
            <w:r>
              <w:rPr>
                <w:rFonts w:hint="eastAsia" w:ascii="仿宋" w:hAnsi="仿宋" w:eastAsia="仿宋" w:cs="仿宋"/>
                <w:color w:val="000000"/>
                <w:kern w:val="0"/>
                <w:sz w:val="20"/>
                <w:szCs w:val="20"/>
                <w:highlight w:val="none"/>
                <w:lang w:val="en-US" w:eastAsia="zh-CN" w:bidi="ar"/>
              </w:rPr>
              <w:t>为</w:t>
            </w:r>
            <w:r>
              <w:rPr>
                <w:rFonts w:hint="eastAsia" w:ascii="仿宋" w:hAnsi="仿宋" w:eastAsia="仿宋" w:cs="仿宋"/>
                <w:color w:val="000000"/>
                <w:kern w:val="0"/>
                <w:sz w:val="20"/>
                <w:szCs w:val="20"/>
                <w:highlight w:val="none"/>
                <w:lang w:bidi="ar"/>
              </w:rPr>
              <w:t>Type-C 接口</w:t>
            </w:r>
          </w:p>
          <w:p w14:paraId="1BE94AE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val="en-US" w:eastAsia="zh-CN" w:bidi="ar"/>
              </w:rPr>
              <w:t>6.</w:t>
            </w:r>
            <w:r>
              <w:rPr>
                <w:rFonts w:hint="eastAsia" w:ascii="仿宋" w:hAnsi="仿宋" w:eastAsia="仿宋" w:cs="仿宋"/>
                <w:color w:val="000000"/>
                <w:kern w:val="0"/>
                <w:sz w:val="20"/>
                <w:szCs w:val="20"/>
                <w:highlight w:val="none"/>
                <w:lang w:bidi="ar"/>
              </w:rPr>
              <w:t>防盗门板材锌合金</w:t>
            </w: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bidi="ar"/>
              </w:rPr>
              <w:t>门面板材≥0.8mm，门框板材≥1.8mm。漆面</w:t>
            </w:r>
            <w:r>
              <w:rPr>
                <w:rFonts w:hint="eastAsia" w:ascii="仿宋" w:hAnsi="仿宋" w:eastAsia="仿宋" w:cs="仿宋"/>
                <w:color w:val="000000"/>
                <w:kern w:val="0"/>
                <w:sz w:val="20"/>
                <w:szCs w:val="20"/>
                <w:highlight w:val="none"/>
                <w:lang w:val="en-US" w:eastAsia="zh-CN" w:bidi="ar"/>
              </w:rPr>
              <w:t>使用</w:t>
            </w:r>
            <w:r>
              <w:rPr>
                <w:rFonts w:hint="eastAsia" w:ascii="仿宋" w:hAnsi="仿宋" w:eastAsia="仿宋" w:cs="仿宋"/>
                <w:color w:val="000000"/>
                <w:kern w:val="0"/>
                <w:sz w:val="20"/>
                <w:szCs w:val="20"/>
                <w:highlight w:val="none"/>
                <w:lang w:bidi="ar"/>
              </w:rPr>
              <w:t>专用烤漆</w:t>
            </w:r>
          </w:p>
          <w:p w14:paraId="14C97851">
            <w:pPr>
              <w:numPr>
                <w:ilvl w:val="0"/>
                <w:numId w:val="0"/>
              </w:numPr>
              <w:spacing w:line="360" w:lineRule="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val="en-US" w:eastAsia="zh-CN" w:bidi="ar"/>
              </w:rPr>
              <w:t>7.</w:t>
            </w:r>
            <w:r>
              <w:rPr>
                <w:rFonts w:hint="eastAsia" w:ascii="仿宋" w:hAnsi="仿宋" w:eastAsia="仿宋" w:cs="仿宋"/>
                <w:color w:val="000000"/>
                <w:kern w:val="0"/>
                <w:sz w:val="20"/>
                <w:szCs w:val="20"/>
                <w:highlight w:val="none"/>
                <w:lang w:bidi="ar"/>
              </w:rPr>
              <w:t>尺寸门宽约1.5米，高约2米</w:t>
            </w:r>
          </w:p>
          <w:p w14:paraId="541A0F4F">
            <w:pPr>
              <w:numPr>
                <w:ilvl w:val="0"/>
                <w:numId w:val="0"/>
              </w:numPr>
              <w:spacing w:line="360" w:lineRule="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color w:val="000000"/>
                <w:kern w:val="0"/>
                <w:sz w:val="20"/>
                <w:szCs w:val="20"/>
                <w:highlight w:val="none"/>
                <w:lang w:eastAsia="zh-CN" w:bidi="ar"/>
              </w:rPr>
              <w:t>（</w:t>
            </w:r>
            <w:r>
              <w:rPr>
                <w:rFonts w:hint="eastAsia" w:ascii="仿宋" w:hAnsi="仿宋" w:eastAsia="仿宋" w:cs="仿宋"/>
                <w:color w:val="000000"/>
                <w:kern w:val="0"/>
                <w:sz w:val="20"/>
                <w:szCs w:val="20"/>
                <w:highlight w:val="none"/>
                <w:lang w:val="en-US" w:eastAsia="zh-CN" w:bidi="ar"/>
              </w:rPr>
              <w:t>七）用电用网墙面等其他改造：</w:t>
            </w:r>
            <w:r>
              <w:rPr>
                <w:rFonts w:hint="eastAsia" w:ascii="仿宋" w:hAnsi="仿宋" w:eastAsia="仿宋" w:cs="仿宋"/>
                <w:b w:val="0"/>
                <w:bCs/>
                <w:color w:val="auto"/>
                <w:sz w:val="20"/>
                <w:szCs w:val="20"/>
                <w:highlight w:val="none"/>
                <w:lang w:val="en-US" w:eastAsia="zh-CN"/>
              </w:rPr>
              <w:t>1项</w:t>
            </w:r>
          </w:p>
          <w:p w14:paraId="0FD3CE7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eastAsia="zh-CN" w:bidi="ar"/>
              </w:rPr>
            </w:pPr>
            <w:r>
              <w:rPr>
                <w:rFonts w:hint="eastAsia" w:ascii="仿宋" w:hAnsi="仿宋" w:eastAsia="仿宋" w:cs="仿宋"/>
                <w:color w:val="000000"/>
                <w:kern w:val="0"/>
                <w:sz w:val="20"/>
                <w:szCs w:val="20"/>
                <w:highlight w:val="none"/>
                <w:lang w:bidi="ar"/>
              </w:rPr>
              <w:t>1.改造墙内原有线路不动，增加明装线槽及明装墙插，主要涉及音频设备、教学大屏、试验台电源、设备流转柜、广播投屏设备的线路安装</w:t>
            </w:r>
            <w:r>
              <w:rPr>
                <w:rFonts w:hint="eastAsia" w:ascii="仿宋" w:hAnsi="仿宋" w:eastAsia="仿宋" w:cs="仿宋"/>
                <w:color w:val="000000"/>
                <w:kern w:val="0"/>
                <w:sz w:val="20"/>
                <w:szCs w:val="20"/>
                <w:highlight w:val="none"/>
                <w:lang w:eastAsia="zh-CN" w:bidi="ar"/>
              </w:rPr>
              <w:t>。</w:t>
            </w:r>
          </w:p>
          <w:p w14:paraId="160F051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2.改造及部署含国标六类网线。</w:t>
            </w:r>
          </w:p>
          <w:p w14:paraId="6D28B85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0"/>
                <w:szCs w:val="20"/>
                <w:highlight w:val="none"/>
                <w:lang w:bidi="ar"/>
              </w:rPr>
            </w:pPr>
            <w:r>
              <w:rPr>
                <w:rFonts w:hint="eastAsia" w:ascii="仿宋" w:hAnsi="仿宋" w:eastAsia="仿宋" w:cs="仿宋"/>
                <w:kern w:val="0"/>
                <w:sz w:val="20"/>
                <w:szCs w:val="20"/>
                <w:highlight w:val="none"/>
                <w:lang w:bidi="ar"/>
              </w:rPr>
              <w:t>3.教室面积约180㎡，房顶180㎡整体粉刷,墙面预估高4.5m*总边长36m的墙面粉刷</w:t>
            </w:r>
            <w:r>
              <w:rPr>
                <w:rFonts w:hint="eastAsia" w:ascii="仿宋" w:hAnsi="仿宋" w:eastAsia="仿宋" w:cs="仿宋"/>
                <w:kern w:val="0"/>
                <w:sz w:val="20"/>
                <w:szCs w:val="20"/>
                <w:highlight w:val="none"/>
                <w:lang w:eastAsia="zh-CN" w:bidi="ar"/>
              </w:rPr>
              <w:t>。</w:t>
            </w:r>
            <w:r>
              <w:rPr>
                <w:rFonts w:hint="eastAsia" w:ascii="仿宋" w:hAnsi="仿宋" w:eastAsia="仿宋" w:cs="仿宋"/>
                <w:kern w:val="0"/>
                <w:sz w:val="20"/>
                <w:szCs w:val="20"/>
                <w:highlight w:val="none"/>
                <w:lang w:bidi="ar"/>
              </w:rPr>
              <w:t>墙面开裂、脱落部分需要重新挂网粉刷打磨，整体乳胶漆两遍。</w:t>
            </w:r>
          </w:p>
          <w:p w14:paraId="5CEED9DD">
            <w:pPr>
              <w:pStyle w:val="2"/>
              <w:keepNext w:val="0"/>
              <w:keepLines w:val="0"/>
              <w:pageBreakBefore w:val="0"/>
              <w:kinsoku/>
              <w:wordWrap/>
              <w:overflowPunct/>
              <w:topLinePunct w:val="0"/>
              <w:autoSpaceDE/>
              <w:autoSpaceDN/>
              <w:bidi w:val="0"/>
              <w:adjustRightInd/>
              <w:spacing w:line="360" w:lineRule="auto"/>
              <w:textAlignment w:val="auto"/>
              <w:rPr>
                <w:rFonts w:hint="default" w:ascii="仿宋" w:hAnsi="仿宋" w:eastAsia="仿宋" w:cs="仿宋"/>
                <w:kern w:val="0"/>
                <w:sz w:val="20"/>
                <w:szCs w:val="20"/>
                <w:highlight w:val="none"/>
                <w:lang w:val="en-US" w:eastAsia="zh-CN" w:bidi="ar"/>
              </w:rPr>
            </w:pPr>
            <w:r>
              <w:rPr>
                <w:rFonts w:hint="eastAsia" w:ascii="仿宋" w:hAnsi="仿宋" w:eastAsia="仿宋" w:cs="仿宋"/>
                <w:kern w:val="0"/>
                <w:sz w:val="20"/>
                <w:szCs w:val="20"/>
                <w:highlight w:val="none"/>
                <w:lang w:val="en-US" w:eastAsia="zh-CN" w:bidi="ar"/>
              </w:rPr>
              <w:t>4.木质地台安装，地台尺寸≥4200*1400*200mm。</w:t>
            </w:r>
          </w:p>
          <w:p w14:paraId="40DB0497">
            <w:pPr>
              <w:pStyle w:val="2"/>
              <w:keepNext w:val="0"/>
              <w:keepLines w:val="0"/>
              <w:pageBreakBefore w:val="0"/>
              <w:kinsoku/>
              <w:wordWrap/>
              <w:overflowPunct/>
              <w:topLinePunct w:val="0"/>
              <w:autoSpaceDE/>
              <w:autoSpaceDN/>
              <w:bidi w:val="0"/>
              <w:adjustRightInd/>
              <w:spacing w:line="360" w:lineRule="auto"/>
              <w:textAlignment w:val="auto"/>
              <w:rPr>
                <w:rFonts w:hint="eastAsia" w:ascii="仿宋" w:hAnsi="仿宋" w:eastAsia="仿宋" w:cs="仿宋"/>
                <w:kern w:val="0"/>
                <w:sz w:val="20"/>
                <w:szCs w:val="20"/>
                <w:highlight w:val="none"/>
                <w:lang w:val="en-US" w:eastAsia="zh-CN" w:bidi="ar"/>
              </w:rPr>
            </w:pPr>
            <w:r>
              <w:rPr>
                <w:rFonts w:hint="eastAsia" w:ascii="仿宋" w:hAnsi="仿宋" w:eastAsia="仿宋" w:cs="仿宋"/>
                <w:kern w:val="0"/>
                <w:sz w:val="20"/>
                <w:szCs w:val="20"/>
                <w:highlight w:val="none"/>
                <w:lang w:val="en-US" w:eastAsia="zh-CN" w:bidi="ar"/>
              </w:rPr>
              <w:t>5.配1200*300LED平板灯≥24个，功率≥36瓦，包含安装。</w:t>
            </w:r>
          </w:p>
          <w:p w14:paraId="67A2A11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kern w:val="0"/>
                <w:sz w:val="20"/>
                <w:szCs w:val="20"/>
                <w:highlight w:val="none"/>
                <w:lang w:val="en-US" w:eastAsia="zh-CN" w:bidi="ar"/>
              </w:rPr>
              <w:t>6.成品保护及卫生保洁约180㎡。</w:t>
            </w:r>
          </w:p>
        </w:tc>
      </w:tr>
      <w:tr w14:paraId="5CEC9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4" w:type="dxa"/>
          </w:tcPr>
          <w:p w14:paraId="61881BD3">
            <w:pPr>
              <w:pStyle w:val="6"/>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10</w:t>
            </w:r>
          </w:p>
        </w:tc>
        <w:tc>
          <w:tcPr>
            <w:tcW w:w="1113" w:type="dxa"/>
          </w:tcPr>
          <w:p w14:paraId="4C68B7B2">
            <w:pPr>
              <w:spacing w:line="360" w:lineRule="auto"/>
              <w:rPr>
                <w:rFonts w:hint="eastAsia" w:ascii="仿宋" w:hAnsi="仿宋" w:eastAsia="仿宋" w:cs="仿宋"/>
                <w:sz w:val="20"/>
                <w:szCs w:val="20"/>
              </w:rPr>
            </w:pPr>
          </w:p>
        </w:tc>
        <w:tc>
          <w:tcPr>
            <w:tcW w:w="6500" w:type="dxa"/>
          </w:tcPr>
          <w:p w14:paraId="713F2574">
            <w:pPr>
              <w:spacing w:line="360" w:lineRule="auto"/>
              <w:rPr>
                <w:rFonts w:hint="eastAsia" w:ascii="仿宋" w:hAnsi="仿宋" w:eastAsia="仿宋" w:cs="仿宋"/>
                <w:sz w:val="20"/>
                <w:szCs w:val="20"/>
              </w:rPr>
            </w:pPr>
            <w:r>
              <w:rPr>
                <w:rFonts w:hint="eastAsia" w:ascii="仿宋" w:hAnsi="仿宋" w:eastAsia="仿宋" w:cs="仿宋"/>
                <w:kern w:val="0"/>
                <w:sz w:val="20"/>
                <w:szCs w:val="20"/>
                <w:lang w:val="en-US" w:eastAsia="zh-Hans"/>
              </w:rPr>
              <w:t>注：★项技术参数在响应文件中需提供证明材料，包括但不限于产品彩页、白皮书、第三方检测报告等相关佐证材料，未提供或提供但无法佐证的按无效响应处理。</w:t>
            </w:r>
          </w:p>
        </w:tc>
      </w:tr>
    </w:tbl>
    <w:p w14:paraId="58F914B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Raleigh Std Roman">
    <w:altName w:val="宋体"/>
    <w:panose1 w:val="0201060001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E0150D"/>
    <w:multiLevelType w:val="singleLevel"/>
    <w:tmpl w:val="33E0150D"/>
    <w:lvl w:ilvl="0" w:tentative="0">
      <w:start w:val="1"/>
      <w:numFmt w:val="chineseCounting"/>
      <w:suff w:val="nothing"/>
      <w:lvlText w:val="（%1）"/>
      <w:lvlJc w:val="left"/>
      <w:rPr>
        <w:rFonts w:hint="eastAsia"/>
      </w:rPr>
    </w:lvl>
  </w:abstractNum>
  <w:abstractNum w:abstractNumId="1">
    <w:nsid w:val="5AF492E7"/>
    <w:multiLevelType w:val="singleLevel"/>
    <w:tmpl w:val="5AF492E7"/>
    <w:lvl w:ilvl="0" w:tentative="0">
      <w:start w:val="5"/>
      <w:numFmt w:val="decimal"/>
      <w:lvlText w:val="%1."/>
      <w:lvlJc w:val="left"/>
      <w:pPr>
        <w:tabs>
          <w:tab w:val="left" w:pos="312"/>
        </w:tabs>
      </w:pPr>
    </w:lvl>
  </w:abstractNum>
  <w:abstractNum w:abstractNumId="2">
    <w:nsid w:val="7D619649"/>
    <w:multiLevelType w:val="singleLevel"/>
    <w:tmpl w:val="7D619649"/>
    <w:lvl w:ilvl="0" w:tentative="0">
      <w:start w:val="6"/>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91A85"/>
    <w:rsid w:val="4F991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Normal Indent"/>
    <w:basedOn w:val="1"/>
    <w:qFormat/>
    <w:uiPriority w:val="0"/>
    <w:pPr>
      <w:ind w:firstLine="420"/>
    </w:pPr>
    <w:rPr>
      <w:rFonts w:ascii="Times New Roman" w:hAnsi="Times New Roman" w:eastAsia="宋体" w:cs="Times New Roman"/>
      <w:szCs w:val="20"/>
    </w:rPr>
  </w:style>
  <w:style w:type="paragraph" w:customStyle="1" w:styleId="6">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2026-10-21T08:22:00Z</dcterms:created>
  <dc:creator>白日梦</dc:creator>
  <cp:lastModifiedBy>白日梦</cp:lastModifiedBy>
  <dcterms:modified xsi:type="dcterms:W3CDTF">2026-10-21T08:22:43Z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40917D12031D4876BC7D42C6C18E6835_11</vt:lpwstr>
  </property>
  <property fmtid="{D5CDD505-2E9C-101B-9397-08002B2CF9AE}" pid="4" name="KSOTemplateDocerSaveRecord">
    <vt:lpwstr>eyJoZGlkIjoiOTQyNjJhYWQ1Y2ZkMWY1OTgyN2E4ZDZkNGNkNDQwMjYiLCJ1c2VySWQiOiIzMTI3MDEwNzEifQ==</vt:lpwstr>
  </property>
</Properties>
</file>