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版本号：TXQY-2026-00420260821001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渭南市临渭区认知障碍集中照护中心建设项目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TXQY-2026-004</w:t>
      </w:r>
      <w:r>
        <w:br/>
      </w:r>
      <w:r>
        <w:br/>
      </w:r>
      <w:r>
        <w:br/>
      </w:r>
    </w:p>
    <w:p>
      <w:pPr>
        <w:pStyle w:val="null3"/>
        <w:jc w:val="center"/>
        <w:outlineLvl w:val="2"/>
      </w:pPr>
      <w:r>
        <w:rPr>
          <w:rFonts w:ascii="仿宋_GB2312" w:hAnsi="仿宋_GB2312" w:cs="仿宋_GB2312" w:eastAsia="仿宋_GB2312"/>
          <w:sz w:val="28"/>
          <w:b/>
        </w:rPr>
        <w:t>渭南市临渭区民政局</w:t>
      </w:r>
    </w:p>
    <w:p>
      <w:pPr>
        <w:pStyle w:val="null3"/>
        <w:jc w:val="center"/>
        <w:outlineLvl w:val="2"/>
      </w:pPr>
      <w:r>
        <w:rPr>
          <w:rFonts w:ascii="仿宋_GB2312" w:hAnsi="仿宋_GB2312" w:cs="仿宋_GB2312" w:eastAsia="仿宋_GB2312"/>
          <w:sz w:val="28"/>
          <w:b/>
        </w:rPr>
        <w:t>陕西同鑫启源项目管理有限公司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陕西同鑫启源项目管理有限公司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渭南市临渭区民政局</w:t>
      </w:r>
      <w:r>
        <w:rPr>
          <w:rFonts w:ascii="仿宋_GB2312" w:hAnsi="仿宋_GB2312" w:cs="仿宋_GB2312" w:eastAsia="仿宋_GB2312"/>
        </w:rPr>
        <w:t>委托，拟对</w:t>
      </w:r>
      <w:r>
        <w:rPr>
          <w:rFonts w:ascii="仿宋_GB2312" w:hAnsi="仿宋_GB2312" w:cs="仿宋_GB2312" w:eastAsia="仿宋_GB2312"/>
        </w:rPr>
        <w:t>渭南市临渭区认知障碍集中照护中心建设项目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TXQY-2026-004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渭南市临渭区认知障碍集中照护中心建设项目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主要对老年人居住用房和生活辅助用房（公共餐厅、洗浴室、护理站、认知干预场所等）和室外活动空间进行改造建设，配备相应设施设备。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采购包1（渭南市临渭区认知障碍集中照护中心建设项目）：属于专门面向中小企业采购。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3、企业资质要求：供应商须具备相关行政主管部门颁发的建筑工程施工总承包三级及以上资质，并具备合格有效的安全生产许可证。</w:t>
      </w:r>
    </w:p>
    <w:p>
      <w:pPr>
        <w:pStyle w:val="null3"/>
      </w:pPr>
      <w:r>
        <w:rPr>
          <w:rFonts w:ascii="仿宋_GB2312" w:hAnsi="仿宋_GB2312" w:cs="仿宋_GB2312" w:eastAsia="仿宋_GB2312"/>
        </w:rPr>
        <w:t>4、项目经理资格要求：拟派项目经理须具备建筑工程专业二级及以上注册建造师执业资格，并具有合法有效的安全生产考核合格证，且未担任其他在建工程项目经理。</w:t>
      </w:r>
    </w:p>
    <w:p>
      <w:pPr>
        <w:pStyle w:val="null3"/>
      </w:pPr>
      <w:r>
        <w:rPr>
          <w:rFonts w:ascii="仿宋_GB2312" w:hAnsi="仿宋_GB2312" w:cs="仿宋_GB2312" w:eastAsia="仿宋_GB2312"/>
        </w:rPr>
        <w:t>5、企业资质及项目经理备案情况：供应商及项目经理基本信息在“陕西省建筑市场监管与诚信信息发布平台”可查询。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临渭区东风街83号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杨柯强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0913-3039568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陕西同鑫启源项目管理有限公司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渭南市临渭区三贤路与玉德路十字西北角豪庭佳苑商铺4层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0913-2669977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渭南市临渭区民政局</w:t>
      </w:r>
      <w:r>
        <w:rPr>
          <w:rFonts w:ascii="仿宋_GB2312" w:hAnsi="仿宋_GB2312" w:cs="仿宋_GB2312" w:eastAsia="仿宋_GB2312"/>
        </w:rPr>
        <w:t>和</w:t>
      </w:r>
      <w:r>
        <w:rPr>
          <w:rFonts w:ascii="仿宋_GB2312" w:hAnsi="仿宋_GB2312" w:cs="仿宋_GB2312" w:eastAsia="仿宋_GB2312"/>
        </w:rPr>
        <w:t>陕西同鑫启源项目管理有限公司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陕西同鑫启源项目管理有限公司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陕西同鑫启源项目管理有限公司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合同、竞争性磋商文件、响应文件及承诺。 国家相关标准、规范及有关技术文件。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陕西同鑫启源项目管理有限公司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陕西同鑫启源项目管理有限公司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陕西同鑫启源项目管理有限公司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联系人：张欢</w:t>
      </w:r>
    </w:p>
    <w:p>
      <w:pPr>
        <w:pStyle w:val="null3"/>
      </w:pPr>
      <w:r>
        <w:rPr>
          <w:rFonts w:ascii="仿宋_GB2312" w:hAnsi="仿宋_GB2312" w:cs="仿宋_GB2312" w:eastAsia="仿宋_GB2312"/>
        </w:rPr>
        <w:t>联系电话：0913-2669977</w:t>
      </w:r>
    </w:p>
    <w:p>
      <w:pPr>
        <w:pStyle w:val="null3"/>
      </w:pPr>
      <w:r>
        <w:rPr>
          <w:rFonts w:ascii="仿宋_GB2312" w:hAnsi="仿宋_GB2312" w:cs="仿宋_GB2312" w:eastAsia="仿宋_GB2312"/>
        </w:rPr>
        <w:t>地址：渭南市临渭区三贤路与玉德路十字西北角豪庭佳苑商铺4层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621,707.21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渭南市临渭区认知障碍集中照护中心建设项目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标的名称：渭南市临渭区认知障碍集中照护中心建设项目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一、工程概况</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本项目为渭南市临渭区认知障碍集中照护中心建设项目，主要内容为室内装饰改造工程、安装工程等其他工程。</w:t>
            </w:r>
          </w:p>
          <w:p>
            <w:pPr>
              <w:pStyle w:val="null3"/>
              <w:ind w:firstLine="480"/>
              <w:jc w:val="left"/>
            </w:pPr>
            <w:r>
              <w:rPr>
                <w:rFonts w:ascii="仿宋_GB2312" w:hAnsi="仿宋_GB2312" w:cs="仿宋_GB2312" w:eastAsia="仿宋_GB2312"/>
                <w:sz w:val="24"/>
                <w:color w:val="000000"/>
              </w:rPr>
              <w:t>2.工期：60日历天。</w:t>
            </w:r>
          </w:p>
          <w:p>
            <w:pPr>
              <w:pStyle w:val="null3"/>
              <w:jc w:val="left"/>
            </w:pPr>
            <w:r>
              <w:rPr>
                <w:rFonts w:ascii="仿宋_GB2312" w:hAnsi="仿宋_GB2312" w:cs="仿宋_GB2312" w:eastAsia="仿宋_GB2312"/>
                <w:sz w:val="24"/>
                <w:b/>
                <w:color w:val="000000"/>
              </w:rPr>
              <w:t>二、编制依据</w:t>
            </w:r>
          </w:p>
          <w:p>
            <w:pPr>
              <w:pStyle w:val="null3"/>
              <w:jc w:val="left"/>
            </w:pPr>
            <w:r>
              <w:rPr>
                <w:rFonts w:ascii="仿宋_GB2312" w:hAnsi="仿宋_GB2312" w:cs="仿宋_GB2312" w:eastAsia="仿宋_GB2312"/>
                <w:sz w:val="24"/>
                <w:color w:val="000000"/>
              </w:rPr>
              <w:t>1、依据设计图纸、现场实际情况及相关规范标准要求。</w:t>
            </w:r>
          </w:p>
          <w:p>
            <w:pPr>
              <w:pStyle w:val="null3"/>
              <w:jc w:val="left"/>
            </w:pPr>
            <w:r>
              <w:rPr>
                <w:rFonts w:ascii="仿宋_GB2312" w:hAnsi="仿宋_GB2312" w:cs="仿宋_GB2312" w:eastAsia="仿宋_GB2312"/>
                <w:sz w:val="24"/>
                <w:color w:val="000000"/>
              </w:rPr>
              <w:t>2、本工程执行《陕西省建设工程工程量清单计价标准》DB 61/T 5126-2025、</w:t>
            </w:r>
          </w:p>
          <w:p>
            <w:pPr>
              <w:pStyle w:val="null3"/>
              <w:jc w:val="left"/>
            </w:pPr>
            <w:r>
              <w:rPr>
                <w:rFonts w:ascii="仿宋_GB2312" w:hAnsi="仿宋_GB2312" w:cs="仿宋_GB2312" w:eastAsia="仿宋_GB2312"/>
                <w:sz w:val="24"/>
                <w:color w:val="000000"/>
              </w:rPr>
              <w:t>《陕西省房屋建筑与装饰工程工程量计算标准》</w:t>
            </w:r>
            <w:r>
              <w:rPr>
                <w:rFonts w:ascii="仿宋_GB2312" w:hAnsi="仿宋_GB2312" w:cs="仿宋_GB2312" w:eastAsia="仿宋_GB2312"/>
                <w:sz w:val="24"/>
                <w:color w:val="000000"/>
              </w:rPr>
              <w:t>DB 61/T 5129-2025、《陕西省</w:t>
            </w:r>
          </w:p>
          <w:p>
            <w:pPr>
              <w:pStyle w:val="null3"/>
              <w:jc w:val="left"/>
            </w:pPr>
            <w:r>
              <w:rPr>
                <w:rFonts w:ascii="仿宋_GB2312" w:hAnsi="仿宋_GB2312" w:cs="仿宋_GB2312" w:eastAsia="仿宋_GB2312"/>
                <w:sz w:val="24"/>
                <w:color w:val="000000"/>
              </w:rPr>
              <w:t>通用安装工程工程量计算标准》</w:t>
            </w:r>
            <w:r>
              <w:rPr>
                <w:rFonts w:ascii="仿宋_GB2312" w:hAnsi="仿宋_GB2312" w:cs="仿宋_GB2312" w:eastAsia="仿宋_GB2312"/>
                <w:sz w:val="24"/>
                <w:color w:val="000000"/>
              </w:rPr>
              <w:t>DB 61/T 5130-2025、《陕西省建设工程费用规</w:t>
            </w:r>
          </w:p>
          <w:p>
            <w:pPr>
              <w:pStyle w:val="null3"/>
              <w:jc w:val="left"/>
            </w:pPr>
            <w:r>
              <w:rPr>
                <w:rFonts w:ascii="仿宋_GB2312" w:hAnsi="仿宋_GB2312" w:cs="仿宋_GB2312" w:eastAsia="仿宋_GB2312"/>
                <w:sz w:val="24"/>
                <w:color w:val="000000"/>
              </w:rPr>
              <w:t>则（</w:t>
            </w:r>
            <w:r>
              <w:rPr>
                <w:rFonts w:ascii="仿宋_GB2312" w:hAnsi="仿宋_GB2312" w:cs="仿宋_GB2312" w:eastAsia="仿宋_GB2312"/>
                <w:sz w:val="24"/>
                <w:color w:val="000000"/>
              </w:rPr>
              <w:t>2025）》、《陕西省房屋建筑与装饰工程基价表（2025）》、《陕西省通用</w:t>
            </w:r>
          </w:p>
          <w:p>
            <w:pPr>
              <w:pStyle w:val="null3"/>
              <w:jc w:val="left"/>
            </w:pPr>
            <w:r>
              <w:rPr>
                <w:rFonts w:ascii="仿宋_GB2312" w:hAnsi="仿宋_GB2312" w:cs="仿宋_GB2312" w:eastAsia="仿宋_GB2312"/>
                <w:sz w:val="24"/>
                <w:color w:val="000000"/>
              </w:rPr>
              <w:t>安装工程基价表（</w:t>
            </w:r>
            <w:r>
              <w:rPr>
                <w:rFonts w:ascii="仿宋_GB2312" w:hAnsi="仿宋_GB2312" w:cs="仿宋_GB2312" w:eastAsia="仿宋_GB2312"/>
                <w:sz w:val="24"/>
                <w:color w:val="000000"/>
              </w:rPr>
              <w:t>2025）》、《陕西省房屋建筑与装饰工程消耗量定额（2025）》、</w:t>
            </w:r>
          </w:p>
          <w:p>
            <w:pPr>
              <w:pStyle w:val="null3"/>
              <w:jc w:val="left"/>
            </w:pPr>
            <w:r>
              <w:rPr>
                <w:rFonts w:ascii="仿宋_GB2312" w:hAnsi="仿宋_GB2312" w:cs="仿宋_GB2312" w:eastAsia="仿宋_GB2312"/>
                <w:sz w:val="24"/>
                <w:color w:val="000000"/>
              </w:rPr>
              <w:t>《陕西省通用安装工程消耗量定额（</w:t>
            </w:r>
            <w:r>
              <w:rPr>
                <w:rFonts w:ascii="仿宋_GB2312" w:hAnsi="仿宋_GB2312" w:cs="仿宋_GB2312" w:eastAsia="仿宋_GB2312"/>
                <w:sz w:val="24"/>
                <w:color w:val="000000"/>
              </w:rPr>
              <w:t>2025）》及相关配套文件。</w:t>
            </w:r>
          </w:p>
          <w:p>
            <w:pPr>
              <w:pStyle w:val="null3"/>
              <w:jc w:val="left"/>
            </w:pPr>
            <w:r>
              <w:rPr>
                <w:rFonts w:ascii="仿宋_GB2312" w:hAnsi="仿宋_GB2312" w:cs="仿宋_GB2312" w:eastAsia="仿宋_GB2312"/>
                <w:sz w:val="24"/>
                <w:color w:val="000000"/>
              </w:rPr>
              <w:t>3、材料价按 2026 年第二期的《渭南市建设工程材料信息价》及市场价计入。</w:t>
            </w:r>
          </w:p>
          <w:p>
            <w:pPr>
              <w:pStyle w:val="null3"/>
              <w:jc w:val="left"/>
            </w:pPr>
            <w:r>
              <w:rPr>
                <w:rFonts w:ascii="仿宋_GB2312" w:hAnsi="仿宋_GB2312" w:cs="仿宋_GB2312" w:eastAsia="仿宋_GB2312"/>
                <w:sz w:val="24"/>
                <w:color w:val="000000"/>
              </w:rPr>
              <w:t>4、建筑工程人工费执行《陕西省房屋建筑与装饰工程基价表（2025）》、</w:t>
            </w:r>
          </w:p>
          <w:p>
            <w:pPr>
              <w:pStyle w:val="null3"/>
              <w:jc w:val="left"/>
            </w:pPr>
            <w:r>
              <w:rPr>
                <w:rFonts w:ascii="仿宋_GB2312" w:hAnsi="仿宋_GB2312" w:cs="仿宋_GB2312" w:eastAsia="仿宋_GB2312"/>
                <w:sz w:val="24"/>
                <w:color w:val="000000"/>
              </w:rPr>
              <w:t>《陕西省通用安装工程基价表（</w:t>
            </w:r>
            <w:r>
              <w:rPr>
                <w:rFonts w:ascii="仿宋_GB2312" w:hAnsi="仿宋_GB2312" w:cs="仿宋_GB2312" w:eastAsia="仿宋_GB2312"/>
                <w:sz w:val="24"/>
                <w:color w:val="000000"/>
              </w:rPr>
              <w:t>2025）》相对应人工费。</w:t>
            </w:r>
          </w:p>
          <w:p>
            <w:pPr>
              <w:pStyle w:val="null3"/>
              <w:jc w:val="left"/>
            </w:pPr>
            <w:r>
              <w:rPr>
                <w:rFonts w:ascii="仿宋_GB2312" w:hAnsi="仿宋_GB2312" w:cs="仿宋_GB2312" w:eastAsia="仿宋_GB2312"/>
                <w:sz w:val="24"/>
                <w:color w:val="000000"/>
              </w:rPr>
              <w:t>5、本工程包含公共就餐区、公共活动区的家具。</w:t>
            </w:r>
          </w:p>
          <w:p>
            <w:pPr>
              <w:pStyle w:val="null3"/>
              <w:jc w:val="left"/>
            </w:pPr>
            <w:r>
              <w:rPr>
                <w:rFonts w:ascii="仿宋_GB2312" w:hAnsi="仿宋_GB2312" w:cs="仿宋_GB2312" w:eastAsia="仿宋_GB2312"/>
                <w:sz w:val="24"/>
                <w:color w:val="000000"/>
              </w:rPr>
              <w:t>三、其他部分</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、本工程为含税工程造价。</w:t>
            </w:r>
          </w:p>
          <w:p>
            <w:pPr>
              <w:pStyle w:val="null3"/>
              <w:jc w:val="left"/>
            </w:pPr>
            <w:r>
              <w:rPr>
                <w:rFonts w:ascii="仿宋_GB2312" w:hAnsi="仿宋_GB2312" w:cs="仿宋_GB2312" w:eastAsia="仿宋_GB2312"/>
                <w:sz w:val="24"/>
                <w:color w:val="000000"/>
              </w:rPr>
              <w:t>2、垃圾外运暂按5KM。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、工程量清单计价软件采用广联达工程量清单计价软件</w:t>
            </w:r>
            <w:r>
              <w:rPr>
                <w:rFonts w:ascii="仿宋_GB2312" w:hAnsi="仿宋_GB2312" w:cs="仿宋_GB2312" w:eastAsia="仿宋_GB2312"/>
                <w:sz w:val="24"/>
                <w:color w:val="000000"/>
              </w:rPr>
              <w:t>—广联达云计价平台GCCP7.0（版本：7.5000.23.3）。</w:t>
            </w:r>
          </w:p>
          <w:p>
            <w:pPr>
              <w:pStyle w:val="null3"/>
              <w:jc w:val="left"/>
            </w:pPr>
            <w:r>
              <w:rPr>
                <w:rFonts w:ascii="仿宋_GB2312" w:hAnsi="仿宋_GB2312" w:cs="仿宋_GB2312" w:eastAsia="仿宋_GB2312"/>
                <w:sz w:val="21"/>
              </w:rPr>
              <w:t>四、工程量清单及图纸详见附件。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2、工程地点：渭南市临渭区；3、已标价工程量清单应按我省最新计划规范要求，在规定位置加盖供应商公章及供应商造价师加盖执业资格章并由造价师签字。（委托具有造价编制能力的咨询单位编制已标价工程量清单的，应按我省最新计价规范要求加盖造价编制单位公章，并且其编制单位造价人员或造价师加盖执业资格章及签字，同时已标价工程量清单封皮加盖投标单位公章，并附双方委托协议或委托书）。4、成交供应商在结果公告发布后向代理机构提供系统签章版纸质文件两套，文件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有依法缴纳税收和社会保障资金的良好记录：提供2025年8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开标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供应商须具备相关行政主管部门颁发的建筑工程施工总承包三级及以上资质，并具备合格有效的安全生产许可证。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拟派项目经理须具备建筑工程专业二级及以上注册建造师执业资格，并具有合法有效的安全生产考核合格证，且未担任其他在建工程项目经理。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企业资质及项目经理备案情况</w:t>
            </w:r>
          </w:p>
        </w:tc>
        <w:tc>
          <w:tcPr>
            <w:tcW w:type="dxa" w:w="3322"/>
          </w:tcPr>
          <w:p>
            <w:pPr>
              <w:pStyle w:val="null3"/>
            </w:pPr>
            <w:r>
              <w:rPr>
                <w:rFonts w:ascii="仿宋_GB2312" w:hAnsi="仿宋_GB2312" w:cs="仿宋_GB2312" w:eastAsia="仿宋_GB2312"/>
              </w:rPr>
              <w:t>供应商及项目经理基本信息在“陕西省建筑市场监管与诚信信息发布平台”可查询。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供应商资格证明文件.docx 响应函 商务偏离表.docx 监狱企业的证明文件 项目人员配置.docx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响应文件封面 已标价工程量清单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已标价工程量清单 中小企业声明函 报价函 标的清单 供应商资格证明文件.docx 响应函 商务偏离表.docx 项目人员配置.docx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人员配备：拟投入的项目管理机构人员结构合理、岗位职责明确，除项目经理外，项目管理机构配备（五大员）得5分，每少1人扣1分，扣完为止。在此基础上每增加1人加1人，最高加1分。本项最高得6分。 注：须提供人员相关证件，不提供得0分。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供应商提供2023年8月1日至今具有类似项目业绩；磋商文件中需附合同复印件并加盖公章，以合同签订时间为准。每提供1个得2分，满分10分。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2.磋商报价得分=（磋商基准价/最后磋商报价）×40×100的公式计算得分。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详见附件：项目人员配置.docx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