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版本号：ZCSP-合阳县-2026-0005920260507001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渭北高效节水灌溉工程附属设施评估服务项目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ZCSP-合阳县-2026-00059</w:t>
      </w:r>
      <w:r>
        <w:br/>
      </w:r>
      <w:r>
        <w:br/>
      </w:r>
      <w:r>
        <w:br/>
      </w:r>
    </w:p>
    <w:p>
      <w:pPr>
        <w:pStyle w:val="null3"/>
        <w:jc w:val="center"/>
        <w:outlineLvl w:val="2"/>
      </w:pPr>
      <w:r>
        <w:rPr>
          <w:rFonts w:ascii="仿宋_GB2312" w:hAnsi="仿宋_GB2312" w:cs="仿宋_GB2312" w:eastAsia="仿宋_GB2312"/>
          <w:sz w:val="28"/>
          <w:b/>
        </w:rPr>
        <w:t>合阳县水务局</w:t>
      </w:r>
    </w:p>
    <w:p>
      <w:pPr>
        <w:pStyle w:val="null3"/>
        <w:jc w:val="center"/>
        <w:outlineLvl w:val="2"/>
      </w:pPr>
      <w:r>
        <w:rPr>
          <w:rFonts w:ascii="仿宋_GB2312" w:hAnsi="仿宋_GB2312" w:cs="仿宋_GB2312" w:eastAsia="仿宋_GB2312"/>
          <w:sz w:val="28"/>
          <w:b/>
        </w:rPr>
        <w:t>陕西嘉信至诚项目管理有限公司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陕西嘉信至诚项目管理有限公司</w:t>
      </w:r>
      <w:r>
        <w:rPr>
          <w:rFonts w:ascii="仿宋_GB2312" w:hAnsi="仿宋_GB2312" w:cs="仿宋_GB2312" w:eastAsia="仿宋_GB2312"/>
        </w:rPr>
        <w:t>（以下简称“代理机构”）受</w:t>
      </w:r>
      <w:r>
        <w:rPr>
          <w:rFonts w:ascii="仿宋_GB2312" w:hAnsi="仿宋_GB2312" w:cs="仿宋_GB2312" w:eastAsia="仿宋_GB2312"/>
        </w:rPr>
        <w:t>合阳县水务局</w:t>
      </w:r>
      <w:r>
        <w:rPr>
          <w:rFonts w:ascii="仿宋_GB2312" w:hAnsi="仿宋_GB2312" w:cs="仿宋_GB2312" w:eastAsia="仿宋_GB2312"/>
        </w:rPr>
        <w:t>委托，拟对</w:t>
      </w:r>
      <w:r>
        <w:rPr>
          <w:rFonts w:ascii="仿宋_GB2312" w:hAnsi="仿宋_GB2312" w:cs="仿宋_GB2312" w:eastAsia="仿宋_GB2312"/>
        </w:rPr>
        <w:t>渭北高效节水灌溉工程附属设施评估服务项目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ZCSP-合阳县-2026-00059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渭北高效节水灌溉工程附属设施评估服务项目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开展地形图测绘、勘测定界、城镇开发边界局部优化方案、社会稳定性评估、矿产压覆、组卷报批等服务。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采购包1（渭北高效节水灌溉工程附属设施评估服务项目）：属于专门面向中小企业采购。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1、企业资质：供应商须具备测绘乙级及以上资质；</w:t>
      </w:r>
    </w:p>
    <w:p>
      <w:pPr>
        <w:pStyle w:val="null3"/>
      </w:pPr>
      <w:r>
        <w:rPr>
          <w:rFonts w:ascii="仿宋_GB2312" w:hAnsi="仿宋_GB2312" w:cs="仿宋_GB2312" w:eastAsia="仿宋_GB2312"/>
        </w:rPr>
        <w:t>2、项目负责人：拟派项目负责人须具有测绘类相关专业中级及以上职称；</w:t>
      </w:r>
    </w:p>
    <w:p>
      <w:pPr>
        <w:pStyle w:val="null3"/>
      </w:pPr>
      <w:r>
        <w:rPr>
          <w:rFonts w:ascii="仿宋_GB2312" w:hAnsi="仿宋_GB2312" w:cs="仿宋_GB2312" w:eastAsia="仿宋_GB2312"/>
        </w:rPr>
        <w:t>3、法定代表人身份证明书、法定代表人授权书：法定代表人参与磋商时需提供法定代表人身份证明书；被授权人参与磋商时需提供法定代表人身份证明书及法定代表人授权委托书；</w:t>
      </w:r>
    </w:p>
    <w:p>
      <w:pPr>
        <w:pStyle w:val="null3"/>
      </w:pPr>
      <w:r>
        <w:rPr>
          <w:rFonts w:ascii="仿宋_GB2312" w:hAnsi="仿宋_GB2312" w:cs="仿宋_GB2312" w:eastAsia="仿宋_GB2312"/>
        </w:rPr>
        <w:t>4、磋商保证金交纳凭证：磋商保证金交纳凭证；</w:t>
      </w:r>
    </w:p>
    <w:p>
      <w:pPr>
        <w:pStyle w:val="null3"/>
      </w:pPr>
      <w:r>
        <w:rPr>
          <w:rFonts w:ascii="仿宋_GB2312" w:hAnsi="仿宋_GB2312" w:cs="仿宋_GB2312" w:eastAsia="仿宋_GB2312"/>
        </w:rPr>
        <w:t>5、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合阳县水务局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合阳县黄河路67号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经办岗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0913-5522396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陕西嘉信至诚项目管理有限公司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陕西省渭南市临渭区解放路与双王街十字东南角商贸楼三楼东侧（槐衙曦和公馆南门斜对面）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刘仁杰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0913-2130688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合阳县政府采购管理股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秦维纲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0913-8343423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采购包1保证金金额：16,500.00元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开户名称：陕西嘉信至诚项目管理有限公司</w:t>
            </w:r>
          </w:p>
          <w:p>
            <w:pPr>
              <w:pStyle w:val="null3"/>
            </w:pPr>
            <w:r>
              <w:rPr>
                <w:rFonts w:ascii="仿宋_GB2312" w:hAnsi="仿宋_GB2312" w:cs="仿宋_GB2312" w:eastAsia="仿宋_GB2312"/>
              </w:rPr>
              <w:t>开户银行：中国银行渭南分行营业部</w:t>
            </w:r>
          </w:p>
          <w:p>
            <w:pPr>
              <w:pStyle w:val="null3"/>
            </w:pPr>
            <w:r>
              <w:rPr>
                <w:rFonts w:ascii="仿宋_GB2312" w:hAnsi="仿宋_GB2312" w:cs="仿宋_GB2312" w:eastAsia="仿宋_GB2312"/>
              </w:rPr>
              <w:t>银行账号：103714785487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招标代理服务收费管理暂行办法》（国家发改委计价格〔2002〕1980号）以及国家发改价格〔2011〕534号文件规定计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合阳县水务局</w:t>
      </w:r>
      <w:r>
        <w:rPr>
          <w:rFonts w:ascii="仿宋_GB2312" w:hAnsi="仿宋_GB2312" w:cs="仿宋_GB2312" w:eastAsia="仿宋_GB2312"/>
        </w:rPr>
        <w:t>和</w:t>
      </w:r>
      <w:r>
        <w:rPr>
          <w:rFonts w:ascii="仿宋_GB2312" w:hAnsi="仿宋_GB2312" w:cs="仿宋_GB2312" w:eastAsia="仿宋_GB2312"/>
        </w:rPr>
        <w:t>陕西嘉信至诚项目管理有限公司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合阳县水务局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陕西嘉信至诚项目管理有限公司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合阳县水务局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陕西嘉信至诚项目管理有限公司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1、质量标准：达到国家及行业验收合格标准。 2、验收标准：按磋商文件、磋商响应文件及澄清函、项目检查情况等综合指标进行验收。各项指标均应符合验收标准及要求。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陕西嘉信至诚项目管理有限公司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陕西嘉信至诚项目管理有限公司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陕西嘉信至诚项目管理有限公司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联系人：刘仁杰</w:t>
      </w:r>
    </w:p>
    <w:p>
      <w:pPr>
        <w:pStyle w:val="null3"/>
      </w:pPr>
      <w:r>
        <w:rPr>
          <w:rFonts w:ascii="仿宋_GB2312" w:hAnsi="仿宋_GB2312" w:cs="仿宋_GB2312" w:eastAsia="仿宋_GB2312"/>
        </w:rPr>
        <w:t>联系电话：0913-2130688</w:t>
      </w:r>
    </w:p>
    <w:p>
      <w:pPr>
        <w:pStyle w:val="null3"/>
      </w:pPr>
      <w:r>
        <w:rPr>
          <w:rFonts w:ascii="仿宋_GB2312" w:hAnsi="仿宋_GB2312" w:cs="仿宋_GB2312" w:eastAsia="仿宋_GB2312"/>
        </w:rPr>
        <w:t>地址：陕西省渭南市临渭区解放路与双王街十字东南角商贸楼三楼东侧（槐衙曦和公馆南门斜对面）</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开展地形图测绘、勘测定界、城镇开发边界局部优化方案、社会稳定性评估、矿产压覆、组卷报批等服务。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1,650,000.00</w:t>
      </w:r>
    </w:p>
    <w:p>
      <w:pPr>
        <w:pStyle w:val="null3"/>
      </w:pPr>
      <w:r>
        <w:rPr>
          <w:rFonts w:ascii="仿宋_GB2312" w:hAnsi="仿宋_GB2312" w:cs="仿宋_GB2312" w:eastAsia="仿宋_GB2312"/>
        </w:rPr>
        <w:t>采购包最高限价（元）: 1,650,000.00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渭北高效节水灌溉工程附属设施评估服务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1,650,000.00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标的名称：渭北高效节水灌溉工程附属设施评估服务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16"/>
              <w:jc w:val="both"/>
            </w:pPr>
            <w:r>
              <w:rPr>
                <w:rFonts w:ascii="仿宋_GB2312" w:hAnsi="仿宋_GB2312" w:cs="仿宋_GB2312" w:eastAsia="仿宋_GB2312"/>
              </w:rPr>
              <w:t>1、地形图测绘</w:t>
            </w:r>
          </w:p>
          <w:p>
            <w:pPr>
              <w:pStyle w:val="null3"/>
            </w:pPr>
            <w:r>
              <w:rPr>
                <w:rFonts w:ascii="仿宋_GB2312" w:hAnsi="仿宋_GB2312" w:cs="仿宋_GB2312" w:eastAsia="仿宋_GB2312"/>
              </w:rPr>
              <w:t>（1）总体要求：优先采用RTK、全站仪、航空摄影测量等方式作业；所有作业流程、成果质量、技术标准必须完全符合国家现行测绘规范及采购人项目需求，成果需满足自然资源部门国土空间规划“一张图”入库、用地审批相关要求，数据全程保密、权属清晰、无版权纠纷。</w:t>
            </w:r>
          </w:p>
          <w:p>
            <w:pPr>
              <w:pStyle w:val="null3"/>
            </w:pPr>
            <w:r>
              <w:rPr>
                <w:rFonts w:ascii="仿宋_GB2312" w:hAnsi="仿宋_GB2312" w:cs="仿宋_GB2312" w:eastAsia="仿宋_GB2312"/>
              </w:rPr>
              <w:t>（2）技术要求：</w:t>
            </w:r>
          </w:p>
          <w:p>
            <w:pPr>
              <w:pStyle w:val="null3"/>
            </w:pPr>
            <w:r>
              <w:rPr>
                <w:rFonts w:ascii="仿宋_GB2312" w:hAnsi="仿宋_GB2312" w:cs="仿宋_GB2312" w:eastAsia="仿宋_GB2312"/>
              </w:rPr>
              <w:t>平面采用CGCS2000国家大地坐标系，高斯-克吕格3°分带投影；高程采用1985国家高程基准。</w:t>
            </w:r>
          </w:p>
          <w:p>
            <w:pPr>
              <w:pStyle w:val="null3"/>
            </w:pPr>
            <w:r>
              <w:rPr>
                <w:rFonts w:ascii="仿宋_GB2312" w:hAnsi="仿宋_GB2312" w:cs="仿宋_GB2312" w:eastAsia="仿宋_GB2312"/>
              </w:rPr>
              <w:t>（3）成果要求：</w:t>
            </w:r>
          </w:p>
          <w:p>
            <w:pPr>
              <w:pStyle w:val="null3"/>
            </w:pPr>
            <w:r>
              <w:rPr>
                <w:rFonts w:ascii="仿宋_GB2312" w:hAnsi="仿宋_GB2312" w:cs="仿宋_GB2312" w:eastAsia="仿宋_GB2312"/>
              </w:rPr>
              <w:t>①数字化线划地形图（DWG格式）</w:t>
            </w:r>
          </w:p>
          <w:p>
            <w:pPr>
              <w:pStyle w:val="null3"/>
            </w:pPr>
            <w:r>
              <w:rPr>
                <w:rFonts w:ascii="仿宋_GB2312" w:hAnsi="仿宋_GB2312" w:cs="仿宋_GB2312" w:eastAsia="仿宋_GB2312"/>
              </w:rPr>
              <w:t>②数字正射影像图（DOM）</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616"/>
              <w:jc w:val="both"/>
            </w:pPr>
            <w:r>
              <w:rPr>
                <w:rFonts w:ascii="仿宋_GB2312" w:hAnsi="仿宋_GB2312" w:cs="仿宋_GB2312" w:eastAsia="仿宋_GB2312"/>
              </w:rPr>
              <w:t>2、土地勘测定界</w:t>
            </w:r>
          </w:p>
          <w:p>
            <w:pPr>
              <w:pStyle w:val="null3"/>
            </w:pPr>
            <w:r>
              <w:rPr>
                <w:rFonts w:ascii="仿宋_GB2312" w:hAnsi="仿宋_GB2312" w:cs="仿宋_GB2312" w:eastAsia="仿宋_GB2312"/>
              </w:rPr>
              <w:t>（1）总体要求：土地勘测定界全流程需符合国家及地方自然资源部门用地报批相关规范，成果需通过主管部门审核、满足国土空间“一张图”入库要求，数据权属清晰、精度达标、格式合规，全程严守测绘保密规定。</w:t>
            </w:r>
          </w:p>
          <w:p>
            <w:pPr>
              <w:pStyle w:val="null3"/>
            </w:pPr>
            <w:r>
              <w:rPr>
                <w:rFonts w:ascii="仿宋_GB2312" w:hAnsi="仿宋_GB2312" w:cs="仿宋_GB2312" w:eastAsia="仿宋_GB2312"/>
              </w:rPr>
              <w:t>（2）技术要求：</w:t>
            </w:r>
          </w:p>
          <w:p>
            <w:pPr>
              <w:pStyle w:val="null3"/>
            </w:pPr>
            <w:r>
              <w:rPr>
                <w:rFonts w:ascii="仿宋_GB2312" w:hAnsi="仿宋_GB2312" w:cs="仿宋_GB2312" w:eastAsia="仿宋_GB2312"/>
              </w:rPr>
              <w:t>平面采用CGCS2000国家大地坐标系，高斯-克吕格3°分带投影；高程采用1985国家高程基准。</w:t>
            </w:r>
          </w:p>
          <w:p>
            <w:pPr>
              <w:pStyle w:val="null3"/>
            </w:pPr>
            <w:r>
              <w:rPr>
                <w:rFonts w:ascii="仿宋_GB2312" w:hAnsi="仿宋_GB2312" w:cs="仿宋_GB2312" w:eastAsia="仿宋_GB2312"/>
              </w:rPr>
              <w:t>（3）成果要求：</w:t>
            </w:r>
          </w:p>
          <w:p>
            <w:pPr>
              <w:pStyle w:val="null3"/>
            </w:pPr>
            <w:r>
              <w:rPr>
                <w:rFonts w:ascii="仿宋_GB2312" w:hAnsi="仿宋_GB2312" w:cs="仿宋_GB2312" w:eastAsia="仿宋_GB2312"/>
              </w:rPr>
              <w:t>①纸质文件：土地勘测定界技术报告书、土地勘测定界图、界址点坐标成果表、土地权属及地类面积汇总表。</w:t>
            </w:r>
          </w:p>
          <w:p>
            <w:pPr>
              <w:pStyle w:val="null3"/>
            </w:pPr>
            <w:r>
              <w:rPr>
                <w:rFonts w:ascii="仿宋_GB2312" w:hAnsi="仿宋_GB2312" w:cs="仿宋_GB2312" w:eastAsia="仿宋_GB2312"/>
              </w:rPr>
              <w:t>②电子文件：勘测定界图DWG格式矢量文件、界址点坐标、面积汇总Excel表格、技术报告书PDF+Word版本。</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616"/>
              <w:jc w:val="both"/>
            </w:pPr>
            <w:r>
              <w:rPr>
                <w:rFonts w:ascii="仿宋_GB2312" w:hAnsi="仿宋_GB2312" w:cs="仿宋_GB2312" w:eastAsia="仿宋_GB2312"/>
              </w:rPr>
              <w:t>3、城镇开发边界局部优化方案编制</w:t>
            </w:r>
          </w:p>
          <w:p>
            <w:pPr>
              <w:pStyle w:val="null3"/>
            </w:pPr>
            <w:r>
              <w:rPr>
                <w:rFonts w:ascii="仿宋_GB2312" w:hAnsi="仿宋_GB2312" w:cs="仿宋_GB2312" w:eastAsia="仿宋_GB2312"/>
              </w:rPr>
              <w:t>城镇开发边界局部优化方案编制，严格遵照自然资源部及地方城镇开发边界管控相关政策开展工作，方案仅限合规情形优化调整，全程符合国土空间规划“一张图”管控要求，成果需通过各级自然资源主管部门审查、完成数据入库备案，保障项目用地合规性，严禁违规调整边界、突破管控要求。</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firstLine="616"/>
              <w:jc w:val="both"/>
            </w:pPr>
            <w:r>
              <w:rPr>
                <w:rFonts w:ascii="仿宋_GB2312" w:hAnsi="仿宋_GB2312" w:cs="仿宋_GB2312" w:eastAsia="仿宋_GB2312"/>
              </w:rPr>
              <w:t>4、社会稳定性评估</w:t>
            </w:r>
          </w:p>
          <w:p>
            <w:pPr>
              <w:pStyle w:val="null3"/>
            </w:pPr>
            <w:r>
              <w:rPr>
                <w:rFonts w:ascii="仿宋_GB2312" w:hAnsi="仿宋_GB2312" w:cs="仿宋_GB2312" w:eastAsia="仿宋_GB2312"/>
              </w:rPr>
              <w:t>重大事项社会稳定性风险评估，严格遵照国家及地方稳评政策规范开展工作，评估流程合规、风险排查全面、结论客观精准，成果需完成专家评审、主管部门备案，为项目审批、实施提供合规支撑，全程严守保密及行业规范。</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ind w:firstLine="616"/>
              <w:jc w:val="both"/>
            </w:pPr>
            <w:r>
              <w:rPr>
                <w:rFonts w:ascii="仿宋_GB2312" w:hAnsi="仿宋_GB2312" w:cs="仿宋_GB2312" w:eastAsia="仿宋_GB2312"/>
              </w:rPr>
              <w:t>5、压覆重要矿产资源评估报告编制</w:t>
            </w:r>
          </w:p>
          <w:p>
            <w:pPr>
              <w:pStyle w:val="null3"/>
            </w:pPr>
            <w:r>
              <w:rPr>
                <w:rFonts w:ascii="仿宋_GB2312" w:hAnsi="仿宋_GB2312" w:cs="仿宋_GB2312" w:eastAsia="仿宋_GB2312"/>
              </w:rPr>
              <w:t>通过资料收集和野外调查，基本查清本项目压覆区、评估区地质特征和矿产特点，大致了解评估区内的水文地质、工程地质、环境地质条件，查清压覆区重要矿产资源储量及采矿权、探矿权的设置情况，编制《建设项目压覆重要矿产资源调查评估报告》，逐级上报自然资源管理部门，取得同意压覆重要矿产资源的批复。全程严守国家、地方行业规范。</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ind w:firstLine="616"/>
              <w:jc w:val="both"/>
            </w:pPr>
            <w:r>
              <w:rPr>
                <w:rFonts w:ascii="仿宋_GB2312" w:hAnsi="仿宋_GB2312" w:cs="仿宋_GB2312" w:eastAsia="仿宋_GB2312"/>
              </w:rPr>
              <w:t>6、土地组卷报批</w:t>
            </w:r>
          </w:p>
          <w:p>
            <w:pPr>
              <w:pStyle w:val="null3"/>
            </w:pPr>
            <w:r>
              <w:rPr>
                <w:rFonts w:ascii="仿宋_GB2312" w:hAnsi="仿宋_GB2312" w:cs="仿宋_GB2312" w:eastAsia="仿宋_GB2312"/>
              </w:rPr>
              <w:t>（1）总体要求：建设用地组卷报批，严格遵照国家及地方建设用地审查报批相关政策规范，完成全套报件材料组卷、审核、上报、对接、备案工作，确保报件材料齐全、数据精准、合规无误，全程配合主管部门审查、修改、督办，直至取得用地批复文件，保障项目用地报批顺利推进，全程严守资料保密规定，严禁分包、转包。</w:t>
            </w:r>
          </w:p>
          <w:p>
            <w:pPr>
              <w:pStyle w:val="null3"/>
            </w:pPr>
            <w:r>
              <w:rPr>
                <w:rFonts w:ascii="仿宋_GB2312" w:hAnsi="仿宋_GB2312" w:cs="仿宋_GB2312" w:eastAsia="仿宋_GB2312"/>
              </w:rPr>
              <w:t>（2）技术要求：</w:t>
            </w:r>
          </w:p>
          <w:p>
            <w:pPr>
              <w:pStyle w:val="null3"/>
            </w:pPr>
            <w:r>
              <w:rPr>
                <w:rFonts w:ascii="仿宋_GB2312" w:hAnsi="仿宋_GB2312" w:cs="仿宋_GB2312" w:eastAsia="仿宋_GB2312"/>
              </w:rPr>
              <w:t>①符合现行政策及主管部门审查要求。</w:t>
            </w:r>
          </w:p>
          <w:p>
            <w:pPr>
              <w:pStyle w:val="null3"/>
            </w:pPr>
            <w:r>
              <w:rPr>
                <w:rFonts w:ascii="仿宋_GB2312" w:hAnsi="仿宋_GB2312" w:cs="仿宋_GB2312" w:eastAsia="仿宋_GB2312"/>
              </w:rPr>
              <w:t>②统一采用CGCS2000国家大地坐标系、1985国家高程基准，所有用地数据、图纸、表格与前期地形图、勘测定界、规划优化、稳评、压覆矿成果完全一致，数据无缝衔接。</w:t>
            </w:r>
          </w:p>
          <w:p>
            <w:pPr>
              <w:pStyle w:val="null3"/>
            </w:pPr>
            <w:r>
              <w:rPr>
                <w:rFonts w:ascii="仿宋_GB2312" w:hAnsi="仿宋_GB2312" w:cs="仿宋_GB2312" w:eastAsia="仿宋_GB2312"/>
              </w:rPr>
              <w:t>③严格按照单独选址用地、城镇批次用地分类组卷，材料逻辑清晰、要件齐全、填写规范，报批系统填报精准，符合国土空间规划“一张图”核对、用地审批系统上报要求。</w:t>
            </w:r>
          </w:p>
          <w:p>
            <w:pPr>
              <w:pStyle w:val="null3"/>
            </w:pPr>
            <w:r>
              <w:rPr>
                <w:rFonts w:ascii="仿宋_GB2312" w:hAnsi="仿宋_GB2312" w:cs="仿宋_GB2312" w:eastAsia="仿宋_GB2312"/>
              </w:rPr>
              <w:t>④严格落实国土空间规划符合性、年度用地计划、耕地占补平衡、永久基本农田管控、征地补偿安置、社保审核等前置要求，严禁违规组卷。</w:t>
            </w:r>
          </w:p>
          <w:p>
            <w:pPr>
              <w:pStyle w:val="null3"/>
            </w:pPr>
            <w:r>
              <w:rPr>
                <w:rFonts w:ascii="仿宋_GB2312" w:hAnsi="仿宋_GB2312" w:cs="仿宋_GB2312" w:eastAsia="仿宋_GB2312"/>
              </w:rPr>
              <w:t>（3）成果要求：</w:t>
            </w:r>
          </w:p>
          <w:p>
            <w:pPr>
              <w:pStyle w:val="null3"/>
            </w:pPr>
            <w:r>
              <w:rPr>
                <w:rFonts w:ascii="仿宋_GB2312" w:hAnsi="仿宋_GB2312" w:cs="仿宋_GB2312" w:eastAsia="仿宋_GB2312"/>
              </w:rPr>
              <w:t>①建设用地报批全套组卷材料（含用地请示、审查意见、四个方案、报批表格、前置佐证材料、图纸等）；</w:t>
            </w:r>
          </w:p>
          <w:p>
            <w:pPr>
              <w:pStyle w:val="null3"/>
            </w:pPr>
            <w:r>
              <w:rPr>
                <w:rFonts w:ascii="仿宋_GB2312" w:hAnsi="仿宋_GB2312" w:cs="仿宋_GB2312" w:eastAsia="仿宋_GB2312"/>
              </w:rPr>
              <w:t>②征地公示、听证、权属确认、社保审核、稳评备案、压覆矿评审等全套附件材料；</w:t>
            </w:r>
          </w:p>
          <w:p>
            <w:pPr>
              <w:pStyle w:val="null3"/>
            </w:pPr>
            <w:r>
              <w:rPr>
                <w:rFonts w:ascii="仿宋_GB2312" w:hAnsi="仿宋_GB2312" w:cs="仿宋_GB2312" w:eastAsia="仿宋_GB2312"/>
              </w:rPr>
              <w:t>③报批技术总结、质量自查报告；</w:t>
            </w:r>
          </w:p>
          <w:p>
            <w:pPr>
              <w:pStyle w:val="null3"/>
            </w:pPr>
            <w:r>
              <w:rPr>
                <w:rFonts w:ascii="仿宋_GB2312" w:hAnsi="仿宋_GB2312" w:cs="仿宋_GB2312" w:eastAsia="仿宋_GB2312"/>
              </w:rPr>
              <w:t>④主管部门批复文件。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依据3.2.2服务要求进行人员配备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依据3.2.2服务要求投入设施设备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1、供应商应及时向采购人汇报该项目完成进度。 2、在服务期间，若供应商所拟派的工作人员发生任何伤害，采购人概不负责，由供应商自行处理。 3、供应商除提供成果文件外，还应负责协助采购人完成成果文件的评审、验收等工作。</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180日历天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渭南市合阳县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1、质量标准：达到国家及行业验收合格标准。 2、验收标准：按磋商文件、磋商响应文件及澄清函、项目检查情况等综合指标进行验收。各项指标均应符合验收标准及要求。 3、需执行的国家相关标准、行业标准、地方标准或者其他标准、规范标准：（1）《GB/T 7930-2008 1:500 1:1000 1:2000地形图航空摄影测量内业规范》； （2）《GB/T 20257.1-2017 国家基本比例尺地图图式第1部分》； （3）《CJJ/T8-2011城市测量规范》； （4）《GB/T 24356-2023测绘成果质量检查与验收》； （5）《地籍调查规程》（GB/T 42547-2023）； （6）《土地利用现状分类》（GB/T 21010）； （7）《测绘成果质量检查与验收》（GB/T 24356-2023）； （8）《国土资源部关于进一步做好建设项目压覆重要矿产资源审批管理工作的通知》（国土资发〔2010〕137号）； （9）《陕西省自然资源厅关于进一步推进“放管服”改革做好建设项目压覆重要矿产资源审批服务工作的通知》（陕自然资规〔2023〕1号）； （10）《中华人民共和国土地管理法》及实施条例； （11）土地征收成片开发标准及用地报批实施细则； （12）其它行业、地方现行执行规范、规程、标准。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供应商完成报批手续、取得批复并提交成果文件后30日历天内，须开具等额发票，采购人一次性付清费用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1.合同双方必须遵守本合同并执行合同中的各项规定，保证本合同的正常履行。 2.如因供应商工作人员在履行职务过程中的的疏忽、失职、过错等故意或者过失原因给采购人造成损失或侵害，包括但不限于采购人本身的财产损失、由此而导致的采购人对任何第三方的法律责任等，供应商对此均应承担全部的赔偿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中标（成交）供应商在中标（成交）结果公告发布后3个工作日内提供叁套纸质投标文件（经编标工具生成的文件直接打印），递交的纸质版文件内容确保与线上电子文件保持一致，不允许修改和补充。2、关于印发中小企业划型标准规定的通知（工信部联企业〔2011〕300号），中小企业划型标准规定：（十六）其他未列明行业。从业人员300人以下的为中小微型企业。其中，从业人员100人及以上的为中型企业；从业人员10人及以上的为小型企业；从业人员10人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提供合法有效，具有独立承担民事责任能力的证明资料。</w:t>
            </w:r>
          </w:p>
        </w:tc>
        <w:tc>
          <w:tcPr>
            <w:tcW w:type="dxa" w:w="1661"/>
          </w:tcPr>
          <w:p>
            <w:pPr>
              <w:pStyle w:val="null3"/>
            </w:pPr>
            <w:r>
              <w:rPr>
                <w:rFonts w:ascii="仿宋_GB2312" w:hAnsi="仿宋_GB2312" w:cs="仿宋_GB2312" w:eastAsia="仿宋_GB2312"/>
              </w:rPr>
              <w:t>政府采购二十二条</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1）财务状况报告：提供具有财务审计资质单位出具的2025年度财务审计报告（成立时间至磋商时间不足一年的可提供成立后任意时段的资产负债表）或响应文件递交截止时间前六个月内其基本账户银行出具的资信证明（附基本账户证明）或政府采购信用担保机构出具的磋商担保函； （2）税收缴纳证明：提供响应文件递交截止时间前一年内任意一个月的缴费凭据；依法免税的应提供相关文件证明； （3）社会保障资金缴纳证明：提供响应文件递交截止时间前一年内任意一个月的社保缴费凭据或社保机构开具的社会保险参保缴费情况证明；依法不需要缴纳社会保障资金的供应商应提供相关文件证明； 注：根据陕西省财政厅《关于进一步优化政府采购营商环境有关事项的通知》（陕财办采〔2023〕4号）关于供应商参与政府采购活动实行“承诺+信用管理”准入制度的要求，以上三项内容若采用承诺制，供应商可按本招标文件格式要求出具承诺函（详见附件1）；若供应商提供证明材料，则无需填写此承诺书；若二者同时提供，评审时以证明材料为准。中标供应商的承诺函将与中标结果一并公示。</w:t>
            </w:r>
          </w:p>
        </w:tc>
        <w:tc>
          <w:tcPr>
            <w:tcW w:type="dxa" w:w="1661"/>
          </w:tcPr>
          <w:p>
            <w:pPr>
              <w:pStyle w:val="null3"/>
            </w:pPr>
            <w:r>
              <w:rPr>
                <w:rFonts w:ascii="仿宋_GB2312" w:hAnsi="仿宋_GB2312" w:cs="仿宋_GB2312" w:eastAsia="仿宋_GB2312"/>
              </w:rPr>
              <w:t>政府采购二十二条</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具有履行合同所必需的设备和专业技术能力的承诺</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参加政府采购活动前三年内在经营活动中无重大违法记录的承诺</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参与的供应商（联合体）服务全部由符合政策要求的中小企业承接。本项目所属行业：其他未列明行业。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供应商须具备测绘乙级及以上资质；</w:t>
            </w:r>
          </w:p>
        </w:tc>
        <w:tc>
          <w:tcPr>
            <w:tcW w:type="dxa" w:w="1661"/>
          </w:tcPr>
          <w:p>
            <w:pPr>
              <w:pStyle w:val="null3"/>
            </w:pPr>
            <w:r>
              <w:rPr>
                <w:rFonts w:ascii="仿宋_GB2312" w:hAnsi="仿宋_GB2312" w:cs="仿宋_GB2312" w:eastAsia="仿宋_GB2312"/>
              </w:rPr>
              <w:t>特定资格要求</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拟派项目负责人须具有测绘类相关专业中级及以上职称；</w:t>
            </w:r>
          </w:p>
        </w:tc>
        <w:tc>
          <w:tcPr>
            <w:tcW w:type="dxa" w:w="1661"/>
          </w:tcPr>
          <w:p>
            <w:pPr>
              <w:pStyle w:val="null3"/>
            </w:pPr>
            <w:r>
              <w:rPr>
                <w:rFonts w:ascii="仿宋_GB2312" w:hAnsi="仿宋_GB2312" w:cs="仿宋_GB2312" w:eastAsia="仿宋_GB2312"/>
              </w:rPr>
              <w:t>特定资格要求</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法定代表人身份证明书、法定代表人授权书</w:t>
            </w:r>
          </w:p>
        </w:tc>
        <w:tc>
          <w:tcPr>
            <w:tcW w:type="dxa" w:w="3322"/>
          </w:tcPr>
          <w:p>
            <w:pPr>
              <w:pStyle w:val="null3"/>
            </w:pPr>
            <w:r>
              <w:rPr>
                <w:rFonts w:ascii="仿宋_GB2312" w:hAnsi="仿宋_GB2312" w:cs="仿宋_GB2312" w:eastAsia="仿宋_GB2312"/>
              </w:rPr>
              <w:t>法定代表人参与磋商时需提供法定代表人身份证明书；被授权人参与磋商时需提供法定代表人身份证明书及法定代表人授权委托书；</w:t>
            </w:r>
          </w:p>
        </w:tc>
        <w:tc>
          <w:tcPr>
            <w:tcW w:type="dxa" w:w="1661"/>
          </w:tcPr>
          <w:p>
            <w:pPr>
              <w:pStyle w:val="null3"/>
            </w:pPr>
            <w:r>
              <w:rPr>
                <w:rFonts w:ascii="仿宋_GB2312" w:hAnsi="仿宋_GB2312" w:cs="仿宋_GB2312" w:eastAsia="仿宋_GB2312"/>
              </w:rPr>
              <w:t>特定资格要求</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磋商保证金交纳凭证</w:t>
            </w:r>
          </w:p>
        </w:tc>
        <w:tc>
          <w:tcPr>
            <w:tcW w:type="dxa" w:w="3322"/>
          </w:tcPr>
          <w:p>
            <w:pPr>
              <w:pStyle w:val="null3"/>
            </w:pPr>
            <w:r>
              <w:rPr>
                <w:rFonts w:ascii="仿宋_GB2312" w:hAnsi="仿宋_GB2312" w:cs="仿宋_GB2312" w:eastAsia="仿宋_GB2312"/>
              </w:rPr>
              <w:t>磋商保证金交纳凭证；</w:t>
            </w:r>
          </w:p>
        </w:tc>
        <w:tc>
          <w:tcPr>
            <w:tcW w:type="dxa" w:w="1661"/>
          </w:tcPr>
          <w:p>
            <w:pPr>
              <w:pStyle w:val="null3"/>
            </w:pPr>
            <w:r>
              <w:rPr>
                <w:rFonts w:ascii="仿宋_GB2312" w:hAnsi="仿宋_GB2312" w:cs="仿宋_GB2312" w:eastAsia="仿宋_GB2312"/>
              </w:rPr>
              <w:t>特定资格要求</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特定资格要求</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响应文件按竞争性磋商文件要求进行签章</w:t>
            </w:r>
          </w:p>
        </w:tc>
        <w:tc>
          <w:tcPr>
            <w:tcW w:type="dxa" w:w="1661"/>
          </w:tcPr>
          <w:p>
            <w:pPr>
              <w:pStyle w:val="null3"/>
            </w:pPr>
            <w:r>
              <w:rPr>
                <w:rFonts w:ascii="仿宋_GB2312" w:hAnsi="仿宋_GB2312" w:cs="仿宋_GB2312" w:eastAsia="仿宋_GB2312"/>
              </w:rPr>
              <w:t>服务内容及服务邀请应答表 分项报价表 中小企业声明函 商务应答表 报价表 特定资格要求 响应文件封面 政府采购供应商拒绝政府采购领域商业贿赂承诺书 残疾人福利性单位声明函 政府采购二十二条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磋商报价没有超出本项目最高限价</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满足竞争性磋商文件规定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满足竞争性磋商文件规定</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对采购内容的响应程度</w:t>
            </w:r>
          </w:p>
        </w:tc>
        <w:tc>
          <w:tcPr>
            <w:tcW w:type="dxa" w:w="3322"/>
          </w:tcPr>
          <w:p>
            <w:pPr>
              <w:pStyle w:val="null3"/>
            </w:pPr>
            <w:r>
              <w:rPr>
                <w:rFonts w:ascii="仿宋_GB2312" w:hAnsi="仿宋_GB2312" w:cs="仿宋_GB2312" w:eastAsia="仿宋_GB2312"/>
              </w:rPr>
              <w:t>满足竞争性磋商文件规定</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无其他做无效投标处理的情况</w:t>
            </w:r>
          </w:p>
        </w:tc>
        <w:tc>
          <w:tcPr>
            <w:tcW w:type="dxa" w:w="1661"/>
          </w:tcPr>
          <w:p>
            <w:pPr>
              <w:pStyle w:val="null3"/>
            </w:pPr>
            <w:r>
              <w:rPr>
                <w:rFonts w:ascii="仿宋_GB2312" w:hAnsi="仿宋_GB2312" w:cs="仿宋_GB2312" w:eastAsia="仿宋_GB2312"/>
              </w:rPr>
              <w:t>服务内容及服务邀请应答表 分项报价表 中小企业声明函 商务应答表 报价表 特定资格要求 响应文件封面 政府采购供应商拒绝政府采购领域商业贿赂承诺书 残疾人福利性单位声明函 政府采购二十二条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（一）评审内容： （1）项目需求理解； （2）服务流程及方法； （3）项目整体管理方案。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进度计划安排及保障措施</w:t>
            </w:r>
          </w:p>
        </w:tc>
        <w:tc>
          <w:tcPr>
            <w:tcW w:type="dxa" w:w="2492"/>
          </w:tcPr>
          <w:p>
            <w:pPr>
              <w:pStyle w:val="null3"/>
            </w:pPr>
            <w:r>
              <w:rPr>
                <w:rFonts w:ascii="仿宋_GB2312" w:hAnsi="仿宋_GB2312" w:cs="仿宋_GB2312" w:eastAsia="仿宋_GB2312"/>
              </w:rPr>
              <w:t>（一）评审内容： （1）服务进度计划安排； （2）按期按质完成服务的保障措施。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（1）地形图测绘； （2）土地勘测定界； （3）城镇开发边界局部优化方案编制； （4）社会稳定性评估； （5）压覆重要矿产资源评估报告编制； （6）土地组卷报批。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资料管理方案</w:t>
            </w:r>
          </w:p>
        </w:tc>
        <w:tc>
          <w:tcPr>
            <w:tcW w:type="dxa" w:w="2492"/>
          </w:tcPr>
          <w:p>
            <w:pPr>
              <w:pStyle w:val="null3"/>
            </w:pPr>
            <w:r>
              <w:rPr>
                <w:rFonts w:ascii="仿宋_GB2312" w:hAnsi="仿宋_GB2312" w:cs="仿宋_GB2312" w:eastAsia="仿宋_GB2312"/>
              </w:rPr>
              <w:t>（一）评审内容： （1）资料管理方案； （2）工作流程安排及实施细则。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 （1）质量保障措施； （2）服务成果的质量追溯机制。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（一）评审内容： （1）保密措施； （2）保密人员培训及管理。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其他服务措施</w:t>
            </w:r>
          </w:p>
        </w:tc>
        <w:tc>
          <w:tcPr>
            <w:tcW w:type="dxa" w:w="2492"/>
          </w:tcPr>
          <w:p>
            <w:pPr>
              <w:pStyle w:val="null3"/>
            </w:pPr>
            <w:r>
              <w:rPr>
                <w:rFonts w:ascii="仿宋_GB2312" w:hAnsi="仿宋_GB2312" w:cs="仿宋_GB2312" w:eastAsia="仿宋_GB2312"/>
              </w:rPr>
              <w:t>（一）评审内容： （1）对紧急或突发业务的应急保障措施； （2）综合协助措施； （3）后续服务方案。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针对本项目提出合理化建议，每提出一项有利于本项目实施的合理化建议得1分，本项最高得5分。未提供得0分。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供应商近三年（2023年4月至今）具有类似项目业绩，每个计1分，最多计5分。(业绩时间以合同签订日期为准，供应商须提供合同扫描件)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依据服务要求，每配备一名技术或服务人员（项目负责人除外）得1分，最多得5分；须提供相关证件或其他证明材料，未提供证明材料得0分。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拟投入设备</w:t>
            </w:r>
          </w:p>
        </w:tc>
        <w:tc>
          <w:tcPr>
            <w:tcW w:type="dxa" w:w="2492"/>
          </w:tcPr>
          <w:p>
            <w:pPr>
              <w:pStyle w:val="null3"/>
            </w:pPr>
            <w:r>
              <w:rPr>
                <w:rFonts w:ascii="仿宋_GB2312" w:hAnsi="仿宋_GB2312" w:cs="仿宋_GB2312" w:eastAsia="仿宋_GB2312"/>
              </w:rPr>
              <w:t>（1）依据服务内容提出的要求配置测绘设备；提供证明材料（需提供以下材料至少一项，亦可提交其他相关证明材料，例如：设备实物图、发票、合同等），每项设备得1分；最多得3分。未提供证明材料得0分。 （2）配备与本服务有关的其他辅助设备；提供证明材料（需提供以下材料至少一项，亦可提交其他相关证明材料，例如：设备实物图、发票、合同等），每配备一项设备（不同类型）得1分，最多得2分。未提供证明材料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满足采购文件要求且最后报价最低的供应商价格为基准价得20分； 其他供应商的价格分按下列公式计算： 报价得分=（基准价/最终报价）×20%×100。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详见附件：政府采购二十二条</w:t>
      </w:r>
    </w:p>
    <w:p>
      <w:pPr>
        <w:pStyle w:val="null3"/>
        <w:ind w:firstLine="960"/>
      </w:pPr>
      <w:r>
        <w:rPr>
          <w:rFonts w:ascii="仿宋_GB2312" w:hAnsi="仿宋_GB2312" w:cs="仿宋_GB2312" w:eastAsia="仿宋_GB2312"/>
        </w:rPr>
        <w:t>详见附件：特定资格要求</w:t>
      </w:r>
    </w:p>
    <w:p>
      <w:pPr>
        <w:pStyle w:val="null3"/>
        <w:ind w:firstLine="960"/>
      </w:pPr>
      <w:r>
        <w:rPr>
          <w:rFonts w:ascii="仿宋_GB2312" w:hAnsi="仿宋_GB2312" w:cs="仿宋_GB2312" w:eastAsia="仿宋_GB2312"/>
        </w:rPr>
        <w:t>详见附件：政府采购供应商拒绝政府采购领域商业贿赂承诺书</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详见附件：8.合同文本.docx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