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版本号：ZYTT-2026040520260423001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2026年骨灰盒采购项目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ZYTT-20260405</w:t>
      </w:r>
      <w:r>
        <w:br/>
      </w:r>
      <w:r>
        <w:br/>
      </w:r>
      <w:r>
        <w:br/>
      </w:r>
    </w:p>
    <w:p>
      <w:pPr>
        <w:pStyle w:val="null3"/>
        <w:jc w:val="center"/>
        <w:outlineLvl w:val="2"/>
      </w:pPr>
      <w:r>
        <w:rPr>
          <w:rFonts w:ascii="仿宋_GB2312" w:hAnsi="仿宋_GB2312" w:cs="仿宋_GB2312" w:eastAsia="仿宋_GB2312"/>
          <w:sz w:val="28"/>
          <w:b/>
        </w:rPr>
        <w:t>西安市殡仪馆</w:t>
      </w:r>
    </w:p>
    <w:p>
      <w:pPr>
        <w:pStyle w:val="null3"/>
        <w:jc w:val="center"/>
        <w:outlineLvl w:val="2"/>
      </w:pPr>
      <w:r>
        <w:rPr>
          <w:rFonts w:ascii="仿宋_GB2312" w:hAnsi="仿宋_GB2312" w:cs="仿宋_GB2312" w:eastAsia="仿宋_GB2312"/>
          <w:sz w:val="28"/>
          <w:b/>
        </w:rPr>
        <w:t>陕西中裕天腾项目管理有限公司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陕西中裕天腾项目管理有限公司</w:t>
      </w:r>
      <w:r>
        <w:rPr>
          <w:rFonts w:ascii="仿宋_GB2312" w:hAnsi="仿宋_GB2312" w:cs="仿宋_GB2312" w:eastAsia="仿宋_GB2312"/>
        </w:rPr>
        <w:t>（以下简称“代理机构”）受</w:t>
      </w:r>
      <w:r>
        <w:rPr>
          <w:rFonts w:ascii="仿宋_GB2312" w:hAnsi="仿宋_GB2312" w:cs="仿宋_GB2312" w:eastAsia="仿宋_GB2312"/>
        </w:rPr>
        <w:t>西安市殡仪馆</w:t>
      </w:r>
      <w:r>
        <w:rPr>
          <w:rFonts w:ascii="仿宋_GB2312" w:hAnsi="仿宋_GB2312" w:cs="仿宋_GB2312" w:eastAsia="仿宋_GB2312"/>
        </w:rPr>
        <w:t>委托，拟对</w:t>
      </w:r>
      <w:r>
        <w:rPr>
          <w:rFonts w:ascii="仿宋_GB2312" w:hAnsi="仿宋_GB2312" w:cs="仿宋_GB2312" w:eastAsia="仿宋_GB2312"/>
        </w:rPr>
        <w:t>2026年骨灰盒采购项目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ZYTT-20260405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2026年骨灰盒采购项目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骨灰盒产品是现代殡仪服务过程中重要的殡葬用品，具有人文、安全、卫生等特点。西安市殡仪馆为国有殡仪服务机构，致力于为广大群众提供“业态干净、仪节简洁、办事方便、价格惠民”的殡葬公共服务。为西安市民提供质量保证、价格合理的骨灰盒，供治丧群众自主选择。现拟通过招标方式采购骨灰盒，满足群众治丧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采购包1（西安市殡仪馆2026年骨灰盒采购项目（一包））：属于专门面向中小企业采购。</w:t>
      </w:r>
    </w:p>
    <w:p>
      <w:pPr>
        <w:pStyle w:val="null3"/>
      </w:pPr>
      <w:r>
        <w:rPr>
          <w:rFonts w:ascii="仿宋_GB2312" w:hAnsi="仿宋_GB2312" w:cs="仿宋_GB2312" w:eastAsia="仿宋_GB2312"/>
        </w:rPr>
        <w:t>采购包2（西安市殡仪馆2026年骨灰盒采购项目（二包））：属于专门面向null采购。</w:t>
      </w:r>
    </w:p>
    <w:p>
      <w:pPr>
        <w:pStyle w:val="null3"/>
      </w:pPr>
      <w:r>
        <w:rPr>
          <w:rFonts w:ascii="仿宋_GB2312" w:hAnsi="仿宋_GB2312" w:cs="仿宋_GB2312" w:eastAsia="仿宋_GB2312"/>
        </w:rPr>
        <w:t>采购包3（西安市殡仪馆2026年骨灰盒采购项目（三包））：属于专门面向null采购。</w:t>
      </w:r>
    </w:p>
    <w:p>
      <w:pPr>
        <w:pStyle w:val="null3"/>
      </w:pPr>
      <w:r>
        <w:rPr>
          <w:rFonts w:ascii="仿宋_GB2312" w:hAnsi="仿宋_GB2312" w:cs="仿宋_GB2312" w:eastAsia="仿宋_GB2312"/>
        </w:rPr>
        <w:t>采购包4（西安市殡仪馆2026年骨灰盒采购项目（四包））：属于专门面向null采购。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1、信用中国：未被列为“信用中国”网（www.creditchina.gov.cn）中失信被执行人和重大税收违法案件当事人名单及中国政府采购网（www.ccgp.gov.cn）政府采购严重违法失信行为记录名单。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1、信用中国：未被列为“信用中国”网（www.creditchina.gov.cn）中失信被执行人和重大税收违法案件当事人名单及中国政府采购网（www.ccgp.gov.cn）政府采购严重违法失信行为记录名单。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1、信用中国：未被列为“信用中国”网（www.creditchina.gov.cn）中失信被执行人和重大税收违法案件当事人名单及中国政府采购网（www.ccgp.gov.cn）政府采购严重违法失信行为记录名单。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1、信用中国：未被列为“信用中国”网（www.creditchina.gov.cn）中失信被执行人和重大税收违法案件当事人名单及中国政府采购网（www.ccgp.gov.cn）政府采购严重违法失信行为记录名单。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西安市殡仪馆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长安区鸣犊留公三村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85696027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陕西中裕天腾项目管理有限公司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陕西省西安市莲湖区高新路西部国际广场B座28楼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赵晓、吕前惠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18066518168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p>
          <w:p>
            <w:pPr>
              <w:pStyle w:val="null3"/>
            </w:pPr>
            <w:r>
              <w:rPr>
                <w:rFonts w:ascii="仿宋_GB2312" w:hAnsi="仿宋_GB2312" w:cs="仿宋_GB2312" w:eastAsia="仿宋_GB2312"/>
              </w:rPr>
              <w:t>采购包2：850,000.00元</w:t>
            </w:r>
          </w:p>
          <w:p>
            <w:pPr>
              <w:pStyle w:val="null3"/>
            </w:pPr>
            <w:r>
              <w:rPr>
                <w:rFonts w:ascii="仿宋_GB2312" w:hAnsi="仿宋_GB2312" w:cs="仿宋_GB2312" w:eastAsia="仿宋_GB2312"/>
              </w:rPr>
              <w:t>采购包3：900,000.00元</w:t>
            </w:r>
          </w:p>
          <w:p>
            <w:pPr>
              <w:pStyle w:val="null3"/>
            </w:pPr>
            <w:r>
              <w:rPr>
                <w:rFonts w:ascii="仿宋_GB2312" w:hAnsi="仿宋_GB2312" w:cs="仿宋_GB2312" w:eastAsia="仿宋_GB2312"/>
              </w:rPr>
              <w:t>采购包4：900,000.00元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代理服务费收费标准：1、代理服务费的收取参照（发改办价格[2011]534号）收费标准计取 2、代理服务费账户： 户 名：陕西中裕天腾项目管理有限公司 开户银行：建行西安太白小区支行 账 号：61050177350000000883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西安市殡仪馆</w:t>
      </w:r>
      <w:r>
        <w:rPr>
          <w:rFonts w:ascii="仿宋_GB2312" w:hAnsi="仿宋_GB2312" w:cs="仿宋_GB2312" w:eastAsia="仿宋_GB2312"/>
        </w:rPr>
        <w:t>和</w:t>
      </w:r>
      <w:r>
        <w:rPr>
          <w:rFonts w:ascii="仿宋_GB2312" w:hAnsi="仿宋_GB2312" w:cs="仿宋_GB2312" w:eastAsia="仿宋_GB2312"/>
        </w:rPr>
        <w:t>陕西中裕天腾项目管理有限公司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西安市殡仪馆</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陕西中裕天腾项目管理有限公司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西安市殡仪馆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陕西中裕天腾项目管理有限公司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联系人：吕前惠</w:t>
      </w:r>
    </w:p>
    <w:p>
      <w:pPr>
        <w:pStyle w:val="null3"/>
      </w:pPr>
      <w:r>
        <w:rPr>
          <w:rFonts w:ascii="仿宋_GB2312" w:hAnsi="仿宋_GB2312" w:cs="仿宋_GB2312" w:eastAsia="仿宋_GB2312"/>
        </w:rPr>
        <w:t>联系电话：18066518168</w:t>
      </w:r>
    </w:p>
    <w:p>
      <w:pPr>
        <w:pStyle w:val="null3"/>
      </w:pPr>
      <w:r>
        <w:rPr>
          <w:rFonts w:ascii="仿宋_GB2312" w:hAnsi="仿宋_GB2312" w:cs="仿宋_GB2312" w:eastAsia="仿宋_GB2312"/>
        </w:rPr>
        <w:t>地址： 陕西省西安市莲湖区高新路西部国际广场B座28楼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骨灰盒产品是现代殡仪服务过程中重要的殡葬用品，具有人文、安全、卫生等特点。西安市殡仪馆为国有殡仪服务机构，致力于为广大群众提供“业态干净、仪节简洁、办事方便、价格惠民”的殡葬公共服务。为西安市民提供质量保证、价格合理的骨灰盒，供治丧群众自主选择。现拟通过招标方式采购骨灰盒，满足群众治丧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骨灰盒采购（一包）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骨灰盒采购（二包）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骨灰盒采购（三包）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骨灰盒采购（四包）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标的名称：骨灰盒采购（一包）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94"/>
              <w:gridCol w:w="587"/>
              <w:gridCol w:w="488"/>
              <w:gridCol w:w="976"/>
              <w:gridCol w:w="297"/>
            </w:tblGrid>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58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 xml:space="preserve"> </w:t>
                  </w:r>
                </w:p>
              </w:tc>
              <w:tc>
                <w:tcPr>
                  <w:tcW w:type="dxa" w:w="4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9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 xml:space="preserve"> </w:t>
                  </w:r>
                </w:p>
              </w:tc>
              <w:tc>
                <w:tcPr>
                  <w:tcW w:type="dxa" w:w="2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名称</w:t>
                  </w:r>
                </w:p>
              </w:tc>
              <w:tc>
                <w:tcPr>
                  <w:tcW w:type="dxa" w:w="4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材质</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技术参数及性能（配置）要求</w:t>
                  </w:r>
                </w:p>
              </w:tc>
              <w:tc>
                <w:tcPr>
                  <w:tcW w:type="dxa" w:w="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最高限价（元</w:t>
                  </w:r>
                  <w:r>
                    <w:rPr>
                      <w:rFonts w:ascii="仿宋_GB2312" w:hAnsi="仿宋_GB2312" w:cs="仿宋_GB2312" w:eastAsia="仿宋_GB2312"/>
                      <w:sz w:val="20"/>
                      <w:color w:val="000000"/>
                    </w:rPr>
                    <w:t>/个）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普惠木质骨灰盒第</w:t>
                  </w:r>
                  <w:r>
                    <w:rPr>
                      <w:rFonts w:ascii="仿宋_GB2312" w:hAnsi="仿宋_GB2312" w:cs="仿宋_GB2312" w:eastAsia="仿宋_GB2312"/>
                      <w:sz w:val="20"/>
                      <w:color w:val="000000"/>
                    </w:rPr>
                    <w:t>1款</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杂木同等及以上</w:t>
                  </w:r>
                </w:p>
              </w:tc>
              <w:tc>
                <w:tcPr>
                  <w:tcW w:type="dxa" w:w="9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1、木质内容积大于2升；外部尺寸（高×宽×长）：≤23×24×33（cm）；在盒体的前部或顶部必须能安装小相片，中、高档盒内必须有软布内衬装饰。2、所有产品要求外观光洁、无裂纹、 破损等、造型精致、雕琢精细、图案美观大方，盖口接缝紧密。 3、结构应采用木榫接，木质骨灰盒榫和榫眼结合处应严实、牢固，无崩茬、 动榫、断榫等缺陷。4、油漆采用优质环保油漆或天然大漆 手工擦漆，颜色均匀，漆质饱满，无皱皮、发粘或漏漆现象。 5、所有产品符合国标 GB/T 23288-2023《木质骨灰盒通用技术条件》。</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普惠木质骨灰盒第</w:t>
                  </w:r>
                  <w:r>
                    <w:rPr>
                      <w:rFonts w:ascii="仿宋_GB2312" w:hAnsi="仿宋_GB2312" w:cs="仿宋_GB2312" w:eastAsia="仿宋_GB2312"/>
                      <w:sz w:val="20"/>
                      <w:color w:val="000000"/>
                    </w:rPr>
                    <w:t>2款</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松木同等及以上</w:t>
                  </w:r>
                </w:p>
              </w:tc>
              <w:tc>
                <w:tcPr>
                  <w:tcW w:type="dxa" w:w="976"/>
                  <w:vMerge/>
                  <w:tcBorders>
                    <w:top w:val="none" w:color="000000" w:sz="4"/>
                    <w:left w:val="none" w:color="000000" w:sz="4"/>
                    <w:bottom w:val="single" w:color="000000" w:sz="4"/>
                    <w:right w:val="single" w:color="000000" w:sz="4"/>
                  </w:tcBorders>
                </w:tcP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普惠木质骨灰盒第</w:t>
                  </w:r>
                  <w:r>
                    <w:rPr>
                      <w:rFonts w:ascii="仿宋_GB2312" w:hAnsi="仿宋_GB2312" w:cs="仿宋_GB2312" w:eastAsia="仿宋_GB2312"/>
                      <w:sz w:val="20"/>
                      <w:color w:val="000000"/>
                    </w:rPr>
                    <w:t>3款</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枫木同等及以上</w:t>
                  </w:r>
                </w:p>
              </w:tc>
              <w:tc>
                <w:tcPr>
                  <w:tcW w:type="dxa" w:w="976"/>
                  <w:vMerge/>
                  <w:tcBorders>
                    <w:top w:val="none" w:color="000000" w:sz="4"/>
                    <w:left w:val="none" w:color="000000" w:sz="4"/>
                    <w:bottom w:val="single" w:color="000000" w:sz="4"/>
                    <w:right w:val="single" w:color="000000" w:sz="4"/>
                  </w:tcBorders>
                </w:tcP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普惠木质骨灰盒第</w:t>
                  </w:r>
                  <w:r>
                    <w:rPr>
                      <w:rFonts w:ascii="仿宋_GB2312" w:hAnsi="仿宋_GB2312" w:cs="仿宋_GB2312" w:eastAsia="仿宋_GB2312"/>
                      <w:sz w:val="20"/>
                      <w:color w:val="000000"/>
                    </w:rPr>
                    <w:t>4款</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榆木同等及以上</w:t>
                  </w:r>
                </w:p>
              </w:tc>
              <w:tc>
                <w:tcPr>
                  <w:tcW w:type="dxa" w:w="976"/>
                  <w:vMerge/>
                  <w:tcBorders>
                    <w:top w:val="none" w:color="000000" w:sz="4"/>
                    <w:left w:val="none" w:color="000000" w:sz="4"/>
                    <w:bottom w:val="single" w:color="000000" w:sz="4"/>
                    <w:right w:val="single" w:color="000000" w:sz="4"/>
                  </w:tcBorders>
                </w:tcP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普惠木质骨灰盒第</w:t>
                  </w:r>
                  <w:r>
                    <w:rPr>
                      <w:rFonts w:ascii="仿宋_GB2312" w:hAnsi="仿宋_GB2312" w:cs="仿宋_GB2312" w:eastAsia="仿宋_GB2312"/>
                      <w:sz w:val="20"/>
                      <w:color w:val="000000"/>
                    </w:rPr>
                    <w:t>5款</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榉木同等及以上</w:t>
                  </w:r>
                </w:p>
              </w:tc>
              <w:tc>
                <w:tcPr>
                  <w:tcW w:type="dxa" w:w="976"/>
                  <w:vMerge/>
                  <w:tcBorders>
                    <w:top w:val="none" w:color="000000" w:sz="4"/>
                    <w:left w:val="none" w:color="000000" w:sz="4"/>
                    <w:bottom w:val="single" w:color="000000" w:sz="4"/>
                    <w:right w:val="single" w:color="000000" w:sz="4"/>
                  </w:tcBorders>
                </w:tcP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普惠木质骨灰盒第</w:t>
                  </w:r>
                  <w:r>
                    <w:rPr>
                      <w:rFonts w:ascii="仿宋_GB2312" w:hAnsi="仿宋_GB2312" w:cs="仿宋_GB2312" w:eastAsia="仿宋_GB2312"/>
                      <w:sz w:val="20"/>
                      <w:color w:val="000000"/>
                    </w:rPr>
                    <w:t>6款</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水曲柳</w:t>
                  </w:r>
                  <w:r>
                    <w:rPr>
                      <w:rFonts w:ascii="仿宋_GB2312" w:hAnsi="仿宋_GB2312" w:cs="仿宋_GB2312" w:eastAsia="仿宋_GB2312"/>
                      <w:sz w:val="20"/>
                      <w:color w:val="000000"/>
                    </w:rPr>
                    <w:t>同等及以上</w:t>
                  </w:r>
                </w:p>
              </w:tc>
              <w:tc>
                <w:tcPr>
                  <w:tcW w:type="dxa" w:w="976"/>
                  <w:vMerge/>
                  <w:tcBorders>
                    <w:top w:val="none" w:color="000000" w:sz="4"/>
                    <w:left w:val="none" w:color="000000" w:sz="4"/>
                    <w:bottom w:val="single" w:color="000000" w:sz="4"/>
                    <w:right w:val="single" w:color="000000" w:sz="4"/>
                  </w:tcBorders>
                </w:tcP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c>
                <w:tcPr>
                  <w:tcW w:type="dxa" w:w="234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供应商必须在投标文件中附上所投产品相应款式的彩色图片，并在彩色图片下方注明货物的类别及款式，否则在评审中造成的一切不利后果，由供应商自负。</w:t>
                  </w:r>
                </w:p>
                <w:p>
                  <w:pPr>
                    <w:pStyle w:val="null3"/>
                    <w:jc w:val="left"/>
                  </w:pPr>
                  <w:r>
                    <w:rPr>
                      <w:rFonts w:ascii="仿宋_GB2312" w:hAnsi="仿宋_GB2312" w:cs="仿宋_GB2312" w:eastAsia="仿宋_GB2312"/>
                    </w:rPr>
                    <w:t xml:space="preserve"> </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58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9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标的名称：骨灰盒采购（二包）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94"/>
              <w:gridCol w:w="587"/>
              <w:gridCol w:w="488"/>
              <w:gridCol w:w="976"/>
              <w:gridCol w:w="297"/>
            </w:tblGrid>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58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 xml:space="preserve"> </w:t>
                  </w:r>
                </w:p>
              </w:tc>
              <w:tc>
                <w:tcPr>
                  <w:tcW w:type="dxa" w:w="4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9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名称</w:t>
                  </w:r>
                </w:p>
              </w:tc>
              <w:tc>
                <w:tcPr>
                  <w:tcW w:type="dxa" w:w="4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材质</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技术参数及性能（配置）要求</w:t>
                  </w:r>
                </w:p>
              </w:tc>
              <w:tc>
                <w:tcPr>
                  <w:tcW w:type="dxa" w:w="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最高限价（元</w:t>
                  </w:r>
                  <w:r>
                    <w:rPr>
                      <w:rFonts w:ascii="仿宋_GB2312" w:hAnsi="仿宋_GB2312" w:cs="仿宋_GB2312" w:eastAsia="仿宋_GB2312"/>
                      <w:sz w:val="20"/>
                      <w:color w:val="000000"/>
                    </w:rPr>
                    <w:t>/个）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优质木质骨灰盒第</w:t>
                  </w:r>
                  <w:r>
                    <w:rPr>
                      <w:rFonts w:ascii="仿宋_GB2312" w:hAnsi="仿宋_GB2312" w:cs="仿宋_GB2312" w:eastAsia="仿宋_GB2312"/>
                      <w:sz w:val="20"/>
                      <w:color w:val="000000"/>
                    </w:rPr>
                    <w:t>1款</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樟木同等及以上</w:t>
                  </w:r>
                </w:p>
              </w:tc>
              <w:tc>
                <w:tcPr>
                  <w:tcW w:type="dxa" w:w="9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1、木质内容积大于2升；外部尺寸（高×宽×长）：≤23×24×33（cm）；在盒体的前部或顶部必须能安装小相片，中、高档盒内必须有软布内衬装饰。2、所有产品要求外观光洁、无裂纹、 破损等、造型精致、雕琢精细、图案美观大方，盖口接缝紧密。 3、结构应采用木榫接，木质骨灰盒榫和榫眼结合处应严实、牢固，无崩茬、 动榫、断榫等缺陷。4、油漆采用优质环保油漆或天然大漆 手工擦漆，颜色均匀，漆质饱满，无皱皮、发粘或漏漆现象。 5、所有产品符合国标 GB/T 23288-2023《木质骨灰盒通用技术条件》。</w:t>
                  </w:r>
                </w:p>
              </w:tc>
              <w:tc>
                <w:tcPr>
                  <w:tcW w:type="dxa" w:w="29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优质木质骨灰盒第</w:t>
                  </w:r>
                  <w:r>
                    <w:rPr>
                      <w:rFonts w:ascii="仿宋_GB2312" w:hAnsi="仿宋_GB2312" w:cs="仿宋_GB2312" w:eastAsia="仿宋_GB2312"/>
                      <w:sz w:val="20"/>
                      <w:color w:val="000000"/>
                    </w:rPr>
                    <w:t>2款</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乌金木同等及以上</w:t>
                  </w:r>
                </w:p>
              </w:tc>
              <w:tc>
                <w:tcPr>
                  <w:tcW w:type="dxa" w:w="976"/>
                  <w:vMerge/>
                  <w:tcBorders>
                    <w:top w:val="none" w:color="000000" w:sz="4"/>
                    <w:left w:val="none" w:color="000000" w:sz="4"/>
                    <w:bottom w:val="single" w:color="000000" w:sz="4"/>
                    <w:right w:val="single" w:color="000000" w:sz="4"/>
                  </w:tcBorders>
                </w:tcPr>
                <w:p/>
              </w:tc>
              <w:tc>
                <w:tcPr>
                  <w:tcW w:type="dxa" w:w="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优质木质骨灰盒第</w:t>
                  </w:r>
                  <w:r>
                    <w:rPr>
                      <w:rFonts w:ascii="仿宋_GB2312" w:hAnsi="仿宋_GB2312" w:cs="仿宋_GB2312" w:eastAsia="仿宋_GB2312"/>
                      <w:sz w:val="20"/>
                      <w:color w:val="000000"/>
                    </w:rPr>
                    <w:t>3款</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胡桃木同等及以上</w:t>
                  </w:r>
                </w:p>
              </w:tc>
              <w:tc>
                <w:tcPr>
                  <w:tcW w:type="dxa" w:w="976"/>
                  <w:vMerge/>
                  <w:tcBorders>
                    <w:top w:val="none" w:color="000000" w:sz="4"/>
                    <w:left w:val="none" w:color="000000" w:sz="4"/>
                    <w:bottom w:val="single" w:color="000000" w:sz="4"/>
                    <w:right w:val="single" w:color="000000" w:sz="4"/>
                  </w:tcBorders>
                </w:tcP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优质木质骨灰盒第</w:t>
                  </w:r>
                  <w:r>
                    <w:rPr>
                      <w:rFonts w:ascii="仿宋_GB2312" w:hAnsi="仿宋_GB2312" w:cs="仿宋_GB2312" w:eastAsia="仿宋_GB2312"/>
                      <w:sz w:val="20"/>
                      <w:color w:val="000000"/>
                    </w:rPr>
                    <w:t>4款</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鸡翅木同等及以上</w:t>
                  </w:r>
                </w:p>
              </w:tc>
              <w:tc>
                <w:tcPr>
                  <w:tcW w:type="dxa" w:w="976"/>
                  <w:vMerge/>
                  <w:tcBorders>
                    <w:top w:val="none" w:color="000000" w:sz="4"/>
                    <w:left w:val="none" w:color="000000" w:sz="4"/>
                    <w:bottom w:val="single" w:color="000000" w:sz="4"/>
                    <w:right w:val="single" w:color="000000" w:sz="4"/>
                  </w:tcBorders>
                </w:tcP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优质木质骨灰盒第</w:t>
                  </w:r>
                  <w:r>
                    <w:rPr>
                      <w:rFonts w:ascii="仿宋_GB2312" w:hAnsi="仿宋_GB2312" w:cs="仿宋_GB2312" w:eastAsia="仿宋_GB2312"/>
                      <w:sz w:val="20"/>
                      <w:color w:val="000000"/>
                    </w:rPr>
                    <w:t>5款</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印茄木同等及以上</w:t>
                  </w:r>
                </w:p>
              </w:tc>
              <w:tc>
                <w:tcPr>
                  <w:tcW w:type="dxa" w:w="976"/>
                  <w:vMerge/>
                  <w:tcBorders>
                    <w:top w:val="none" w:color="000000" w:sz="4"/>
                    <w:left w:val="none" w:color="000000" w:sz="4"/>
                    <w:bottom w:val="single" w:color="000000" w:sz="4"/>
                    <w:right w:val="single" w:color="000000" w:sz="4"/>
                  </w:tcBorders>
                </w:tcP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c>
                <w:tcPr>
                  <w:tcW w:type="dxa" w:w="234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0"/>
                      <w:color w:val="000000"/>
                    </w:rPr>
                    <w:t>供应商必须在投标文件中附上所投产品相应款式的彩色图片，并在彩色图片下方注明货物的类别及款式，否则在评审中造成的一切不利后果，由供应商自负。</w:t>
                  </w:r>
                </w:p>
                <w:p>
                  <w:pPr>
                    <w:pStyle w:val="null3"/>
                    <w:jc w:val="left"/>
                  </w:pPr>
                  <w:r>
                    <w:rPr>
                      <w:rFonts w:ascii="仿宋_GB2312" w:hAnsi="仿宋_GB2312" w:cs="仿宋_GB2312" w:eastAsia="仿宋_GB2312"/>
                    </w:rPr>
                    <w:t xml:space="preserve"> </w:t>
                  </w:r>
                </w:p>
              </w:tc>
            </w:tr>
          </w:tbl>
          <w:p>
            <w:pPr>
              <w:pStyle w:val="null3"/>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标的名称：骨灰盒采购（三包）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94"/>
              <w:gridCol w:w="587"/>
              <w:gridCol w:w="488"/>
              <w:gridCol w:w="976"/>
              <w:gridCol w:w="297"/>
            </w:tblGrid>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58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 xml:space="preserve"> </w:t>
                  </w:r>
                </w:p>
              </w:tc>
              <w:tc>
                <w:tcPr>
                  <w:tcW w:type="dxa" w:w="4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9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名称</w:t>
                  </w:r>
                </w:p>
              </w:tc>
              <w:tc>
                <w:tcPr>
                  <w:tcW w:type="dxa" w:w="4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材质</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技术参数及性能（配置）要求</w:t>
                  </w:r>
                </w:p>
              </w:tc>
              <w:tc>
                <w:tcPr>
                  <w:tcW w:type="dxa" w:w="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最高限价（元</w:t>
                  </w:r>
                  <w:r>
                    <w:rPr>
                      <w:rFonts w:ascii="仿宋_GB2312" w:hAnsi="仿宋_GB2312" w:cs="仿宋_GB2312" w:eastAsia="仿宋_GB2312"/>
                      <w:sz w:val="20"/>
                      <w:color w:val="000000"/>
                    </w:rPr>
                    <w:t>/个）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特品木质骨灰盒第</w:t>
                  </w:r>
                  <w:r>
                    <w:rPr>
                      <w:rFonts w:ascii="仿宋_GB2312" w:hAnsi="仿宋_GB2312" w:cs="仿宋_GB2312" w:eastAsia="仿宋_GB2312"/>
                      <w:sz w:val="20"/>
                      <w:color w:val="000000"/>
                    </w:rPr>
                    <w:t>1款</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风车木同等及以上</w:t>
                  </w:r>
                </w:p>
              </w:tc>
              <w:tc>
                <w:tcPr>
                  <w:tcW w:type="dxa" w:w="9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1、木质内容积大于2升；外部尺寸（高×宽×长）：≤23×24×33（cm）；在盒体的前部或顶部必须能安装小相片，中、高档盒内必须有软布内衬装饰。2、所有产品要求外观光洁、无裂纹、 破损等、造型精致、雕琢精细、图案美观大方，盖口接缝紧密。 3、结构应采用木榫接，木质骨灰盒榫和榫眼结合处应严实、牢固，无崩茬、 动榫、断榫等缺陷。4、油漆采用优质环保油漆或天然大漆 手工擦漆，颜色均匀，漆质饱满，无皱皮、发粘或漏漆现象。 5、所有产品符合国标 GB/T 23288-2023《木质骨灰盒通用技术条件》。</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特品木质骨灰盒第</w:t>
                  </w:r>
                  <w:r>
                    <w:rPr>
                      <w:rFonts w:ascii="仿宋_GB2312" w:hAnsi="仿宋_GB2312" w:cs="仿宋_GB2312" w:eastAsia="仿宋_GB2312"/>
                      <w:sz w:val="20"/>
                      <w:color w:val="000000"/>
                    </w:rPr>
                    <w:t>2款</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楠木同等及以上</w:t>
                  </w:r>
                </w:p>
              </w:tc>
              <w:tc>
                <w:tcPr>
                  <w:tcW w:type="dxa" w:w="976"/>
                  <w:vMerge/>
                  <w:tcBorders>
                    <w:top w:val="none" w:color="000000" w:sz="4"/>
                    <w:left w:val="none" w:color="000000" w:sz="4"/>
                    <w:bottom w:val="single" w:color="000000" w:sz="4"/>
                    <w:right w:val="single" w:color="000000" w:sz="4"/>
                  </w:tcBorders>
                </w:tcP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特品木质骨灰盒第</w:t>
                  </w:r>
                  <w:r>
                    <w:rPr>
                      <w:rFonts w:ascii="仿宋_GB2312" w:hAnsi="仿宋_GB2312" w:cs="仿宋_GB2312" w:eastAsia="仿宋_GB2312"/>
                      <w:sz w:val="20"/>
                      <w:color w:val="000000"/>
                    </w:rPr>
                    <w:t>3款</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红酸枝同等及以上</w:t>
                  </w:r>
                </w:p>
              </w:tc>
              <w:tc>
                <w:tcPr>
                  <w:tcW w:type="dxa" w:w="976"/>
                  <w:vMerge/>
                  <w:tcBorders>
                    <w:top w:val="none" w:color="000000" w:sz="4"/>
                    <w:left w:val="none" w:color="000000" w:sz="4"/>
                    <w:bottom w:val="single" w:color="000000" w:sz="4"/>
                    <w:right w:val="single" w:color="000000" w:sz="4"/>
                  </w:tcBorders>
                </w:tcP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特品木质骨灰盒第</w:t>
                  </w:r>
                  <w:r>
                    <w:rPr>
                      <w:rFonts w:ascii="仿宋_GB2312" w:hAnsi="仿宋_GB2312" w:cs="仿宋_GB2312" w:eastAsia="仿宋_GB2312"/>
                      <w:sz w:val="20"/>
                      <w:color w:val="000000"/>
                    </w:rPr>
                    <w:t>4款</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黑紫檀同等及以上</w:t>
                  </w:r>
                </w:p>
              </w:tc>
              <w:tc>
                <w:tcPr>
                  <w:tcW w:type="dxa" w:w="976"/>
                  <w:vMerge/>
                  <w:tcBorders>
                    <w:top w:val="none" w:color="000000" w:sz="4"/>
                    <w:left w:val="none" w:color="000000" w:sz="4"/>
                    <w:bottom w:val="single" w:color="000000" w:sz="4"/>
                    <w:right w:val="single" w:color="000000" w:sz="4"/>
                  </w:tcBorders>
                </w:tcP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c>
                <w:tcPr>
                  <w:tcW w:type="dxa" w:w="234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0"/>
                      <w:color w:val="000000"/>
                    </w:rPr>
                    <w:t>供应商必须在投标文件中附上所投产品相应款式的彩色图片，并在彩色图片下方注明货物的类别及款式，否则在评审中造成的一切不利后果，由供应商自负。</w:t>
                  </w:r>
                </w:p>
                <w:p>
                  <w:pPr>
                    <w:pStyle w:val="null3"/>
                    <w:jc w:val="left"/>
                  </w:pPr>
                  <w:r>
                    <w:rPr>
                      <w:rFonts w:ascii="仿宋_GB2312" w:hAnsi="仿宋_GB2312" w:cs="仿宋_GB2312" w:eastAsia="仿宋_GB2312"/>
                    </w:rPr>
                    <w:t xml:space="preserve"> </w:t>
                  </w:r>
                </w:p>
              </w:tc>
            </w:tr>
          </w:tbl>
          <w:p>
            <w:pPr>
              <w:pStyle w:val="null3"/>
            </w:pP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标的名称：骨灰盒采购（四包）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94"/>
              <w:gridCol w:w="587"/>
              <w:gridCol w:w="488"/>
              <w:gridCol w:w="976"/>
              <w:gridCol w:w="297"/>
            </w:tblGrid>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58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 xml:space="preserve"> </w:t>
                  </w:r>
                </w:p>
              </w:tc>
              <w:tc>
                <w:tcPr>
                  <w:tcW w:type="dxa" w:w="4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9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名称</w:t>
                  </w:r>
                </w:p>
              </w:tc>
              <w:tc>
                <w:tcPr>
                  <w:tcW w:type="dxa" w:w="4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材质</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技术参数及性能（配置）要求</w:t>
                  </w:r>
                </w:p>
              </w:tc>
              <w:tc>
                <w:tcPr>
                  <w:tcW w:type="dxa" w:w="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最高限价（元</w:t>
                  </w:r>
                  <w:r>
                    <w:rPr>
                      <w:rFonts w:ascii="仿宋_GB2312" w:hAnsi="仿宋_GB2312" w:cs="仿宋_GB2312" w:eastAsia="仿宋_GB2312"/>
                      <w:sz w:val="20"/>
                      <w:color w:val="000000"/>
                    </w:rPr>
                    <w:t>/个）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精品木质骨灰盒第</w:t>
                  </w:r>
                  <w:r>
                    <w:rPr>
                      <w:rFonts w:ascii="仿宋_GB2312" w:hAnsi="仿宋_GB2312" w:cs="仿宋_GB2312" w:eastAsia="仿宋_GB2312"/>
                      <w:sz w:val="20"/>
                      <w:color w:val="000000"/>
                    </w:rPr>
                    <w:t>1款</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金丝楠木同等及以上</w:t>
                  </w:r>
                </w:p>
              </w:tc>
              <w:tc>
                <w:tcPr>
                  <w:tcW w:type="dxa" w:w="9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1、木质内容积大于2升；外部尺寸（高×宽×长）：≤23×24×33（cm）；在盒体的前部或顶部必须能安装小相片，中、高档盒内必须有软布内衬装饰。2、所有产品要求外观光洁、无裂纹、 破损等、造型精致、雕琢精细、图案美观大方，盖口接缝紧密。 3、结构应采用木榫接，木质骨灰盒榫和榫眼结合处应严实、牢固，无崩茬、 动榫、断榫等缺陷。4、油漆采用优质环保油漆或天然大漆 手工擦漆，颜色均匀，漆质饱满，无皱皮、发粘或漏漆现象。 5、所有产品符合国标 GB/T 23288-2023《木质骨灰盒通用技术条件》。</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精品木质骨灰盒第</w:t>
                  </w:r>
                  <w:r>
                    <w:rPr>
                      <w:rFonts w:ascii="仿宋_GB2312" w:hAnsi="仿宋_GB2312" w:cs="仿宋_GB2312" w:eastAsia="仿宋_GB2312"/>
                      <w:sz w:val="20"/>
                      <w:color w:val="000000"/>
                    </w:rPr>
                    <w:t>2款</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沉香木同等及以上</w:t>
                  </w:r>
                </w:p>
              </w:tc>
              <w:tc>
                <w:tcPr>
                  <w:tcW w:type="dxa" w:w="976"/>
                  <w:vMerge/>
                  <w:tcBorders>
                    <w:top w:val="none" w:color="000000" w:sz="4"/>
                    <w:left w:val="none" w:color="000000" w:sz="4"/>
                    <w:bottom w:val="single" w:color="000000" w:sz="4"/>
                    <w:right w:val="single" w:color="000000" w:sz="4"/>
                  </w:tcBorders>
                </w:tcP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精品木质骨灰盒第</w:t>
                  </w:r>
                  <w:r>
                    <w:rPr>
                      <w:rFonts w:ascii="仿宋_GB2312" w:hAnsi="仿宋_GB2312" w:cs="仿宋_GB2312" w:eastAsia="仿宋_GB2312"/>
                      <w:sz w:val="20"/>
                      <w:color w:val="000000"/>
                    </w:rPr>
                    <w:t>3款</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小叶紫檀同等及以上</w:t>
                  </w:r>
                </w:p>
              </w:tc>
              <w:tc>
                <w:tcPr>
                  <w:tcW w:type="dxa" w:w="976"/>
                  <w:vMerge/>
                  <w:tcBorders>
                    <w:top w:val="none" w:color="000000" w:sz="4"/>
                    <w:left w:val="none" w:color="000000" w:sz="4"/>
                    <w:bottom w:val="single" w:color="000000" w:sz="4"/>
                    <w:right w:val="single" w:color="000000" w:sz="4"/>
                  </w:tcBorders>
                </w:tcP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c>
                <w:tcPr>
                  <w:tcW w:type="dxa" w:w="234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供应商必须在投标文件中附上所投产品相应款式的彩色图片，并在彩色图片下方注明货物的类别及款式，否则在评审中造成的一切不利后果，由供应商自负。</w:t>
                  </w:r>
                </w:p>
              </w:tc>
            </w:tr>
          </w:tbl>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1、供货周期：壹年或累计结算金额达到采购预算，以先到达者为准。2、交货期：根据采购人需求中标供应商需在接到采购人要货通知后5日内完成供货。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1、供货周期：壹年或累计结算金额达到采购预算，以先到达者为准。2、交货期：根据采购人需求中标供应商需在接到采购人要货通知后5日内完成供货。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1、供货周期：壹年或累计结算金额达到采购预算，以先到达者为准。2、交货期：根据采购人需求中标供应商需在接到采购人要货通知后5日内完成供货。</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1、供货周期：壹年或累计结算金额达到采购预算，以先到达者为准。2、交货期：根据采购人需求中标供应商需在接到采购人要货通知后5日内完成供货。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合同签订后按月结算，货款实际结算金额按实际销售数量×中标成交单价，成交单价在供货服务期限内不可改变。验收合格后，供应商持中标通知书、供货合同、发票、政府采购项目验收单，与采购人进行结算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合同签订后按月结算，货款实际结算金额按实际销售数量×中标成交单价，成交单价在供货服务期限内不可改变。验收合格后，供应商持中标通知书、供货合同、发票、政府采购项目验收单，与采购人进行结算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合同签订后按月结算，货款实际结算金额按实际销售数量×中标成交单价，成交单价在供货服务期限内不可改变。验收合格后，供应商持中标通知书、供货合同、发票、政府采购项目验收单，与采购人进行结算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合同签订后按月结算，货款实际结算金额按实际销售数量×中标成交单价，成交单价在供货服务期限内不可改变。验收合格后，供应商持中标通知书、供货合同、发票、政府采购项目验收单，与采购人进行结算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采购人指定地点后，采购人根据合同要求，进行验收，确认产地、规格和数量。必要时委托具有相关资质的第三方检测机构或邀请行业内专家对货物外观质量等进行抽样检验，检验费用由中标供应商承担。 2、验收按国家有关的规定、规范结合本项目的各项要求和投标人提供的样品进行。如在验收时发现所提供的货物有损坏和不符合本项目要求的或与样品发生偏离的情形的，由参与验收的工作人员作出详尽的现场记录并由相关工作人员和中标方经办人双方签署备案。 3、对于不符合要求的货物，采购人有权拒绝进场并要求中标人予以更换，由此产生的有关费用由相关的中标人承担。 4、如发生货物不符合要求需要更换相关货物的情况，有关的中标人应在24小时内完成换货工作，所更换的货物应是符合要求产品。如因更换不及时或更换的货物再次出质量问题从而给采购人的管理服务工作带来不良影响的，采购人有权依照本项目的有关规定对中标人进行处理。 5、如因货物的质量、品种样式、用材、技术指标、工艺等问题发生争议的，由质量技术鉴定部门进行鉴定，如经鉴定货物符合要求的，鉴定费由采购人承担；否则鉴定费由中标人承担。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货物到达采购人指定地点后，采购人根据合同要求，进行验收，确认产地、规格和数量。必要时委托具有相关资质的第三方检测机构或邀请行业内专家对货物外观质量等进行抽样检验，检验费用由中标供应商承担。 2、验收按国家有关的规定、规范结合本项目的各项要求和投标人提供的样品进行。如在验收时发现所提供的货物有损坏和不符合本项目要求的或与样品发生偏离的情形的，由参与验收的工作人员作出详尽的现场记录并由相关工作人员和中标方经办人双方签署备案。 3、对于不符合要求的货物，采购人有权拒绝进场并要求中标人予以更换，由此产生的有关费用由相关的中标人承担。 4、如发生货物不符合要求需要更换相关货物的情况，有关的中标人应在24小时内完成换货工作，所更换的货物应是符合要求产品。如因更换不及时或更换的货物再次出质量问题从而给采购人的管理服务工作带来不良影响的，采购人有权依照本项目的有关规定对中标人进行处理。 5、如因货物的质量、品种样式、用材、技术指标、工艺等问题发生争议的，由质量技术鉴定部门进行鉴定，如经鉴定货物符合要求的，鉴定费由采购人承担；否则鉴定费由中标人承担。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货物到达采购人指定地点后，采购人根据合同要求，进行验收，确认产地、规格和数量。必要时委托具有相关资质的第三方检测机构或邀请行业内专家对货物外观质量等进行抽样检验，检验费用由中标供应商承担。 2、验收按国家有关的规定、规范结合本项目的各项要求和投标人提供的样品进行。如在验收时发现所提供的货物有损坏和不符合本项目要求的或与样品发生偏离的情形的，由参与验收的工作人员作出详尽的现场记录并由相关工作人员和中标方经办人双方签署备案。 3、对于不符合要求的货物，采购人有权拒绝进场并要求中标人予以更换，由此产生的有关费用由相关的中标人承担。 4、如发生货物不符合要求需要更换相关货物的情况，有关的中标人应在24小时内完成换货工作，所更换的货物应是符合要求产品。如因更换不及时或更换的货物再次出质量问题从而给采购人的管理服务工作带来不良影响的，采购人有权依照本项目的有关规定对中标人进行处理。 5、如因货物的质量、品种样式、用材、技术指标、工艺等问题发生争议的，由质量技术鉴定部门进行鉴定，如经鉴定货物符合要求的，鉴定费由采购人承担；否则鉴定费由中标人承担。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货物到达采购人指定地点后，采购人根据合同要求，进行验收，确认产地、规格和数量。必要时委托具有相关资质的第三方检测机构或邀请行业内专家对货物外观质量等进行抽样检验，检验费用由中标供应商承担。 2、验收按国家有关的规定、规范结合本项目的各项要求和投标人提供的样品进行。如在验收时发现所提供的货物有损坏和不符合本项目要求的或与样品发生偏离的情形的，由参与验收的工作人员作出详尽的现场记录并由相关工作人员和中标方经办人双方签署备案。 3、对于不符合要求的货物，采购人有权拒绝进场并要求中标人予以更换，由此产生的有关费用由相关的中标人承担。 4、如发生货物不符合要求需要更换相关货物的情况，有关的中标人应在24小时内完成换货工作，所更换的货物应是符合要求产品。如因更换不及时或更换的货物再次出质量问题从而给采购人的管理服务工作带来不良影响的，采购人有权依照本项目的有关规定对中标人进行处理。 5、如因货物的质量、品种样式、用材、技术指标、工艺等问题发生争议的，由质量技术鉴定部门进行鉴定，如经鉴定货物符合要求的，鉴定费由采购人承担；否则鉴定费由中标人承担。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产品均应按标准保护措施进行包装，这类包装应适应于远距离运输、防潮、防震、防锈和防野蛮装卸，以确保货物安全无损运抵指定现场。均应有良好的防湿、防潮、防雨、防腐及防碰撞等安全措施，凡因包装不良造成的损失由中标人承担； 2、外包装采用硬纸板或者泡沫箱，表面平整，不松动，承压力大，能码放4层或以上，每个货物均采用独立包装，并在表面贴签标注产品品名，外包装印刷上产品品名（或用贴签标注）须与包装内的货物一致。 3、运输：运输由中标供应商负责，运杂费已包含在合同总价内，包括从货物供应地点运送至交货地点所含的运输费、装卸费、仓储费、安装费、保险费等。运输方式由中标供应商自行选择，但必须保证按期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产品均应按标准保护措施进行包装，这类包装应适应于远距离运输、防潮、防震、防锈和防野蛮装卸，以确保货物安全无损运抵指定现场。均应有良好的防湿、防潮、防雨、防腐及防碰撞等安全措施，凡因包装不良造成的损失由中标人承担； 2、外包装采用硬纸板或者泡沫箱，表面平整，不松动，承压力大，能码放4层或以上，每个货物均采用独立包装，并在表面贴签标注产品品名，外包装印刷上产品品名（或用贴签标注）须与包装内的货物一致。 3、运输：运输由中标供应商负责，运杂费已包含在合同总价内，包括从货物供应地点运送至交货地点所含的运输费、装卸费、仓储费、安装费、保险费等。运输方式由中标供应商自行选择，但必须保证按期交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包装：产品均应按标准保护措施进行包装，这类包装应适应于远距离运输、防潮、防震、防锈和防野蛮装卸，以确保货物安全无损运抵指定现场。均应有良好的防湿、防潮、防雨、防腐及防碰撞等安全措施，凡因包装不良造成的损失由中标人承担； 2、外包装采用硬纸板或者泡沫箱，表面平整，不松动，承压力大，能码放4层或以上，每个货物均采用独立包装，并在表面贴签标注产品品名，外包装印刷上产品品名（或用贴签标注）须与包装内的货物一致。 3、运输：运输由中标供应商负责，运杂费已包含在合同总价内，包括从货物供应地点运送至交货地点所含的运输费、装卸费、仓储费、安装费、保险费等。运输方式由中标供应商自行选择，但必须保证按期交货。</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包装：产品均应按标准保护措施进行包装，这类包装应适应于远距离运输、防潮、防震、防锈和防野蛮装卸，以确保货物安全无损运抵指定现场。均应有良好的防湿、防潮、防雨、防腐及防碰撞等安全措施，凡因包装不良造成的损失由中标人承担； 2、外包装采用硬纸板或者泡沫箱，表面平整，不松动，承压力大，能码放4层或以上，每个货物均采用独立包装，并在表面贴签标注产品品名，外包装印刷上产品品名（或用贴签标注）须与包装内的货物一致。 3、运输：运输由中标供应商负责，运杂费已包含在合同总价内，包括从货物供应地点运送至交货地点所含的运输费、装卸费、仓储费、安装费、保险费等。运输方式由中标供应商自行选择，但必须保证按期交货。</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1、质保期:质保期二年，保修期内免费上门维修，非人为原因导致的质量问题，需反时免费更换。 2、在质保期内，所有非故意性损坏以及在所要求的质量标准范围内的其他可能因正常使用造成的损坏均要免费维修或更换，产品必须符合国家相关法律法规以及相关标准的要求； 3、在合同期内，中标人可针对同规格、型号、同材质的货物，使用便于区分、有特色的详细名称供货，但需列明对应的招标时所用的货物类别（商品名称在投标文件、合同、验货单、销售单等不同文件中的表述应当一致），且按投标时所报价格结算，不得以人工、材料成本上升原因，对供货价格上调。 4、如果中标人的产品存在质量问题，采购人可暂停代销该品种产品，要求中标人及时整改。如果整改3次仍不能满足质量要求，则采购人有权停止代销该品种产品。如果中标人的产品滞销，连续3个月销售记录为零，则采购人有权停止代销该品种产品。 5、售后响应：中标人在接到用户售后电话后4小时内响应，24小时内到达现场解决，并免费更换有缺陷的货物，或提供合理的应对方案； 6、中标人必须满足采购方临时特殊规格产品的需求，并及时供货，供货价格双方协商。 7、中标方有义务按招标方的要求进行产品规格和款式的修改。 8、中标方必须根据采购人的业务销售需求保证供货量。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1、质保期:质保期二年，保修期内免费上门维修，非人为原因导致的质量问题，需反时免费更换。 2、在质保期内，所有非故意性损坏以及在所要求的质量标准范围内的其他可能因正常使用造成的损坏均要免费维修或更换，产品必须符合国家相关法律法规以及相关标准的要求； 3、在合同期内，中标人可针对同规格、型号、同材质的货物，使用便于区分、有特色的详细名称供货，但需列明对应的招标时所用的货物类别（商品名称在投标文件、合同、验货单、销售单等不同文件中的表述应当一致），且按投标时所报价格结算，不得以人工、材料成本上升原因，对供货价格上调。 4、如果中标人的产品存在质量问题，采购人可暂停代销该品种产品，要求中标人及时整改。如果整改3次仍不能满足质量要求，则采购人有权停止代销该品种产品。如果中标人的产品滞销，连续3个月销售记录为零，则采购人有权停止代销该品种产品。 5、售后响应：中标人在接到用户售后电话后4小时内响应，24小时内到达现场解决，并免费更换有缺陷的货物，或提供合理的应对方案； 6、中标人必须满足采购方临时特殊规格产品的需求，并及时供货，供货价格双方协商。 7、中标方有义务按招标方的要求进行产品规格和款式的修改。 8、中标方必须根据采购人的业务销售需求保证供货量。</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1、质保期:质保期二年，保修期内免费上门维修，非人为原因导致的质量问题，需反时免费更换。 2、在质保期内，所有非故意性损坏以及在所要求的质量标准范围内的其他可能因正常使用造成的损坏均要免费维修或更换，产品必须符合国家相关法律法规以及相关标准的要求； 3、在合同期内，中标人可针对同规格、型号、同材质的货物，使用便于区分、有特色的详细名称供货，但需列明对应的招标时所用的货物类别（商品名称在投标文件、合同、验货单、销售单等不同文件中的表述应当一致），且按投标时所报价格结算，不得以人工、材料成本上升原因，对供货价格上调。 4、如果中标人的产品存在质量问题，采购人可暂停代销该品种产品，要求中标人及时整改。如果整改3次仍不能满足质量要求，则采购人有权停止代销该品种产品。如果中标人的产品滞销，连续3个月销售记录为零，则采购人有权停止代销该品种产品。 5、售后响应：中标人在接到用户售后电话后4小时内响应，24小时内到达现场解决，并免费更换有缺陷的货物，或提供合理的应对方案； 6、中标人必须满足采购方临时特殊规格产品的需求，并及时供货，供货价格双方协商。 7、中标方有义务按招标方的要求进行产品规格和款式的修改。 8、中标方必须根据采购人的业务销售需求保证供货量。</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1、质保期:质保期二年，保修期内免费上门维修，非人为原因导致的质量问题，需反时免费更换。 2、在质保期内，所有非故意性损坏以及在所要求的质量标准范围内的其他可能因正常使用造成的损坏均要免费维修或更换，产品必须符合国家相关法律法规以及相关标准的要求； 3、在合同期内，中标人可针对同规格、型号、同材质的货物，使用便于区分、有特色的详细名称供货，但需列明对应的招标时所用的货物类别（商品名称在投标文件、合同、验货单、销售单等不同文件中的表述应当一致），且按投标时所报价格结算，不得以人工、材料成本上升原因，对供货价格上调。 4、如果中标人的产品存在质量问题，采购人可暂停代销该品种产品，要求中标人及时整改。如果整改3次仍不能满足质量要求，则采购人有权停止代销该品种产品。如果中标人的产品滞销，连续3个月销售记录为零，则采购人有权停止代销该品种产品。 5、售后响应：中标人在接到用户售后电话后4小时内响应，24小时内到达现场解决，并免费更换有缺陷的货物，或提供合理的应对方案； 6、中标人必须满足采购方临时特殊规格产品的需求，并及时供货，供货价格双方协商。 7、中标方有义务按招标方的要求进行产品规格和款式的修改。 8、中标方必须根据采购人的业务销售需求保证供货量。</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合同履行过程中发生的一切争议，双方应本着友好协商的原则予以协商解决；协商不成或不愿协商解决的，采取以下第 1 种方式解决： 1、依法向甲方所在地有管辖权的人民法院提起诉讼： 2、提请西安仲裁委员会申请仲裁。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合同履行过程中发生的一切争议，双方应本着友好协商的原则予以协商解决；协商不成或不愿协商解决的，采取以下第 1 种方式解决： 1、依法向甲方所在地有管辖权的人民法院提起诉讼： 2、提请西安仲裁委员会申请仲裁。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合同履行过程中发生的一切争议，双方应本着友好协商的原则予以协商解决；协商不成或不愿协商解决的，采取以下第 1 种方式解决： 1、依法向甲方所在地有管辖权的人民法院提起诉讼： 2、提请西安仲裁委员会申请仲裁。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合同履行过程中发生的一切争议，双方应本着友好协商的原则予以协商解决；协商不成或不愿协商解决的，采取以下第 1 种方式解决： 1、依法向甲方所在地有管辖权的人民法院提起诉讼： 2、提请西安仲裁委员会申请仲裁。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1、技术要求：①、所提供的产品是全新、完整、未使用过的，要求外观光洁、无裂纹、破损等，造型精致、雕琢精细、图案美观大方，盖口及盒体底部平整、盖口接缝紧密。 ②、提供产品有符合国家标准以及本产品的出厂标准的质量检验证明。 ③、所有产品需要提供质量“三包”卡，《产品说明书》内容包括彩色图片、材质、规格、寓意、报价、产品工艺（木材防虫、防变形处理），材质鉴定报告，质量监督检验机构出具的产品合格检验报告。 2、服务要求 （一）各品类货物供货要求： ①、所提供的各类货物均应为无污染、表面无划损、无任何缺陷、隐患并符合各品类货物的各项要求（包括但不限于品种样式、用材、技术指标、工艺、质量等）的产品。 ②、本项目原则上由中标人根据相关品种货物的现场存量自行组织供货。如是属于采购人下达送货任务的，相关的中标人应在接到采购人的送（交）货通知后5日内将采购人要求的货物按质、按样、足额交付至指定的地点。 ③、服从采购人属下工作人员的指挥，在货物交付时，必须按照要求进行叠放并配合采购人做好质量验收和货物进场登记工作。 ④、在本项目执行过程中，采购人可根据社会需求的变动情况对目前的货物样式进行调整或要求中标人开发与本项目所列货物规格、功能相似的产品，各中标人对此应无偿、无条件予以配合，同时各中标人不能以任何借口要求采购人调增相关货物的单价。 ⑤、在本项目执行过程中，采购人可根据业务需要，要求中标人提供其它投标时未进行报价的产品，相关产品的供货价可在不违反国家相关法律、法规的前提下进行商议。 （二）各品类产品存放要求： ①、本项目所有品种（规格）的货物交货时均应存放在采购人指定的场地（存放场地由采购人免费向各中标人提供）。 ②、中标人应因应场地的实际情况，将所有相关品种、规格的货物进行分类存放，做到货物品种齐全、名称标识清晰，便于选择和区分。 ③、中标人应按采购人的要求，在指定时间卸货在指定仓库，堆码一致，包装标识朝外，不倒置。 ④、中标人应对所提供货物包装好，均应有良好的防湿、防锈、防潮、防雨、防腐及防碰撞的措施，安排专人每周不少于两次对货物进行检查，及时清理附着在货物上的灰尘和更换出现质量问题的货物，以确保货物洁净和防止出现货物质量事件，对此采购人有权进行不定期的检查，并对不符合要求的事项向有关中标人提出整改意见，有关中标人应及时作出有效的响应。 （三）购销方式： ①、本项目采购的各类货物均采用代销方式进行销售。即由各中标供应商根据各品类的产品种类（类型）的样式、用材、技术指标、工艺、质量要求自行组织生产（供货）。所有的产品均由丧属根据各自的需要或喜好自行选择，由采购人根据各种产品的销售价格统一与丧属进行结算并进行销售登记。 ②、采购人不能确保中标人在本项目中能够获得多少的销售额，具体由客户对中标人提供的货物的质量、样式喜好程度决定。 ③、采购人不负责推销中标人提供的货物。 3、每个中标厂家免费提供不少于50个惠民实木骨灰盒用于困难群众免费使用。4、电子投标文件制作过程中，需要法定代表人签字或盖章的地方，请使用“法人CA锁”进行签章或直接签字或盖章；文件需要逐页加盖供应商公章或使用“CA锁”进行逐页盖章。5、中标供应商在中标结果公告发布后需向采购代理机构提供纸质版投标文件一正一副，投标文件为编标工具生成的文件直接打印并加盖公章，递交的纸质版投标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1、供应商应具有独立承担民事责任的能力的企业法人、事业法人、其他组织或自然人，出具合法有效的营业执照或事业单位法人证书等国家规定的相关证明，自然人参与的提供其身份证明； 2、财务状况报告：提供经审计的2024或2025年度的财务报告或提交投标文件截止时间前六个月内其基本账户开户银行出具的资信证明及基本存款账户信息；其他组织和自然人提供银行出具的资信证明或财务报表； 3、税收缴纳证明：提供供应商2025年4月份至今已缴纳任意一个月完税凭证或税务机关开具的完税证明（任意税种）；依法免税的应提供税务机关开具的免税证明； 4、社会保障资金缴纳证明：提供供应商2025年4月份至今已缴纳任意一个月的社会保障完税证明或社保机构开具的社会保险参保缴费情况证明；依法不需要缴纳社会保障资金的应提供社保机构开具的免缴证明； 5、具有履行合同所必需的设备和专业技术能力的承诺函； 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供应商应提供的资格证明文件.docx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提供经审计的2024或2025年度的财务报告或提交投标文件截止时间前六个月内其基本账户开户银行出具的资信证明及基本存款账户信息；其他组织和自然人提供银行出具的资信证明或财务报表。</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3"/>
            </w:pPr>
            <w:r>
              <w:rPr>
                <w:rFonts w:ascii="仿宋_GB2312" w:hAnsi="仿宋_GB2312" w:cs="仿宋_GB2312" w:eastAsia="仿宋_GB2312"/>
              </w:rPr>
              <w:t>供应商应提供的资格证明文件.docx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1、供应商应具有独立承担民事责任的能力的企业法人、事业法人、其他组织或自然人，出具合法有效的营业执照或事业单位法人证书等国家规定的相关证明，自然人参与的提供其身份证明； 2、财务状况报告：提供经审计的2024或2025年度的财务报告或提交投标文件截止时间前六个月内其基本账户开户银行出具的资信证明及基本存款账户信息；其他组织和自然人提供银行出具的资信证明或财务报表； 3、税收缴纳证明：提供供应商2025年4月份至今已缴纳任意一个月完税凭证或税务机关开具的完税证明（任意税种）；依法免税的应提供税务机关开具的免税证明； 4、社会保障资金缴纳证明：提供供应商2025年4月份至今已缴纳任意一个月的社会保障完税证明或社保机构开具的社会保险参保缴费情况证明；依法不需要缴纳社会保障资金的应提供社保机构开具的免缴证明； 5、具有履行合同所必需的设备和专业技术能力的承诺函； 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供应商应提供的资格证明文件.docx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提供经审计的2024或2025年度的财务报告或提交投标文件截止时间前六个月内其基本账户开户银行出具的资信证明及基本存款账户信息。</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3"/>
            </w:pPr>
            <w:r>
              <w:rPr>
                <w:rFonts w:ascii="仿宋_GB2312" w:hAnsi="仿宋_GB2312" w:cs="仿宋_GB2312" w:eastAsia="仿宋_GB2312"/>
              </w:rPr>
              <w:t>供应商应提供的资格证明文件.docx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1、供应商应具有独立承担民事责任的能力的企业法人、事业法人、其他组织或自然人，出具合法有效的营业执照或事业单位法人证书等国家规定的相关证明，自然人参与的提供其身份证明； 2、财务状况报告：提供经审计的2024或2025年度的财务报告或提交投标文件截止时间前六个月内其基本账户开户银行出具的资信证明及基本存款账户信息；其他组织和自然人提供银行出具的资信证明或财务报表； 3、税收缴纳证明：提供供应商2025年4月份至今已缴纳任意一个月完税凭证或税务机关开具的完税证明（任意税种）；依法免税的应提供税务机关开具的免税证明； 4、社会保障资金缴纳证明：提供供应商2025年4月份至今已缴纳任意一个月的社会保障完税证明或社保机构开具的社会保险参保缴费情况证明；依法不需要缴纳社会保障资金的应提供社保机构开具的免缴证明； 5、具有履行合同所必需的设备和专业技术能力的承诺函； 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供应商应提供的资格证明文件.docx 投标函 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提供经审计的2024或2025年度的财务报告或提交投标文件截止时间前六个月内其基本账户开户银行出具的资信证明及基本存款账户信息。</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3"/>
            </w:pPr>
            <w:r>
              <w:rPr>
                <w:rFonts w:ascii="仿宋_GB2312" w:hAnsi="仿宋_GB2312" w:cs="仿宋_GB2312" w:eastAsia="仿宋_GB2312"/>
              </w:rPr>
              <w:t>供应商应提供的资格证明文件.docx 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1、供应商应具有独立承担民事责任的能力的企业法人、事业法人、其他组织或自然人，出具合法有效的营业执照或事业单位法人证书等国家规定的相关证明，自然人参与的提供其身份证明； 2、财务状况报告：提供经审计的2024或2025年度的财务报告或提交投标文件截止时间前六个月内其基本账户开户银行出具的资信证明及基本存款账户信息；其他组织和自然人提供银行出具的资信证明或财务报表； 3、税收缴纳证明：提供供应商2025年4月份至今已缴纳任意一个月完税凭证或税务机关开具的完税证明（任意税种）；依法免税的应提供税务机关开具的免税证明； 4、社会保障资金缴纳证明：提供供应商2025年4月份至今已缴纳任意一个月的社会保障完税证明或社保机构开具的社会保险参保缴费情况证明；依法不需要缴纳社会保障资金的应提供社保机构开具的免缴证明； 5、具有履行合同所必需的设备和专业技术能力的承诺函； 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供应商应提供的资格证明文件.docx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提供经审计的2024或2025年度的财务报告或提交投标文件截止时间前六个月内其基本账户开户银行出具的资信证明及基本存款账户信息；其他组织和自然人提供银行出具的资信证明或财务报表。</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3"/>
            </w:pPr>
            <w:r>
              <w:rPr>
                <w:rFonts w:ascii="仿宋_GB2312" w:hAnsi="仿宋_GB2312" w:cs="仿宋_GB2312" w:eastAsia="仿宋_GB2312"/>
              </w:rPr>
              <w:t>供应商应提供的资格证明文件.docx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未被列为“信用中国”网（www.creditchina.gov.cn）中失信被执行人和重大税收违法案件当事人名单及中国政府采购网（www.ccgp.gov.cn）政府采购严重违法失信行为记录名单。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供应商应提供的资格证明文件.docx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未被列为“信用中国”网（www.creditchina.gov.cn）中失信被执行人和重大税收违法案件当事人名单及中国政府采购网（www.ccgp.gov.cn）政府采购严重违法失信行为记录名单。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供应商应提供的资格证明文件.docx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未被列为“信用中国”网（www.creditchina.gov.cn）中失信被执行人和重大税收违法案件当事人名单及中国政府采购网（www.ccgp.gov.cn）政府采购严重违法失信行为记录名单。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供应商应提供的资格证明文件.docx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未被列为“信用中国”网（www.creditchina.gov.cn）中失信被执行人和重大税收违法案件当事人名单及中国政府采购网（www.ccgp.gov.cn）政府采购严重违法失信行为记录名单。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供应商应提供的资格证明文件.docx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库〔2026〕2号】关于推动解决政府采购异常低价问题的通知，启动异常低价审查程序：在评标过程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投标文件项目名称及编号</w:t>
            </w:r>
          </w:p>
        </w:tc>
        <w:tc>
          <w:tcPr>
            <w:tcW w:type="dxa" w:w="3322"/>
          </w:tcPr>
          <w:p>
            <w:pPr>
              <w:pStyle w:val="null3"/>
            </w:pPr>
            <w:r>
              <w:rPr>
                <w:rFonts w:ascii="仿宋_GB2312" w:hAnsi="仿宋_GB2312" w:cs="仿宋_GB2312" w:eastAsia="仿宋_GB2312"/>
              </w:rPr>
              <w:t>投标文件的项目名称、项目编号、标段无遗漏，且与本项目一致。</w:t>
            </w:r>
          </w:p>
        </w:tc>
        <w:tc>
          <w:tcPr>
            <w:tcW w:type="dxa" w:w="1661"/>
          </w:tcPr>
          <w:p>
            <w:pPr>
              <w:pStyle w:val="null3"/>
            </w:pPr>
            <w:r>
              <w:rPr>
                <w:rFonts w:ascii="仿宋_GB2312" w:hAnsi="仿宋_GB2312" w:cs="仿宋_GB2312" w:eastAsia="仿宋_GB2312"/>
              </w:rPr>
              <w:t>开标一览表 供应商应提供的资格证明文件.docx 授权委托书.docx 中小企业声明函 商务应答表 产品技术参数表 投标函 残疾人福利性单位声明函 标的清单 投标文件封面 报价表.docx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投标文件的签署、盖章符合招标文件要求，且无遗漏。</w:t>
            </w:r>
          </w:p>
        </w:tc>
        <w:tc>
          <w:tcPr>
            <w:tcW w:type="dxa" w:w="1661"/>
          </w:tcPr>
          <w:p>
            <w:pPr>
              <w:pStyle w:val="null3"/>
            </w:pPr>
            <w:r>
              <w:rPr>
                <w:rFonts w:ascii="仿宋_GB2312" w:hAnsi="仿宋_GB2312" w:cs="仿宋_GB2312" w:eastAsia="仿宋_GB2312"/>
              </w:rPr>
              <w:t>开标一览表 供应商应提供的资格证明文件.docx 授权委托书.docx 中小企业声明函 商务应答表 产品技术参数表 投标函 残疾人福利性单位声明函 标的清单 投标文件封面 报价表.docx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符合招标文件、合法有效。</w:t>
            </w:r>
          </w:p>
        </w:tc>
        <w:tc>
          <w:tcPr>
            <w:tcW w:type="dxa" w:w="1661"/>
          </w:tcPr>
          <w:p>
            <w:pPr>
              <w:pStyle w:val="null3"/>
            </w:pPr>
            <w:r>
              <w:rPr>
                <w:rFonts w:ascii="仿宋_GB2312" w:hAnsi="仿宋_GB2312" w:cs="仿宋_GB2312" w:eastAsia="仿宋_GB2312"/>
              </w:rPr>
              <w:t>授权委托书.docx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同时满足以下条款：（1）投标报价符合唯一性要求；（2）报价货币符合招标文件要求；（3）未超出招标文件规定的单价最高限价；（4）符合《开标一览表》的填报要求。</w:t>
            </w:r>
          </w:p>
        </w:tc>
        <w:tc>
          <w:tcPr>
            <w:tcW w:type="dxa" w:w="1661"/>
          </w:tcPr>
          <w:p>
            <w:pPr>
              <w:pStyle w:val="null3"/>
            </w:pPr>
            <w:r>
              <w:rPr>
                <w:rFonts w:ascii="仿宋_GB2312" w:hAnsi="仿宋_GB2312" w:cs="仿宋_GB2312" w:eastAsia="仿宋_GB2312"/>
              </w:rPr>
              <w:t>开标一览表 投标函 标的清单 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招标项目技术、服务、商务及其他要求</w:t>
            </w:r>
          </w:p>
        </w:tc>
        <w:tc>
          <w:tcPr>
            <w:tcW w:type="dxa" w:w="3322"/>
          </w:tcPr>
          <w:p>
            <w:pPr>
              <w:pStyle w:val="null3"/>
            </w:pPr>
            <w:r>
              <w:rPr>
                <w:rFonts w:ascii="仿宋_GB2312" w:hAnsi="仿宋_GB2312" w:cs="仿宋_GB2312" w:eastAsia="仿宋_GB2312"/>
              </w:rPr>
              <w:t>完全理解并响应招标项目技术、服务、商务及其他要求，且未含有采购人不能接受的附加条件的。</w:t>
            </w:r>
          </w:p>
        </w:tc>
        <w:tc>
          <w:tcPr>
            <w:tcW w:type="dxa" w:w="1661"/>
          </w:tcPr>
          <w:p>
            <w:pPr>
              <w:pStyle w:val="null3"/>
            </w:pPr>
            <w:r>
              <w:rPr>
                <w:rFonts w:ascii="仿宋_GB2312" w:hAnsi="仿宋_GB2312" w:cs="仿宋_GB2312" w:eastAsia="仿宋_GB2312"/>
              </w:rPr>
              <w:t>开标一览表 供应商应提供的资格证明文件.docx 授权委托书.docx 中小企业声明函 商务应答表 产品技术参数表 投标函 残疾人福利性单位声明函 标的清单 投标文件封面 报价表.docx 服务方案.docx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供应商中标原则</w:t>
            </w:r>
          </w:p>
        </w:tc>
        <w:tc>
          <w:tcPr>
            <w:tcW w:type="dxa" w:w="3322"/>
          </w:tcPr>
          <w:p>
            <w:pPr>
              <w:pStyle w:val="null3"/>
            </w:pPr>
            <w:r>
              <w:rPr>
                <w:rFonts w:ascii="仿宋_GB2312" w:hAnsi="仿宋_GB2312" w:cs="仿宋_GB2312" w:eastAsia="仿宋_GB2312"/>
              </w:rPr>
              <w:t>本项目允许供应商同时参与多个标包投标，但是只允许一个供应商中标一个标包。本项目评审顺序按照一包、二包、三包、四包顺序进行评审，每个标包的第一中标候选人则不参与后续标包评审。</w:t>
            </w:r>
          </w:p>
        </w:tc>
        <w:tc>
          <w:tcPr>
            <w:tcW w:type="dxa" w:w="1661"/>
          </w:tcPr>
          <w:p>
            <w:pPr>
              <w:pStyle w:val="null3"/>
            </w:pPr>
            <w:r>
              <w:rPr>
                <w:rFonts w:ascii="仿宋_GB2312" w:hAnsi="仿宋_GB2312" w:cs="仿宋_GB2312" w:eastAsia="仿宋_GB2312"/>
              </w:rPr>
              <w:t>开标一览表 供应商应提供的资格证明文件.docx 授权委托书.docx 中小企业声明函 商务应答表 产品技术参数表 投标函 残疾人福利性单位声明函 标的清单 投标文件封面 报价表.docx 服务方案.docx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授权委托书.docx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开标一览表 供应商应提供的资格证明文件.docx 授权委托书.docx 中小企业声明函 商务应答表 产品技术参数表 投标函 残疾人福利性单位声明函 标的清单 投标文件封面 报价表.docx 服务方案.docx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库〔2026〕2号】关于推动解决政府采购异常低价问题的通知，启动异常低价审查程序：在评标过程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投标文件项目名称及编号</w:t>
            </w:r>
          </w:p>
        </w:tc>
        <w:tc>
          <w:tcPr>
            <w:tcW w:type="dxa" w:w="3322"/>
          </w:tcPr>
          <w:p>
            <w:pPr>
              <w:pStyle w:val="null3"/>
            </w:pPr>
            <w:r>
              <w:rPr>
                <w:rFonts w:ascii="仿宋_GB2312" w:hAnsi="仿宋_GB2312" w:cs="仿宋_GB2312" w:eastAsia="仿宋_GB2312"/>
              </w:rPr>
              <w:t>投标文件的项目名称、项目编号、标段无遗漏，且与本项目一致。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投标文件的签署、盖章符合招标文件要求，且无遗漏。</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符合招标文件、合法有效。</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同时满足以下条款：（1）投标报价符合唯一性要求；（2）报价货币符合招标文件要求；（3）未超出招标文件规定的单价最高限价；（4）符合《开标一览表》的填报要求。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招标项目技术、服务、商务及其他要求</w:t>
            </w:r>
          </w:p>
        </w:tc>
        <w:tc>
          <w:tcPr>
            <w:tcW w:type="dxa" w:w="3322"/>
          </w:tcPr>
          <w:p>
            <w:pPr>
              <w:pStyle w:val="null3"/>
            </w:pPr>
            <w:r>
              <w:rPr>
                <w:rFonts w:ascii="仿宋_GB2312" w:hAnsi="仿宋_GB2312" w:cs="仿宋_GB2312" w:eastAsia="仿宋_GB2312"/>
              </w:rPr>
              <w:t>完全理解并响应招标项目技术、服务、商务及其他要求，且未含有采购人不能接受的附加条件的。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供应商中标原则</w:t>
            </w:r>
          </w:p>
        </w:tc>
        <w:tc>
          <w:tcPr>
            <w:tcW w:type="dxa" w:w="3322"/>
          </w:tcPr>
          <w:p>
            <w:pPr>
              <w:pStyle w:val="null3"/>
            </w:pPr>
            <w:r>
              <w:rPr>
                <w:rFonts w:ascii="仿宋_GB2312" w:hAnsi="仿宋_GB2312" w:cs="仿宋_GB2312" w:eastAsia="仿宋_GB2312"/>
              </w:rPr>
              <w:t>本项目允许供应商同时参与多个标包投标，但是只允许一个供应商中标一个标包。本项目评审顺序按照一包、二包、三包、四包顺序进行评审，每个标包的第一中标候选人则不参与后续标包评审。</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授权委托书.docx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库〔2026〕2号】关于推动解决政府采购异常低价问题的通知，启动异常低价审查程序：在评标过程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供应商应提供的资格证明文件.docx 中小企业声明函 授权委托书.docx 商务应答表 产品技术参数表 投标函 残疾人福利性单位声明函 标的清单 投标文件封面 报价表.docx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投标文件项目名称及编号</w:t>
            </w:r>
          </w:p>
        </w:tc>
        <w:tc>
          <w:tcPr>
            <w:tcW w:type="dxa" w:w="3322"/>
          </w:tcPr>
          <w:p>
            <w:pPr>
              <w:pStyle w:val="null3"/>
            </w:pPr>
            <w:r>
              <w:rPr>
                <w:rFonts w:ascii="仿宋_GB2312" w:hAnsi="仿宋_GB2312" w:cs="仿宋_GB2312" w:eastAsia="仿宋_GB2312"/>
              </w:rPr>
              <w:t>投标文件的项目名称、项目编号、标段无遗漏，且与本项目一致。</w:t>
            </w:r>
          </w:p>
        </w:tc>
        <w:tc>
          <w:tcPr>
            <w:tcW w:type="dxa" w:w="1661"/>
          </w:tcPr>
          <w:p>
            <w:pPr>
              <w:pStyle w:val="null3"/>
            </w:pPr>
            <w:r>
              <w:rPr>
                <w:rFonts w:ascii="仿宋_GB2312" w:hAnsi="仿宋_GB2312" w:cs="仿宋_GB2312" w:eastAsia="仿宋_GB2312"/>
              </w:rPr>
              <w:t>开标一览表 供应商应提供的资格证明文件.docx 中小企业声明函 授权委托书.docx 商务应答表 产品技术参数表 投标函 残疾人福利性单位声明函 标的清单 投标文件封面 报价表.docx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投标文件的签署、盖章符合招标文件要求，且无遗漏。</w:t>
            </w:r>
          </w:p>
        </w:tc>
        <w:tc>
          <w:tcPr>
            <w:tcW w:type="dxa" w:w="1661"/>
          </w:tcPr>
          <w:p>
            <w:pPr>
              <w:pStyle w:val="null3"/>
            </w:pPr>
            <w:r>
              <w:rPr>
                <w:rFonts w:ascii="仿宋_GB2312" w:hAnsi="仿宋_GB2312" w:cs="仿宋_GB2312" w:eastAsia="仿宋_GB2312"/>
              </w:rPr>
              <w:t>开标一览表 供应商应提供的资格证明文件.docx 中小企业声明函 授权委托书.docx 商务应答表 产品技术参数表 投标函 残疾人福利性单位声明函 标的清单 投标文件封面 报价表.docx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符合招标文件、合法有效。</w:t>
            </w:r>
          </w:p>
        </w:tc>
        <w:tc>
          <w:tcPr>
            <w:tcW w:type="dxa" w:w="1661"/>
          </w:tcPr>
          <w:p>
            <w:pPr>
              <w:pStyle w:val="null3"/>
            </w:pPr>
            <w:r>
              <w:rPr>
                <w:rFonts w:ascii="仿宋_GB2312" w:hAnsi="仿宋_GB2312" w:cs="仿宋_GB2312" w:eastAsia="仿宋_GB2312"/>
              </w:rPr>
              <w:t>授权委托书.docx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授权委托书.docx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同时满足以下条款：（1）投标报价符合唯一性要求；（2）报价货币符合招标文件要求；（3）未超出招标文件规定的单价最高限价；（4）符合《开标一览表》的填报要求。</w:t>
            </w:r>
          </w:p>
        </w:tc>
        <w:tc>
          <w:tcPr>
            <w:tcW w:type="dxa" w:w="1661"/>
          </w:tcPr>
          <w:p>
            <w:pPr>
              <w:pStyle w:val="null3"/>
            </w:pPr>
            <w:r>
              <w:rPr>
                <w:rFonts w:ascii="仿宋_GB2312" w:hAnsi="仿宋_GB2312" w:cs="仿宋_GB2312" w:eastAsia="仿宋_GB2312"/>
              </w:rPr>
              <w:t>开标一览表 投标函 标的清单 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合招标文件要求。</w:t>
            </w:r>
          </w:p>
        </w:tc>
        <w:tc>
          <w:tcPr>
            <w:tcW w:type="dxa" w:w="1661"/>
          </w:tcPr>
          <w:p>
            <w:pPr>
              <w:pStyle w:val="null3"/>
            </w:pPr>
            <w:r>
              <w:rPr>
                <w:rFonts w:ascii="仿宋_GB2312" w:hAnsi="仿宋_GB2312" w:cs="仿宋_GB2312" w:eastAsia="仿宋_GB2312"/>
              </w:rPr>
              <w:t>开标一览表 供应商应提供的资格证明文件.docx 中小企业声明函 授权委托书.docx 商务应答表 产品技术参数表 投标函 残疾人福利性单位声明函 标的清单 投标文件封面 报价表.docx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招标项目技术、服务、商务及其他要求</w:t>
            </w:r>
          </w:p>
        </w:tc>
        <w:tc>
          <w:tcPr>
            <w:tcW w:type="dxa" w:w="3322"/>
          </w:tcPr>
          <w:p>
            <w:pPr>
              <w:pStyle w:val="null3"/>
            </w:pPr>
            <w:r>
              <w:rPr>
                <w:rFonts w:ascii="仿宋_GB2312" w:hAnsi="仿宋_GB2312" w:cs="仿宋_GB2312" w:eastAsia="仿宋_GB2312"/>
              </w:rPr>
              <w:t>完全理解并响应招标项目技术、服务、商务及其他要求，且未含有采购人不能接受的附加条件的。</w:t>
            </w:r>
          </w:p>
        </w:tc>
        <w:tc>
          <w:tcPr>
            <w:tcW w:type="dxa" w:w="1661"/>
          </w:tcPr>
          <w:p>
            <w:pPr>
              <w:pStyle w:val="null3"/>
            </w:pPr>
            <w:r>
              <w:rPr>
                <w:rFonts w:ascii="仿宋_GB2312" w:hAnsi="仿宋_GB2312" w:cs="仿宋_GB2312" w:eastAsia="仿宋_GB2312"/>
              </w:rPr>
              <w:t>开标一览表 供应商应提供的资格证明文件.docx 中小企业声明函 授权委托书.docx 商务应答表 产品技术参数表 投标函 残疾人福利性单位声明函 标的清单 投标文件封面 报价表.docx 服务方案.docx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供应商中标原则</w:t>
            </w:r>
          </w:p>
        </w:tc>
        <w:tc>
          <w:tcPr>
            <w:tcW w:type="dxa" w:w="3322"/>
          </w:tcPr>
          <w:p>
            <w:pPr>
              <w:pStyle w:val="null3"/>
            </w:pPr>
            <w:r>
              <w:rPr>
                <w:rFonts w:ascii="仿宋_GB2312" w:hAnsi="仿宋_GB2312" w:cs="仿宋_GB2312" w:eastAsia="仿宋_GB2312"/>
              </w:rPr>
              <w:t>本项目允许供应商同时参与多个标包投标，但是只允许一个供应商中标一个标包。本项目评审顺序按照一包、二包、三包、四包顺序进行评审，每个标包的第一中标候选人则不参与后续标包评审。</w:t>
            </w:r>
          </w:p>
        </w:tc>
        <w:tc>
          <w:tcPr>
            <w:tcW w:type="dxa" w:w="1661"/>
          </w:tcPr>
          <w:p>
            <w:pPr>
              <w:pStyle w:val="null3"/>
            </w:pPr>
            <w:r>
              <w:rPr>
                <w:rFonts w:ascii="仿宋_GB2312" w:hAnsi="仿宋_GB2312" w:cs="仿宋_GB2312" w:eastAsia="仿宋_GB2312"/>
              </w:rPr>
              <w:t>开标一览表 供应商应提供的资格证明文件.docx 中小企业声明函 授权委托书.docx 商务应答表 产品技术参数表 投标函 残疾人福利性单位声明函 标的清单 投标文件封面 报价表.docx 服务方案.docx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授权委托书.docx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开标一览表 供应商应提供的资格证明文件.docx 中小企业声明函 授权委托书.docx 商务应答表 产品技术参数表 投标函 残疾人福利性单位声明函 标的清单 投标文件封面 报价表.docx 服务方案.docx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库〔2026〕2号】关于推动解决政府采购异常低价问题的通知，启动异常低价审查程序：在评标过程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投标文件项目名称及编号</w:t>
            </w:r>
          </w:p>
        </w:tc>
        <w:tc>
          <w:tcPr>
            <w:tcW w:type="dxa" w:w="3322"/>
          </w:tcPr>
          <w:p>
            <w:pPr>
              <w:pStyle w:val="null3"/>
            </w:pPr>
            <w:r>
              <w:rPr>
                <w:rFonts w:ascii="仿宋_GB2312" w:hAnsi="仿宋_GB2312" w:cs="仿宋_GB2312" w:eastAsia="仿宋_GB2312"/>
              </w:rPr>
              <w:t>投标文件的项目名称、项目编号、标段无遗漏，且与本项目一致。</w:t>
            </w:r>
          </w:p>
        </w:tc>
        <w:tc>
          <w:tcPr>
            <w:tcW w:type="dxa" w:w="1661"/>
          </w:tcPr>
          <w:p>
            <w:pPr>
              <w:pStyle w:val="null3"/>
            </w:pPr>
            <w:r>
              <w:rPr>
                <w:rFonts w:ascii="仿宋_GB2312" w:hAnsi="仿宋_GB2312" w:cs="仿宋_GB2312" w:eastAsia="仿宋_GB2312"/>
              </w:rPr>
              <w:t>开标一览表 供应商应提供的资格证明文件.docx 中小企业声明函 授权委托书.docx 商务应答表 产品技术参数表 投标函 残疾人福利性单位声明函 标的清单 投标文件封面 报价表.docx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投标文件的签署、盖章符合招标文件要求，且无遗漏。</w:t>
            </w:r>
          </w:p>
        </w:tc>
        <w:tc>
          <w:tcPr>
            <w:tcW w:type="dxa" w:w="1661"/>
          </w:tcPr>
          <w:p>
            <w:pPr>
              <w:pStyle w:val="null3"/>
            </w:pPr>
            <w:r>
              <w:rPr>
                <w:rFonts w:ascii="仿宋_GB2312" w:hAnsi="仿宋_GB2312" w:cs="仿宋_GB2312" w:eastAsia="仿宋_GB2312"/>
              </w:rPr>
              <w:t>开标一览表 供应商应提供的资格证明文件.docx 中小企业声明函 授权委托书.docx 商务应答表 产品技术参数表 投标函 残疾人福利性单位声明函 标的清单 投标文件封面 报价表.docx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符合招标文件、合法有效。</w:t>
            </w:r>
          </w:p>
        </w:tc>
        <w:tc>
          <w:tcPr>
            <w:tcW w:type="dxa" w:w="1661"/>
          </w:tcPr>
          <w:p>
            <w:pPr>
              <w:pStyle w:val="null3"/>
            </w:pPr>
            <w:r>
              <w:rPr>
                <w:rFonts w:ascii="仿宋_GB2312" w:hAnsi="仿宋_GB2312" w:cs="仿宋_GB2312" w:eastAsia="仿宋_GB2312"/>
              </w:rPr>
              <w:t>授权委托书.docx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同时满足以下条款：（1）投标报价符合唯一性要求；（2）报价货币符合招标文件要求；（3）未超出招标文件规定的单价最高限价；（4）符合《开标一览表》的填报要求。</w:t>
            </w:r>
          </w:p>
        </w:tc>
        <w:tc>
          <w:tcPr>
            <w:tcW w:type="dxa" w:w="1661"/>
          </w:tcPr>
          <w:p>
            <w:pPr>
              <w:pStyle w:val="null3"/>
            </w:pPr>
            <w:r>
              <w:rPr>
                <w:rFonts w:ascii="仿宋_GB2312" w:hAnsi="仿宋_GB2312" w:cs="仿宋_GB2312" w:eastAsia="仿宋_GB2312"/>
              </w:rPr>
              <w:t>开标一览表 投标函 标的清单 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合招标文件要求。</w:t>
            </w:r>
          </w:p>
        </w:tc>
        <w:tc>
          <w:tcPr>
            <w:tcW w:type="dxa" w:w="1661"/>
          </w:tcPr>
          <w:p>
            <w:pPr>
              <w:pStyle w:val="null3"/>
            </w:pPr>
            <w:r>
              <w:rPr>
                <w:rFonts w:ascii="仿宋_GB2312" w:hAnsi="仿宋_GB2312" w:cs="仿宋_GB2312" w:eastAsia="仿宋_GB2312"/>
              </w:rPr>
              <w:t>开标一览表 供应商应提供的资格证明文件.docx 中小企业声明函 授权委托书.docx 商务应答表 产品技术参数表 投标函 残疾人福利性单位声明函 标的清单 投标文件封面 报价表.docx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招标项目技术、服务、商务及其他要求</w:t>
            </w:r>
          </w:p>
        </w:tc>
        <w:tc>
          <w:tcPr>
            <w:tcW w:type="dxa" w:w="3322"/>
          </w:tcPr>
          <w:p>
            <w:pPr>
              <w:pStyle w:val="null3"/>
            </w:pPr>
            <w:r>
              <w:rPr>
                <w:rFonts w:ascii="仿宋_GB2312" w:hAnsi="仿宋_GB2312" w:cs="仿宋_GB2312" w:eastAsia="仿宋_GB2312"/>
              </w:rPr>
              <w:t>完全理解并响应招标项目技术、服务、商务及其他要求，且未含有采购人不能接受的附加条件的。</w:t>
            </w:r>
          </w:p>
        </w:tc>
        <w:tc>
          <w:tcPr>
            <w:tcW w:type="dxa" w:w="1661"/>
          </w:tcPr>
          <w:p>
            <w:pPr>
              <w:pStyle w:val="null3"/>
            </w:pPr>
            <w:r>
              <w:rPr>
                <w:rFonts w:ascii="仿宋_GB2312" w:hAnsi="仿宋_GB2312" w:cs="仿宋_GB2312" w:eastAsia="仿宋_GB2312"/>
              </w:rPr>
              <w:t>开标一览表 供应商应提供的资格证明文件.docx 中小企业声明函 授权委托书.docx 商务应答表 产品技术参数表 投标函 残疾人福利性单位声明函 标的清单 投标文件封面 报价表.docx 服务方案.docx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供应商中标原则</w:t>
            </w:r>
          </w:p>
        </w:tc>
        <w:tc>
          <w:tcPr>
            <w:tcW w:type="dxa" w:w="3322"/>
          </w:tcPr>
          <w:p>
            <w:pPr>
              <w:pStyle w:val="null3"/>
            </w:pPr>
            <w:r>
              <w:rPr>
                <w:rFonts w:ascii="仿宋_GB2312" w:hAnsi="仿宋_GB2312" w:cs="仿宋_GB2312" w:eastAsia="仿宋_GB2312"/>
              </w:rPr>
              <w:t>本项目允许供应商同时参与多个标包投标，但是只允许一个供应商中标一个标包。本项目评审顺序按照一包、二包、三包、四包顺序进行评审，每个标包的第一中标候选人则不参与后续标包评审。</w:t>
            </w:r>
          </w:p>
        </w:tc>
        <w:tc>
          <w:tcPr>
            <w:tcW w:type="dxa" w:w="1661"/>
          </w:tcPr>
          <w:p>
            <w:pPr>
              <w:pStyle w:val="null3"/>
            </w:pPr>
            <w:r>
              <w:rPr>
                <w:rFonts w:ascii="仿宋_GB2312" w:hAnsi="仿宋_GB2312" w:cs="仿宋_GB2312" w:eastAsia="仿宋_GB2312"/>
              </w:rPr>
              <w:t>开标一览表 供应商应提供的资格证明文件.docx 中小企业声明函 授权委托书.docx 商务应答表 产品技术参数表 投标函 残疾人福利性单位声明函 标的清单 投标文件封面 报价表.docx 服务方案.docx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授权委托书.docx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开标一览表 供应商应提供的资格证明文件.docx 中小企业声明函 授权委托书.docx 商务应答表 产品技术参数表 投标函 残疾人福利性单位声明函 标的清单 投标文件封面 报价表.docx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评审标准： 1.完整性要求：须全面覆盖评审要求，对各技术要求、实施要素进行系统化描述，确保无遗漏项； 2.可行性要求：须基于项目实际需求，实施路径清晰可行，技术路线科学合理，各项措施具有可操作性。 3.针对性要求：须精准对接项目需求，重点解决项目关键问题，技术方案与项目特点高度适配，避免通用性表述，确保每项措施均针对项目实际情况制定。 赋分标准（9） 每完全满足一个评审标准得3分，基本满足得2分，部分满足得1分，不满足得0分，满分9分。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包装运输方案</w:t>
            </w:r>
          </w:p>
        </w:tc>
        <w:tc>
          <w:tcPr>
            <w:tcW w:type="dxa" w:w="2492"/>
          </w:tcPr>
          <w:p>
            <w:pPr>
              <w:pStyle w:val="null3"/>
            </w:pPr>
            <w:r>
              <w:rPr>
                <w:rFonts w:ascii="仿宋_GB2312" w:hAnsi="仿宋_GB2312" w:cs="仿宋_GB2312" w:eastAsia="仿宋_GB2312"/>
              </w:rPr>
              <w:t>1、运输流程及包装方案详细、科学合理，产品部件标注清晰、分类合理明确，得4分； 2、运输流程及包装方案基本详细、较为合理，产品部件基本标注清晰、分类基本合理明确，得3分； 运输流程及包装方案较为简单，产品部件标注部分清晰、分类具有一定的合理性，得2分； 3、运输流程及包装方案简单，产品部件标注部分模糊、分类混乱，得1分； 4、未提供具体方案，该项不得分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质量管控实施方案</w:t>
            </w:r>
          </w:p>
        </w:tc>
        <w:tc>
          <w:tcPr>
            <w:tcW w:type="dxa" w:w="2492"/>
          </w:tcPr>
          <w:p>
            <w:pPr>
              <w:pStyle w:val="null3"/>
            </w:pPr>
            <w:r>
              <w:rPr>
                <w:rFonts w:ascii="仿宋_GB2312" w:hAnsi="仿宋_GB2312" w:cs="仿宋_GB2312" w:eastAsia="仿宋_GB2312"/>
              </w:rPr>
              <w:t>评审标准： 1.完整性要求：须全面覆盖评审要求，对各技术要求、实施要素进行系统化描述，确保无遗漏项； 2.可行性要求：须基于项目实际需求，实施路径清晰可行，技术路线科学合理，各项措施具有可操作性。 3.针对性要求：须精准对接项目需求，重点解决项目关键问题，技术方案与项目特点高度适配，避免通用性表述，确保每项措施均针对项目实际情况制定。 赋分标准（9） 每完全满足一个评审标准得3分，基本满足得2分，部分满足得1分，不满足得0分，满分9分。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1. 有完善的应急方案（采购人临时采购需求、缺货、产品质量不合格、运输延误等场景），明确应急措施、责任人员、响应时限，得3.5分； 2. 有基本应急方案，明确主要应急场景及措施，得2分； 3.应急方案简单，合理性差，得1分； 4.无应急方案，或方案不可行，该项不得分。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技术指标、参数及功能需求（评审依据为生产厂家出具的、相应的功能证明材料（包括但不限于检测报告、官网和功能截图、效果图、产品样册等）及投标产品技术参数偏离表等）：完全符合、响应招标文件要求，没有负偏离的得10.5分；有负偏离的每有1项扣0.35分，扣完为止。</w:t>
            </w:r>
          </w:p>
        </w:tc>
        <w:tc>
          <w:tcPr>
            <w:tcW w:type="dxa" w:w="831"/>
          </w:tcPr>
          <w:p>
            <w:pPr>
              <w:pStyle w:val="null3"/>
              <w:jc w:val="right"/>
            </w:pPr>
            <w:r>
              <w:rPr>
                <w:rFonts w:ascii="仿宋_GB2312" w:hAnsi="仿宋_GB2312" w:cs="仿宋_GB2312" w:eastAsia="仿宋_GB2312"/>
              </w:rPr>
              <w:t>10.5000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一、材质与工艺（5分） 1、完全符合采购文件规定材质，无掺假、无夹层、无劣质填充，且质地密实、厚重感强、无疏松得5分； 2、主材基本符合采购文件要求，局部轻微不符，但材质密实，具有一定的厚重感，不影响使用得3分； 3、主材基本符合采购文件要求，材质质地一般，强度一般得2 分； 4、主材材质疏松、偏轻、易压损变形，存在明显瑕疵得0.5分； 5、主材与要求严重不符、以次充好，该项不得分。 二、工艺做工（5） 1、表面打磨精细、无毛刺、无划痕、无气泡、无流漆、无色差，且接缝严密、无缝隙、不松动、不开裂、牢固得5分； 2、表面打磨基本精细、无毛刺、、无色差、且接缝基本严密、无缝隙、不松动得3.5分； 3、表面打磨有瑕疵，具有轻微缝隙但不影响使用得2分； 4、表面打磨明显毛刺、掉漆、色差严重，且缝隙大、松动、易开裂得0.5 分； 5、未提供样品的该项不得分。 三、外观设计（5分） 1、完全符合采购文件规定尺寸，误差极小，造型庄重、肃穆、简洁大方，图案纹饰清晰、线条流畅、无模糊、无残缺，符合殡葬文化审美得5分； 2、基本符合采购文件规定尺寸，误差轻微，造型基本庄重、肃穆、简洁大方，图案纹饰基本清晰、线条流畅、基本符合殡葬文化审美得3.5分； 3、基本符合采购文件规定尺寸，误差轻微，外观造型正常，无明显违和，图案纹饰基本清晰、得2分； 4、尺寸偏差较大，且外观粗糙、不协调，观感差，图案纹饰模糊、歪斜、残缺得0.5分； 5、未提供样品的该项不得分。 四、环保与安全（5 分） 1、无刺激性气味，使用环保材料，可提供环保相关证明材料，且盒盖开合顺畅、结构稳定，密封性好、承重稳定、无尖角毛刺得5分； 2、无明显异味，基本环保，可提供部分环保相关证明材料，且盒盖开合基本顺畅、密封性较好、无尖角毛刺得3.5分； 3、无明显异味，无证明材料，结构正常，盒盖开合基本顺畅、安全得2 分； 4、有刺激性气味，环保性差，结构不稳，且开合困难、密封差、有安全隐患0 .5分； 5、未提供样品的该项不得分 五、样品一致性（5分） 1、样品材质、工艺、颜色、规格与投标文件完全一致得5分； 2、样品材质、工艺、颜色、规格与投标文件基本一致，具有轻微差异得3 分 3、部分样品材质、工艺、颜色、规格与投标文件有一定得偏差得1分； 4、样品材质、工艺、颜色、规格与投标文件严重不一致、弄虚作假该项不得分。 注：1、供应商投标时须提供投标所有产品样品。所有样品应贴上有标识，标识上应列明产品名称、尺寸、材质、投标人名称并加盖公章，并提供样品清单（加盖投标人公章）。于开标日上午9:00—9:30送至西安市莲湖区高新路2号西部国际广场B座28层。 2、严格按照采购内容中提出的材质、规格等要求提供，所有投标产品的样品将作为评标依据，在评标过程中根据需求对样品进行材质鉴定，对样品造成的任何损坏均由投标人承担。 3、所提供的样品应分开独立封装，封口处加盖投标人公章，外包装必须注明“样品封装封面”字样、投标人名称、项目名称、编号，并提供样品清单（加盖投标人公章）。样品质量将严重影响评分，未提供样品的则关于样品评审有关项目记0分。 4、样品的处理：中标人的样品暂时由采购人保存，并作为确定中标人后进行验收的标准。对于未中标人提供的样品，在项目评审结束当日退还或者经未中标人同意后自行处理。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供应商2023年1月1日至今类似业绩每提供一份业绩合同得1分，满分5分。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售后服务及承诺</w:t>
            </w:r>
          </w:p>
        </w:tc>
        <w:tc>
          <w:tcPr>
            <w:tcW w:type="dxa" w:w="2492"/>
          </w:tcPr>
          <w:p>
            <w:pPr>
              <w:pStyle w:val="null3"/>
            </w:pPr>
            <w:r>
              <w:rPr>
                <w:rFonts w:ascii="仿宋_GB2312" w:hAnsi="仿宋_GB2312" w:cs="仿宋_GB2312" w:eastAsia="仿宋_GB2312"/>
              </w:rPr>
              <w:t>售后服务方案（包括但不限于：拟投入售后服务人员配置情况、售后服务响应时效、质保期内各项售后服务承诺以及退换货、破损补发方案等）： 评审标准： 1.完整性要求：须全面覆盖评审要求，对各技术要求、实施要素进行系统化描述，确保无遗漏项； 2.可行性要求：须基于项目实际需求，实施路径清晰可行，技术路线科学合理，各项措施具有可操作性。 3.针对性要求：须精准对接项目需求，重点解决项目关键问题，技术方案与项目特点高度适配，避免通用性表述，确保每项措施均针对项目实际情况制定。 赋分标准（4） 1、完全满足评审标准得3分，基本满足得2分，部分满足得1分，不满足得0分，满分3分 2、具有切实可行的优惠条件及增值服务承诺，得1分。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价格分采用低价优先法计算，即满足招标文件要求且投标报价最低的投标报价(单价合计金额)为评标基准价，其价格分为满分。其他供应商的价格分统一按照下列公式计算： 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评审标准： 1.完整性要求：须全面覆盖评审要求，对各技术要求、实施要素进行系统化描述，确保无遗漏项； 2.可行性要求：须基于项目实际需求，实施路径清晰可行，技术路线科学合理，各项措施具有可操作性。 3.针对性要求：须精准对接项目需求，重点解决项目关键问题，技术方案与项目特点高度适配，避免通用性表述，确保每项措施均针对项目实际情况制定。 赋分标准（9） 每完全满足一个评审标准得3分，基本满足得2分，部分满足得1分，不满足得0分，满分9分。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包装运输方案</w:t>
            </w:r>
          </w:p>
        </w:tc>
        <w:tc>
          <w:tcPr>
            <w:tcW w:type="dxa" w:w="2492"/>
          </w:tcPr>
          <w:p>
            <w:pPr>
              <w:pStyle w:val="null3"/>
            </w:pPr>
            <w:r>
              <w:rPr>
                <w:rFonts w:ascii="仿宋_GB2312" w:hAnsi="仿宋_GB2312" w:cs="仿宋_GB2312" w:eastAsia="仿宋_GB2312"/>
              </w:rPr>
              <w:t>1、运输流程及包装方案详细、科学合理，产品部件标注清晰、分类合理明确，得4分； 2、运输流程及包装方案基本详细、较为合理，产品部件基本标注清晰、分类基本合理明确，得3分； 运输流程及包装方案较为简单，产品部件标注部分清晰、分类具有一定的合理性，得2分； 3、运输流程及包装方案简单，产品部件标注部分模糊、分类混乱，得1分； 未提供具体方案，该项不得分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质量管控实施方案</w:t>
            </w:r>
          </w:p>
        </w:tc>
        <w:tc>
          <w:tcPr>
            <w:tcW w:type="dxa" w:w="2492"/>
          </w:tcPr>
          <w:p>
            <w:pPr>
              <w:pStyle w:val="null3"/>
            </w:pPr>
            <w:r>
              <w:rPr>
                <w:rFonts w:ascii="仿宋_GB2312" w:hAnsi="仿宋_GB2312" w:cs="仿宋_GB2312" w:eastAsia="仿宋_GB2312"/>
              </w:rPr>
              <w:t>评审标准： 1.完整性要求：须全面覆盖评审要求，对各技术要求、实施要素进行系统化描述，确保无遗漏项； 2.可行性要求：须基于项目实际需求，实施路径清晰可行，技术路线科学合理，各项措施具有可操作性。 3.针对性要求：须精准对接项目需求，重点解决项目关键问题，技术方案与项目特点高度适配，避免通用性表述，确保每项措施均针对项目实际情况制定。 赋分标准（9） 每完全满足一个评审标准得3分，基本满足得2分，部分满足得1分，不满足得0分，满分9分。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1. 有完善的应急方案（采购人临时采购需求、缺货、产品质量不合格、运输延误等场景），明确应急措施、责任人员、响应时限，得4分； 2. 有基本应急方案，明确主要应急场景及措施，得2分； 3.应急方案简单，合理性差，得1分； 4.无应急方案，或方案不可行，该项不得分。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技术指标、参数及功能需求（评审依据为生产厂家出具的、相应的功能证明材料（包括但不限于检测报告、官网和功能截图、效果图、产品样册等）及投标产品技术参数偏离表等）：完全符合、响应招标文件要求，没有负偏离的得10分；有负偏离的每有1项扣0.4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一、材质与工艺（5分） 1、完全符合采购文件规定材质，无掺假、无夹层、无劣质填充，且质地密实、厚重感强、无疏松得5分； 2、主材基本符合采购文件要求，局部轻微不符，但材质密实，具有一定的厚重感，不影响使用得3分； 3、主材基本符合采购文件要求，材质质地一般，强度一般得2 分； 4、主材材质疏松、偏轻、易压损变形，存在明显瑕疵得0.5分； 5、主材与要求严重不符、以次充好，该项不得分。 二、工艺做工（5） 1、表面打磨精细、无毛刺、无划痕、无气泡、无流漆、无色差，且接缝严密、无缝隙、不松动、不开裂、牢固得5分； 2、表面打磨基本精细、无毛刺、、无色差、且接缝基本严密、无缝隙、不松动得3.5分； 3、表面打磨有瑕疵，具有轻微缝隙但不影响使用得2分； 4、表面打磨明显毛刺、掉漆、色差严重，且缝隙大、松动、易开裂得0.5 分； 5、未提供样品的该项不得分。 三、外观设计（5分） 1、完全符合采购文件规定尺寸，误差极小，造型庄重、肃穆、简洁大方，图案纹饰清晰、线条流畅、无模糊、无残缺，符合殡葬文化审美得5分； 2、基本符合采购文件规定尺寸，误差轻微，造型基本庄重、肃穆、简洁大方，图案纹饰基本清晰、线条流畅、基本符合殡葬文化审美得3.5分； 3、基本符合采购文件规定尺寸，误差轻微，外观造型正常，无明显违和，图案纹饰基本清晰、得2分； 4、尺寸偏差较大，且外观粗糙、不协调，观感差，图案纹饰模糊、歪斜、残缺得0.5分； 5、未提供样品的该项不得分。 四、环保与安全（5 分） 1、无刺激性气味，使用环保材料，可提供环保相关证明材料，且盒盖开合顺畅、结构稳定，密封性好、承重稳定、无尖角毛刺得5分； 2、无明显异味，基本环保，可提供部分环保相关证明材料，且盒盖开合基本顺畅、密封性较好、无尖角毛刺得3.5分； 3、无明显异味，无证明材料，结构正常，盒盖开合基本顺畅、安全得2 分； 4、有刺激性气味，环保性差，结构不稳，且开合困难、密封差、有安全隐患0 .5分； 5、未提供样品的该项不得分 五、样品一致性（5分） 1、样品材质、工艺、颜色、规格与投标文件完全一致得5分； 2、样品材质、工艺、颜色、规格与投标文件基本一致，具有轻微差异得3 分 3、部分样品材质、工艺、颜色、规格与投标文件有一定得偏差得1分； 4、样品材质、工艺、颜色、规格与投标文件严重不一致、弄虚作假该项不得分。 注：1、供应商投标时须提供投标所有产品样品。所有样品应贴上有标识，标识上应列明产品名称、尺寸、材质、投标人名称并加盖公章，并提供样品清单（加盖投标人公章）。于开标日上午9:00—9:30送至西安市莲湖区高新路2号西部国际广场B座28层。 2、严格按照采购内容中提出的材质、规格等要求提供，所有投标产品的样品将作为评标依据，在评标过程中根据需求对样品进行材质鉴定，对样品造成的任何损坏均由投标人承担。 3、所提供的样品应分开独立封装，封口处加盖投标人公章，外包装必须注明“样品封装封面”字样、投标人名称、项目名称、编号，并提供样品清单（加盖投标人公章）。样品质量将严重影响评分，未提供样品的则关于样品评审有关项目记0分。 4、样品的处理：中标人的样品暂时由采购人保存，并作为确定中标人后进行验收的标准。对于未中标人提供的样品，在项目评审结束当日退还或者经未中标人同意后自行处理。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供应商2023年1月1日至今类似业绩每提供一份业绩合同得1分，满分5分。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售后服务及承诺</w:t>
            </w:r>
          </w:p>
        </w:tc>
        <w:tc>
          <w:tcPr>
            <w:tcW w:type="dxa" w:w="2492"/>
          </w:tcPr>
          <w:p>
            <w:pPr>
              <w:pStyle w:val="null3"/>
            </w:pPr>
            <w:r>
              <w:rPr>
                <w:rFonts w:ascii="仿宋_GB2312" w:hAnsi="仿宋_GB2312" w:cs="仿宋_GB2312" w:eastAsia="仿宋_GB2312"/>
              </w:rPr>
              <w:t>售后服务方案（包括但不限于：拟投入售后服务人员配置情况、售后服务响应时效、质保期内各项售后服务承诺以及退换货、破损补发方案等）： 评审标准： 1.完整性要求：须全面覆盖评审要求，对各技术要求、实施要素进行系统化描述，确保无遗漏项； 2.可行性要求：须基于项目实际需求，实施路径清晰可行，技术路线科学合理，各项措施具有可操作性。 3.针对性要求：须精准对接项目需求，重点解决项目关键问题，技术方案与项目特点高度适配，避免通用性表述，确保每项措施均针对项目实际情况制定。 赋分标准（4） 1、完全满足评审标准得3分，基本满足得2分，部分满足得1分，不满足得0分，满分3分 2、具有切实可行的优惠条件及增值服务承诺，得1分。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价格分采用低价优先法计算，即满足招标文件要求且投标报价最低的投标报价(单价合计金额)为评标基准价，其价格分为满分。其他供应商的价格分统一按照下列公式计算： 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评审标准： 1.完整性要求：须全面覆盖评审要求，对各技术要求、实施要素进行系统化描述，确保无遗漏项； 2.可行性要求：须基于项目实际需求，实施路径清晰可行，技术路线科学合理，各项措施具有可操作性。 3.针对性要求：须精准对接项目需求，重点解决项目关键问题，技术方案与项目特点高度适配，避免通用性表述，确保每项措施均针对项目实际情况制定。 赋分标准（9） 每完全满足一个评审标准得3分，基本满足得2分，部分满足得1分，不满足得0分，满分9分。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包装运输方案</w:t>
            </w:r>
          </w:p>
        </w:tc>
        <w:tc>
          <w:tcPr>
            <w:tcW w:type="dxa" w:w="2492"/>
          </w:tcPr>
          <w:p>
            <w:pPr>
              <w:pStyle w:val="null3"/>
            </w:pPr>
            <w:r>
              <w:rPr>
                <w:rFonts w:ascii="仿宋_GB2312" w:hAnsi="仿宋_GB2312" w:cs="仿宋_GB2312" w:eastAsia="仿宋_GB2312"/>
              </w:rPr>
              <w:t>1、运输流程及包装方案详细、科学合理，产品部件标注清晰、分类合理明确，得4分； 2、运输流程及包装方案基本详细、较为合理，产品部件基本标注清晰、分类基本合理明确，得3分； 运输流程及包装方案较为简单，产品部件标注部分清晰、分类具有一定的合理性，得2分； 3、运输流程及包装方案简单，产品部件标注部分模糊、分类混乱，得1分； 未提供具体方案，该项不得分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质量管控实施方案</w:t>
            </w:r>
          </w:p>
        </w:tc>
        <w:tc>
          <w:tcPr>
            <w:tcW w:type="dxa" w:w="2492"/>
          </w:tcPr>
          <w:p>
            <w:pPr>
              <w:pStyle w:val="null3"/>
            </w:pPr>
            <w:r>
              <w:rPr>
                <w:rFonts w:ascii="仿宋_GB2312" w:hAnsi="仿宋_GB2312" w:cs="仿宋_GB2312" w:eastAsia="仿宋_GB2312"/>
              </w:rPr>
              <w:t>评审标准： 1.完整性要求：须全面覆盖评审要求，对各技术要求、实施要素进行系统化描述，确保无遗漏项； 2.可行性要求：须基于项目实际需求，实施路径清晰可行，技术路线科学合理，各项措施具有可操作性。 3.针对性要求：须精准对接项目需求，重点解决项目关键问题，技术方案与项目特点高度适配，避免通用性表述，确保每项措施均针对项目实际情况制定。 赋分标准（9） 每完全满足一个评审标准得3分，基本满足得2分，部分满足得1分，不满足得0分，满分9分。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1. 有完善的应急方案（采购人临时采购需求、缺货、产品质量不合格、运输延误等场景），明确应急措施、责任人员、响应时限，得4分； 2. 有基本应急方案，明确主要应急场景及措施，得2分； 3.应急方案简单，合理性差，得1分； 4.无应急方案，或方案不可行，该项不得分。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技术指标、参数及功能需求（评审依据为生产厂家出具的、相应的功能证明材料（包括但不限于检测报告、官网和功能截图、效果图、产品样册等）及投标产品技术参数偏离表等）：完全符合、响应招标文件要求，没有负偏离的得10分；有负偏离的每有1项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一、材质与工艺（5分） 1、完全符合采购文件规定材质，无掺假、无夹层、无劣质填充，且质地密实、厚重感强、无疏松得5分； 2、主材基本符合采购文件要求，局部轻微不符，但材质密实，具有一定的厚重感，不影响使用得3分； 3、主材基本符合采购文件要求，材质质地一般，强度一般得2 分； 4、主材材质疏松、偏轻、易压损变形，存在明显瑕疵得0.5分； 5、主材与要求严重不符、以次充好，该项不得分。 二、工艺做工（5） 1、表面打磨精细、无毛刺、无划痕、无气泡、无流漆、无色差，且接缝严密、无缝隙、不松动、不开裂、牢固得5分； 2、表面打磨基本精细、无毛刺、、无色差、且接缝基本严密、无缝隙、不松动得3.5分； 3、表面打磨有瑕疵，具有轻微缝隙但不影响使用得2分； 4、表面打磨明显毛刺、掉漆、色差严重，且缝隙大、松动、易开裂得0.5 分； 5、未提供样品的该项不得分。 三、外观设计（5分） 1、完全符合采购文件规定尺寸，误差极小，造型庄重、肃穆、简洁大方，图案纹饰清晰、线条流畅、无模糊、无残缺，符合殡葬文化审美得5分； 2、基本符合采购文件规定尺寸，误差轻微，造型基本庄重、肃穆、简洁大方，图案纹饰基本清晰、线条流畅、基本符合殡葬文化审美得3.5分； 3、基本符合采购文件规定尺寸，误差轻微，外观造型正常，无明显违和，图案纹饰基本清晰、得2分； 4、尺寸偏差较大，且外观粗糙、不协调，观感差，图案纹饰模糊、歪斜、残缺得0.5分； 5、未提供样品的该项不得分。 四、环保与安全（5 分） 1、无刺激性气味，使用环保材料，可提供环保相关证明材料，且盒盖开合顺畅、结构稳定，密封性好、承重稳定、无尖角毛刺得5分； 2、无明显异味，基本环保，可提供部分环保相关证明材料，且盒盖开合基本顺畅、密封性较好、无尖角毛刺得3.5分； 3、无明显异味，无证明材料，结构正常，盒盖开合基本顺畅、安全得2 分； 4、有刺激性气味，环保性差，结构不稳，且开合困难、密封差、有安全隐患0 .5分； 5、未提供样品的该项不得分 五、样品一致性（5分） 1、样品材质、工艺、颜色、规格与投标文件完全一致得5分； 2、样品材质、工艺、颜色、规格与投标文件基本一致，具有轻微差异得3 分 3、部分样品材质、工艺、颜色、规格与投标文件有一定得偏差得1分； 4、样品材质、工艺、颜色、规格与投标文件严重不一致、弄虚作假该项不得分。 注：1、供应商投标时须提供投标所有产品样品。所有样品应贴上有标识，标识上应列明产品名称、尺寸、材质、投标人名称并加盖公章，并提供样品清单（加盖投标人公章）。于开标日上午9:00—9:30送至西安市莲湖区高新路2号西部国际广场B座28层。 2、严格按照采购内容中提出的材质、规格等要求提供，所有投标产品的样品将作为评标依据，在评标过程中根据需求对样品进行材质鉴定，对样品造成的任何损坏均由投标人承担。 3、所提供的样品应分开独立封装，封口处加盖投标人公章，外包装必须注明“样品封装封面”字样、投标人名称、项目名称、编号，并提供样品清单（加盖投标人公章）。样品质量将严重影响评分，未提供样品的则关于样品评审有关项目记0分。 4、样品的处理：中标人的样品暂时由采购人保存，并作为确定中标人后进行验收的标准。对于未中标人提供的样品，在项目评审结束当日退还或者经未中标人同意后自行处理。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供应商2023年1月1日至今类似业绩每提供一份业绩合同得1分，满分5分。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售后服务及承诺</w:t>
            </w:r>
          </w:p>
        </w:tc>
        <w:tc>
          <w:tcPr>
            <w:tcW w:type="dxa" w:w="2492"/>
          </w:tcPr>
          <w:p>
            <w:pPr>
              <w:pStyle w:val="null3"/>
            </w:pPr>
            <w:r>
              <w:rPr>
                <w:rFonts w:ascii="仿宋_GB2312" w:hAnsi="仿宋_GB2312" w:cs="仿宋_GB2312" w:eastAsia="仿宋_GB2312"/>
              </w:rPr>
              <w:t>售后服务方案（包括但不限于：拟投入售后服务人员配置情况、售后服务响应时效、质保期内各项售后服务承诺以及退换货、破损补发方案等）： 评审标准： 1.完整性要求：须全面覆盖评审要求，对各技术要求、实施要素进行系统化描述，确保无遗漏项； 2.可行性要求：须基于项目实际需求，实施路径清晰可行，技术路线科学合理，各项措施具有可操作性。 3.针对性要求：须精准对接项目需求，重点解决项目关键问题，技术方案与项目特点高度适配，避免通用性表述，确保每项措施均针对项目实际情况制定。 赋分标准（4） 1、完全满足评审标准得3分，基本满足得2分，部分满足得1分，不满足得0分，满分3分 2、具有切实可行的优惠条件及增值服务承诺，得1分。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价格分采用低价优先法计算，即满足招标文件要求且投标报价最低的投标报价(单价合计金额)为评标基准价，其价格分为满分。其他供应商的价格分统一按照下列公式计算： 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评审标准： 1.完整性要求：须全面覆盖评审要求，对各技术要求、实施要素进行系统化描述，确保无遗漏项； 2.可行性要求：须基于项目实际需求，实施路径清晰可行，技术路线科学合理，各项措施具有可操作性。 3.针对性要求：须精准对接项目需求，重点解决项目关键问题，技术方案与项目特点高度适配，避免通用性表述，确保每项措施均针对项目实际情况制定。 赋分标准（9） 每完全满足一个评审标准得3分，基本满足得2分，部分满足得1分，不满足得0分，满分9分。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包装运输方案</w:t>
            </w:r>
          </w:p>
        </w:tc>
        <w:tc>
          <w:tcPr>
            <w:tcW w:type="dxa" w:w="2492"/>
          </w:tcPr>
          <w:p>
            <w:pPr>
              <w:pStyle w:val="null3"/>
            </w:pPr>
            <w:r>
              <w:rPr>
                <w:rFonts w:ascii="仿宋_GB2312" w:hAnsi="仿宋_GB2312" w:cs="仿宋_GB2312" w:eastAsia="仿宋_GB2312"/>
              </w:rPr>
              <w:t>1、运输流程及包装方案详细、科学合理，产品部件标注清晰、分类合理明确，得4分； 2、运输流程及包装方案基本详细、较为合理，产品部件基本标注清晰、分类基本合理明确，得3分； 运输流程及包装方案较为简单，产品部件标注部分清晰、分类具有一定的合理性，得2分； 3、运输流程及包装方案简单，产品部件标注部分模糊、分类混乱，得1分； 未提供具体方案，该项不得分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质量管控实施方案</w:t>
            </w:r>
          </w:p>
        </w:tc>
        <w:tc>
          <w:tcPr>
            <w:tcW w:type="dxa" w:w="2492"/>
          </w:tcPr>
          <w:p>
            <w:pPr>
              <w:pStyle w:val="null3"/>
            </w:pPr>
            <w:r>
              <w:rPr>
                <w:rFonts w:ascii="仿宋_GB2312" w:hAnsi="仿宋_GB2312" w:cs="仿宋_GB2312" w:eastAsia="仿宋_GB2312"/>
              </w:rPr>
              <w:t>评审标准： 1.完整性要求：须全面覆盖评审要求，对各技术要求、实施要素进行系统化描述，确保无遗漏项； 2.可行性要求：须基于项目实际需求，实施路径清晰可行，技术路线科学合理，各项措施具有可操作性。 3.针对性要求：须精准对接项目需求，重点解决项目关键问题，技术方案与项目特点高度适配，避免通用性表述，确保每项措施均针对项目实际情况制定。 赋分标准（9） 每完全满足一个评审标准得3分，基本满足得2分，部分满足得1分，不满足得0分，满分9分。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1. 有完善的应急方案（采购人临时采购需求、缺货、产品质量不合格、运输延误等场景），明确应急措施、责任人员、响应时限，得3.5分； 2. 有基本应急方案，明确主要应急场景及措施，得2分； 3.应急方案简单，合理性差，得1分； 4.无应急方案，或方案不可行，该项不得分。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技术指标、参数及功能需求（评审依据为生产厂家出具的、相应的功能证明材料（包括但不限于检测报告、官网和功能截图、效果图、产品样册等）及投标产品技术参数偏离表等）：完全符合、响应招标文件要求，没有负偏离的得10.5分；有负偏离的每有1项扣0.7分，扣完为止。</w:t>
            </w:r>
          </w:p>
        </w:tc>
        <w:tc>
          <w:tcPr>
            <w:tcW w:type="dxa" w:w="831"/>
          </w:tcPr>
          <w:p>
            <w:pPr>
              <w:pStyle w:val="null3"/>
              <w:jc w:val="right"/>
            </w:pPr>
            <w:r>
              <w:rPr>
                <w:rFonts w:ascii="仿宋_GB2312" w:hAnsi="仿宋_GB2312" w:cs="仿宋_GB2312" w:eastAsia="仿宋_GB2312"/>
              </w:rPr>
              <w:t>10.5000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一、材质与工艺（5分） 1、完全符合采购文件规定材质，无掺假、无夹层、无劣质填充，且质地密实、厚重感强、无疏松得5分； 2、主材基本符合采购文件要求，局部轻微不符，但材质密实，具有一定的厚重感，不影响使用得3分； 3、主材基本符合采购文件要求，材质质地一般，强度一般得2 分； 4、主材材质疏松、偏轻、易压损变形，存在明显瑕疵得0.5分； 5、主材与要求严重不符、以次充好，该项不得分。 二、工艺做工（5） 1、表面打磨精细、无毛刺、无划痕、无气泡、无流漆、无色差，且接缝严密、无缝隙、不松动、不开裂、牢固得5分； 2、表面打磨基本精细、无毛刺、、无色差、且接缝基本严密、无缝隙、不松动得3.5分； 3、表面打磨有瑕疵，具有轻微缝隙但不影响使用得2分； 4、表面打磨明显毛刺、掉漆、色差严重，且缝隙大、松动、易开裂得0.5 分； 5、未提供样品的该项不得分。 三、外观设计（5分） 1、完全符合采购文件规定尺寸，误差极小，造型庄重、肃穆、简洁大方，图案纹饰清晰、线条流畅、无模糊、无残缺，符合殡葬文化审美得5分； 2、基本符合采购文件规定尺寸，误差轻微，造型基本庄重、肃穆、简洁大方，图案纹饰基本清晰、线条流畅、基本符合殡葬文化审美得3.5分； 3、基本符合采购文件规定尺寸，误差轻微，外观造型正常，无明显违和，图案纹饰基本清晰、得2分； 4、尺寸偏差较大，且外观粗糙、不协调，观感差，图案纹饰模糊、歪斜、残缺得0.5分； 5、未提供样品的该项不得分。 四、环保与安全（5 分） 1、无刺激性气味，使用环保材料，可提供环保相关证明材料，且盒盖开合顺畅、结构稳定，密封性好、承重稳定、无尖角毛刺得5分； 2、无明显异味，基本环保，可提供部分环保相关证明材料，且盒盖开合基本顺畅、密封性较好、无尖角毛刺得3.5分； 3、无明显异味，无证明材料，结构正常，盒盖开合基本顺畅、安全得2 分； 4、有刺激性气味，环保性差，结构不稳，且开合困难、密封差、有安全隐患0 .5分； 5、未提供样品的该项不得分 五、样品一致性（5分） 1、样品材质、工艺、颜色、规格与投标文件完全一致得5分； 2、样品材质、工艺、颜色、规格与投标文件基本一致，具有轻微差异得3 分 3、部分样品材质、工艺、颜色、规格与投标文件有一定得偏差得1分； 4、样品材质、工艺、颜色、规格与投标文件严重不一致、弄虚作假该项不得分。 注：1、供应商投标时须提供投标所有产品样品。所有样品应贴上有标识，标识上应列明产品名称、尺寸、材质、投标人名称并加盖公章，并提供样品清单（加盖投标人公章）。于开标日上午9:00—9:30送至西安市莲湖区高新路2号西部国际广场B座28层。 2、严格按照采购内容中提出的材质、规格等要求提供，所有投标产品的样品将作为评标依据，在评标过程中根据需求对样品进行材质鉴定，对样品造成的任何损坏均由投标人承担。 3、所提供的样品应分开独立封装，封口处加盖投标人公章，外包装必须注明“样品封装封面”字样、投标人名称、项目名称、编号，并提供样品清单（加盖投标人公章）。样品质量将严重影响评分，未提供样品的则关于样品评审有关项目记0分。 4、样品的处理：中标人的样品暂时由采购人保存，并作为确定中标人后进行验收的标准。对于未中标人提供的样品，在项目评审结束当日退还或者经未中标人同意后自行处理。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供应商2023年1月1日至今类似业绩每提供一份业绩合同得1分，满分5分。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售后服务及承诺</w:t>
            </w:r>
          </w:p>
        </w:tc>
        <w:tc>
          <w:tcPr>
            <w:tcW w:type="dxa" w:w="2492"/>
          </w:tcPr>
          <w:p>
            <w:pPr>
              <w:pStyle w:val="null3"/>
            </w:pPr>
            <w:r>
              <w:rPr>
                <w:rFonts w:ascii="仿宋_GB2312" w:hAnsi="仿宋_GB2312" w:cs="仿宋_GB2312" w:eastAsia="仿宋_GB2312"/>
              </w:rPr>
              <w:t>售后服务方案（包括但不限于：拟投入售后服务人员配置情况、售后服务响应时效、质保期内各项售后服务承诺以及退换货、破损补发方案等）： 评审标准： 1.完整性要求：须全面覆盖评审要求，对各技术要求、实施要素进行系统化描述，确保无遗漏项； 2.可行性要求：须基于项目实际需求，实施路径清晰可行，技术路线科学合理，各项措施具有可操作性。 3.针对性要求：须精准对接项目需求，重点解决项目关键问题，技术方案与项目特点高度适配，避免通用性表述，确保每项措施均针对项目实际情况制定。 赋分标准（4） 1、完全满足评审标准得3分，基本满足得2分，部分满足得1分，不满足得0分，满分3分 2、具有切实可行的优惠条件及增值服务承诺，得1分。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价格分采用低价优先法计算，即满足招标文件要求且投标报价最低的投标报价(单价合计金额)为评标基准价，其价格分为满分。其他供应商的价格分统一按照下列公式计算： 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详见附件：授权委托书.docx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详见附件：授权委托书.docx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详见附件：供货合同.docx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