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版本号：0617-2612XZ126120260612002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消防设备维保项目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0617-2612XZ1261</w:t>
      </w:r>
      <w:r>
        <w:br/>
      </w:r>
      <w:r>
        <w:br/>
      </w:r>
      <w:r>
        <w:br/>
      </w:r>
    </w:p>
    <w:p>
      <w:pPr>
        <w:pStyle w:val="null3"/>
        <w:jc w:val="center"/>
        <w:outlineLvl w:val="2"/>
      </w:pPr>
      <w:r>
        <w:rPr>
          <w:rFonts w:ascii="仿宋_GB2312" w:hAnsi="仿宋_GB2312" w:cs="仿宋_GB2312" w:eastAsia="仿宋_GB2312"/>
          <w:sz w:val="28"/>
          <w:b/>
        </w:rPr>
        <w:t>西安市创新港中学（创新港西安交通大学附属中学）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委托，拟对</w:t>
      </w:r>
      <w:r>
        <w:rPr>
          <w:rFonts w:ascii="仿宋_GB2312" w:hAnsi="仿宋_GB2312" w:cs="仿宋_GB2312" w:eastAsia="仿宋_GB2312"/>
        </w:rPr>
        <w:t>消防设备维保项目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0617-2612XZ1261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消防设备维保项目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为维护学校职工师生生命财产安全，保障学校安全平稳发展，确保发生火情时能够提前预警、及时有效处置，现需采购西安市创新港中学（创新港西安交通大学附属中学）的消防维保服务。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采购包1（消防设备维保项目）：属于专门面向小微企业采购。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1、供应商须在社会消防技术服务信息系统(https://shhxf.119.gov.cn/templet/index_7.jsp) 可查询，且服务类型须包含“消防设施维护保养检测”：提供查询截图</w:t>
      </w:r>
    </w:p>
    <w:p>
      <w:pPr>
        <w:pStyle w:val="null3"/>
      </w:pPr>
      <w:r>
        <w:rPr>
          <w:rFonts w:ascii="仿宋_GB2312" w:hAnsi="仿宋_GB2312" w:cs="仿宋_GB2312" w:eastAsia="仿宋_GB2312"/>
        </w:rPr>
        <w:t>2、拟派项目负责人具备一级注册消防工程师证书：拟派项目负责人具备一级注册消防工程师证书（具有本单位在职近6个月社保证明）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西安市创新港中学（创新港西安交通大学附属中学）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西咸新区沣西新城南洋环东路创新港中学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西安市创新港中学（创新港西安交通大学附属中学）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88960399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张鑫、张越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采购代理机构参照国家计委关于印发《招标代理服务收费管理暂行办法》的通知（计价格〔2002〕1980号）、《国家发展和改革委员会办公厅关于招标代理服务收费有关问题的通知》（发改办价格〔2003〕857号）规定标准向中标（成交）供应商收取代理服务费。 2.缴费时间：确定中标人后3日内，由中标人向招标代理机构一次付清招标代理服务费。 3.银行信息: 户名：西北（陕西）国际招标有限公司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联系人：张云娜</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为维护学校职工师生生命财产安全，保障学校安全平稳发展，确保发生火情时能够提前预警、及时有效处置，现需采购西安市创新港中学（创新港西安交通大学附属中学）的消防维保服务。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维保服务一批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标的名称：维保服务一批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1.按照《建筑消防设施的维护管理》（GB25201）要求，对全校142816.01㎡消防设施开展年度常态化维保。</w:t>
            </w:r>
          </w:p>
          <w:p>
            <w:pPr>
              <w:pStyle w:val="null3"/>
            </w:pPr>
            <w:r>
              <w:rPr>
                <w:rFonts w:ascii="仿宋_GB2312" w:hAnsi="仿宋_GB2312" w:cs="仿宋_GB2312" w:eastAsia="仿宋_GB2312"/>
                <w:sz w:val="20"/>
              </w:rPr>
              <w:t>2.每月开展局部检查，每季度全面检测，年度进行系统性维保、设备调试、部件更换、线路检修。</w:t>
            </w:r>
          </w:p>
          <w:p>
            <w:pPr>
              <w:pStyle w:val="null3"/>
            </w:pPr>
            <w:r>
              <w:rPr>
                <w:rFonts w:ascii="仿宋_GB2312" w:hAnsi="仿宋_GB2312" w:cs="仿宋_GB2312" w:eastAsia="仿宋_GB2312"/>
                <w:sz w:val="20"/>
              </w:rPr>
              <w:t>3.维保覆盖：火灾自动报警系统、自动喷水灭火系统、消火栓系统、防排烟系统、灭火器、应急照明、疏散指示标志等全部设施。</w:t>
            </w:r>
          </w:p>
          <w:p>
            <w:pPr>
              <w:pStyle w:val="null3"/>
            </w:pPr>
            <w:r>
              <w:rPr>
                <w:rFonts w:ascii="仿宋_GB2312" w:hAnsi="仿宋_GB2312" w:cs="仿宋_GB2312" w:eastAsia="仿宋_GB2312"/>
                <w:sz w:val="20"/>
              </w:rPr>
              <w:t>4.维保单位需持证上岗，作业期间服从学校管理，避开教学时段，保障校园正常秩序与师生安全。</w:t>
            </w:r>
          </w:p>
          <w:p>
            <w:pPr>
              <w:pStyle w:val="null3"/>
            </w:pPr>
            <w:r>
              <w:rPr>
                <w:rFonts w:ascii="仿宋_GB2312" w:hAnsi="仿宋_GB2312" w:cs="仿宋_GB2312" w:eastAsia="仿宋_GB2312"/>
                <w:sz w:val="20"/>
              </w:rPr>
              <w:t>5.维保完成后出具规范检测报告，建立维保台账，确保设施完好有效、符合消防监管要求。</w:t>
            </w:r>
          </w:p>
          <w:p>
            <w:pPr>
              <w:pStyle w:val="null3"/>
            </w:pPr>
            <w:r>
              <w:rPr>
                <w:rFonts w:ascii="仿宋_GB2312" w:hAnsi="仿宋_GB2312" w:cs="仿宋_GB2312" w:eastAsia="仿宋_GB2312"/>
                <w:sz w:val="20"/>
              </w:rPr>
              <w:t>6.保障维保服务连续不中断，与上一年度合同到期时间无缝衔接。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拟派项目负责人1人，应具备一级注册消防工程师证书（具有本单位在职近6个月社保证明）；现场执业人员2人，具有消防设施操作员（维护保养检测方面）证书（具有本单位在职近6个月社保证明）。</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西安市创新港中学（创新港西安交通大学附属中学）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 ，达到付款条件起15个工作日内，支付合同总金额的40.0%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服务期满，服务质量符合相关法律法规要求，且满足采购人需求后，达到付款条件起15个工作日内，支付合同总金额的60.0%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提供经审计的具有注册会计师行业统一监管平台出具赋码的2024年度财务报告（包括四表一注，即资产负债表、利润表、现金流量表、所有者权益变动表及其附注），且无反对意见；事业法人提供部门决算报告； /或在磋商日期前六个月内其基本开户银行出具的资信证明（附基本存款账户信息等证明材料）； /或专业担保机构出具的投标担保函； /或表明具有良好的商业信誉和健全的财务会计制度的诚信声明； 以上四种形式的资料提供任何一种即可。 （三）具有履行合同所必需的设备和专业技术能力。 提供声明文件原件。 （四）具有依法缴纳税收的良好记录。 提供缴费所属日期为投标截止时间前3个月内任一月份（磋商截止时间当月不计入）的缴费凭据或税务机关出具的完税证明或（在法规范围内不需提供的应出具书面说明和证明文件）； /或具有依法缴纳税收的诚信声明； 以上二种形式的资料提供任何一种即可。 （五）具有依法缴纳社会保障资金的良好记录。 提供缴费所属日期为磋商截止时间前3个月内任一月份（磋商截止时间当月不计入）的缴费凭据或社保机关出具的缴费证明（在法规范围内不需提供的应出具书面说明和证明文件）； /或具有依法缴纳社会保障资金的缴纳记录的诚信声明； 以上二种形式的资料提供任何一种即可。 （六）参加政府采购活动前3年内在经营活动中没有重大违法记录的书面声明（原件）。 （七）法人代表授权书（原件）及被授权人投标截止时间前3个月内任一月份的社保缴纳证明。</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供应商无重大违法记录的书面声明 诚信声明 响应函 法定代表人授权书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供应商须在社会消防技术服务信息系统(https://shhxf.119.gov.cn/templet/index_7.jsp) 可查询，且服务类型须包含“消防设施维护保养检测”</w:t>
            </w:r>
          </w:p>
        </w:tc>
        <w:tc>
          <w:tcPr>
            <w:tcW w:type="dxa" w:w="3322"/>
          </w:tcPr>
          <w:p>
            <w:pPr>
              <w:pStyle w:val="null3"/>
            </w:pPr>
            <w:r>
              <w:rPr>
                <w:rFonts w:ascii="仿宋_GB2312" w:hAnsi="仿宋_GB2312" w:cs="仿宋_GB2312" w:eastAsia="仿宋_GB2312"/>
              </w:rPr>
              <w:t>提供查询截图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拟派项目负责人具备一级注册消防工程师证书</w:t>
            </w:r>
          </w:p>
        </w:tc>
        <w:tc>
          <w:tcPr>
            <w:tcW w:type="dxa" w:w="3322"/>
          </w:tcPr>
          <w:p>
            <w:pPr>
              <w:pStyle w:val="null3"/>
            </w:pPr>
            <w:r>
              <w:rPr>
                <w:rFonts w:ascii="仿宋_GB2312" w:hAnsi="仿宋_GB2312" w:cs="仿宋_GB2312" w:eastAsia="仿宋_GB2312"/>
              </w:rPr>
              <w:t>拟派项目负责人具备一级注册消防工程师证书（具有本单位在职近6个月社保证明）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1.磋商响应文件上法定代表人或其授权代表人的签字齐全并按要求加盖公章；2.只能有一个有效报价，不得提交选择性报价，且报价不超过采购预算金额或最高限价；3.不存在磋商文件及法律法规规定的无效情形。</w:t>
            </w:r>
          </w:p>
        </w:tc>
        <w:tc>
          <w:tcPr>
            <w:tcW w:type="dxa" w:w="1661"/>
          </w:tcPr>
          <w:p>
            <w:pPr>
              <w:pStyle w:val="null3"/>
            </w:pPr>
            <w:r>
              <w:rPr>
                <w:rFonts w:ascii="仿宋_GB2312" w:hAnsi="仿宋_GB2312" w:cs="仿宋_GB2312" w:eastAsia="仿宋_GB2312"/>
              </w:rPr>
              <w:t>标的清单 报价表 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1、磋商响应文件是否包含磋商报价表、响应函、技术和商务响应文件；2、磋商报价完整，不得只对采购需求部分内容进行报价。</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1.响应磋商文件的所有实质性条款； 2.磋商有效期应满足磋商文件中的规定。</w:t>
            </w:r>
          </w:p>
        </w:tc>
        <w:tc>
          <w:tcPr>
            <w:tcW w:type="dxa" w:w="1661"/>
          </w:tcPr>
          <w:p>
            <w:pPr>
              <w:pStyle w:val="null3"/>
            </w:pPr>
            <w:r>
              <w:rPr>
                <w:rFonts w:ascii="仿宋_GB2312" w:hAnsi="仿宋_GB2312" w:cs="仿宋_GB2312" w:eastAsia="仿宋_GB2312"/>
              </w:rPr>
              <w:t>响应文件封面 服务内容及服务邀请应答表 商务应答表 服务方案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供应商需要对本次消防系统的架构及组成、保养维修方案进行说明（包含但不限于整体服务、工作计划、日常管理方案及措施、工作流程等方案等）。 1、对该消防系统架构及组成清晰，表述详实明了，整体方案详实，科学合理，系统结构清晰，贴合采购人实际需求，且可实施性强，对工程实施具有指导意义得12分； 2、整体方案较详实，且具有可实施性得10分； 3、整体方案仅满足采购文件要求得8分； 4、整体方案针对性较差、满足部分要求得5分； 5、未提供不得分。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服务质量标准</w:t>
            </w:r>
          </w:p>
        </w:tc>
        <w:tc>
          <w:tcPr>
            <w:tcW w:type="dxa" w:w="2492"/>
          </w:tcPr>
          <w:p>
            <w:pPr>
              <w:pStyle w:val="null3"/>
            </w:pPr>
            <w:r>
              <w:rPr>
                <w:rFonts w:ascii="仿宋_GB2312" w:hAnsi="仿宋_GB2312" w:cs="仿宋_GB2312" w:eastAsia="仿宋_GB2312"/>
              </w:rPr>
              <w:t>对服务巡查检查的频次、检查的记录有相应的标准和形式。针对每日、每周、每月、每季巡查的常规检查记录完整，发现问题及重大隐患时能采取应急措施，确保安全。 1、整体巡检标准及形式科学合理，具有针对性，贴和采购人实际需求，且可实施性强，对采购人具有指导意义得15分； 2、整体巡检标准及形式较详实，且具有可实施性，基本贴合采购人实际需求得13分； 3、整体巡检标准及形式内容完整，可实施性及针对性较弱得10分； 4、整体巡检标准及形式内容较完整，可实施性及针对性差得7分； 5、未提供不得分。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根据供应商所提供针对系统出现重大故障短时间内无法恢复的突发情况应急预案进行评审 1、方案内容完整、合理、针对性强且对常见故障能进行准确的预判及有效的解决得10分； 2、方案内容基本完整、计划基本可行，基本符合项目需求且有相关经验得7分； 3、方案内容、计划有缺失，不够完整得4分；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人员安排情况</w:t>
            </w:r>
          </w:p>
        </w:tc>
        <w:tc>
          <w:tcPr>
            <w:tcW w:type="dxa" w:w="2492"/>
          </w:tcPr>
          <w:p>
            <w:pPr>
              <w:pStyle w:val="null3"/>
            </w:pPr>
            <w:r>
              <w:rPr>
                <w:rFonts w:ascii="仿宋_GB2312" w:hAnsi="仿宋_GB2312" w:cs="仿宋_GB2312" w:eastAsia="仿宋_GB2312"/>
              </w:rPr>
              <w:t>1、满足第三章3.2.3人员配置要求消防设施操作员人数的得2分，不满足不得分； 2、拟派项目负责人：具有高级职称得1分，具有中级职称得0.5分； 3、消防设施操作员：每具有1个机电工程类中级及以上职称的加0.5分，最多加1分； 4、每增加1个消防设施操作员加0.5分，最多加1分。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维保设备</w:t>
            </w:r>
          </w:p>
        </w:tc>
        <w:tc>
          <w:tcPr>
            <w:tcW w:type="dxa" w:w="2492"/>
          </w:tcPr>
          <w:p>
            <w:pPr>
              <w:pStyle w:val="null3"/>
            </w:pPr>
            <w:r>
              <w:rPr>
                <w:rFonts w:ascii="仿宋_GB2312" w:hAnsi="仿宋_GB2312" w:cs="仿宋_GB2312" w:eastAsia="仿宋_GB2312"/>
              </w:rPr>
              <w:t>供应商应根据本项目情况提供相应的维保所需的设备（仪器），形式不限于表格、文字说明、图片等。 1、提供满足项目维保需求，且种类齐全完备，并提供对应设备（仪器）图片和发票的得2分； 2、提供满足项目维保需求，且种类较齐全，并提供对应设备（仪器）图片和发票的得1分； 3、提供设备（仪器）不满足项目维保需求，或未能提供对应设备（仪器）图片和发票的不得分。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设备（仪器）资料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根据供应商安全措施进行评分 1、方案内容完整、合理、针对性强且措施得力得6分； 2、方案内容基本完整、计划基本可行，针对性一般得4分； 3、方案内容、措施有缺失，不够完整得2分；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供应商 2022年1月1日以来（以合同签订日期为准）消防设施维护保养业绩，每提供一个有效业绩得3分，最高得15分。 赋分依据：提供合同复印件（加盖供应商公章） 注：复印件要求：首页、反映实施内容页、签名盖章页、反映合同签署日期页。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根据供应商提供①服务承诺（包括：服务保障方案）内容详细得2分，内容不够切合项目得1分，不提供不得分；②服务内容（响应时间、响应程度、解决问题的能力、售后服务电话、24小时服务热线、质保期、 维护保养、易损件备份方案等）内容详细得2分，内容不够切合项目得1分，不提供不得分）；③售后服务流程，内容详细得2分，内容不够切合项目得1分，不提供不得分；④服务人员配备名单及配置合理方案，内容详细得2分，内容不够切合项目得1分，不提供不得分；⑤退换货服务措施，内容详细得2分，内容不够切合项目得1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附加服务</w:t>
            </w:r>
          </w:p>
        </w:tc>
        <w:tc>
          <w:tcPr>
            <w:tcW w:type="dxa" w:w="2492"/>
          </w:tcPr>
          <w:p>
            <w:pPr>
              <w:pStyle w:val="null3"/>
            </w:pPr>
            <w:r>
              <w:rPr>
                <w:rFonts w:ascii="仿宋_GB2312" w:hAnsi="仿宋_GB2312" w:cs="仿宋_GB2312" w:eastAsia="仿宋_GB2312"/>
              </w:rPr>
              <w:t>供应商根据自身实力针对本项目提供免费附加服务，列出服务方案及承诺，根据服务内容及对消防安全保障的帮助程度评分。 1、具有详细服务方案及承诺，提供对消防安全保障有重大帮助得5分； 2、服务方案完整，服务承诺对消防安全保障有较大帮助得3分； 3、服务方案不完整，服务承诺对消防安全保障无明显帮助得1分； 4、不提供，不得分。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根据供应商维护响应时间方案及承诺进行评分。 1、最高效且提供了相应承诺得5分； 2、效率较高且提供了相应承诺得2分； 3、未承诺得0分。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商务条款全部满足得5分，任一项不满足，本项得0分。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1.价格分统一采用低价优先法计算，既满足磋商文件要求且最后报价最低的供应商的价格为磋商基准价，其价格分为满分； 2.其他供应商的价格分统一按照下列公式计算： 磋商报价得分=（磋商基准价/最后磋商报价）×10。 3.供应商享受相关价格优惠政策的，优惠后的价格作为其磋商报价参与计算。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详见附件：供应商无重大违法记录的书面声明</w:t>
      </w:r>
    </w:p>
    <w:p>
      <w:pPr>
        <w:pStyle w:val="null3"/>
        <w:ind w:firstLine="960"/>
      </w:pPr>
      <w:r>
        <w:rPr>
          <w:rFonts w:ascii="仿宋_GB2312" w:hAnsi="仿宋_GB2312" w:cs="仿宋_GB2312" w:eastAsia="仿宋_GB2312"/>
        </w:rPr>
        <w:t>详见附件：诚信声明</w:t>
      </w:r>
    </w:p>
    <w:p>
      <w:pPr>
        <w:pStyle w:val="null3"/>
        <w:ind w:firstLine="960"/>
      </w:pPr>
      <w:r>
        <w:rPr>
          <w:rFonts w:ascii="仿宋_GB2312" w:hAnsi="仿宋_GB2312" w:cs="仿宋_GB2312" w:eastAsia="仿宋_GB2312"/>
        </w:rPr>
        <w:t>详见附件：设备（仪器）资料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