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版本号：SXBH-ZFCG-2026-028.1B120260602001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2026年省级重点商品质量安全监管项目(二次)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SXBH-ZFCG-2026-028.1B1</w:t>
      </w:r>
      <w:r>
        <w:br/>
      </w:r>
      <w:r>
        <w:br/>
      </w:r>
      <w:r>
        <w:br/>
      </w:r>
    </w:p>
    <w:p>
      <w:pPr>
        <w:pStyle w:val="null3"/>
        <w:jc w:val="center"/>
        <w:outlineLvl w:val="2"/>
      </w:pPr>
      <w:r>
        <w:rPr>
          <w:rFonts w:ascii="仿宋_GB2312" w:hAnsi="仿宋_GB2312" w:cs="仿宋_GB2312" w:eastAsia="仿宋_GB2312"/>
          <w:sz w:val="28"/>
          <w:b/>
        </w:rPr>
        <w:t>铜川市印台区市场监督管理局</w:t>
      </w:r>
    </w:p>
    <w:p>
      <w:pPr>
        <w:pStyle w:val="null3"/>
        <w:jc w:val="center"/>
        <w:outlineLvl w:val="2"/>
      </w:pPr>
      <w:r>
        <w:rPr>
          <w:rFonts w:ascii="仿宋_GB2312" w:hAnsi="仿宋_GB2312" w:cs="仿宋_GB2312" w:eastAsia="仿宋_GB2312"/>
          <w:sz w:val="28"/>
          <w:b/>
        </w:rPr>
        <w:t>陕西北衡全项目咨询有限公司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陕西北衡全项目咨询有限公司</w:t>
      </w:r>
      <w:r>
        <w:rPr>
          <w:rFonts w:ascii="仿宋_GB2312" w:hAnsi="仿宋_GB2312" w:cs="仿宋_GB2312" w:eastAsia="仿宋_GB2312"/>
        </w:rPr>
        <w:t>（以下简称“代理机构”）受</w:t>
      </w:r>
      <w:r>
        <w:rPr>
          <w:rFonts w:ascii="仿宋_GB2312" w:hAnsi="仿宋_GB2312" w:cs="仿宋_GB2312" w:eastAsia="仿宋_GB2312"/>
        </w:rPr>
        <w:t>铜川市印台区市场监督管理局</w:t>
      </w:r>
      <w:r>
        <w:rPr>
          <w:rFonts w:ascii="仿宋_GB2312" w:hAnsi="仿宋_GB2312" w:cs="仿宋_GB2312" w:eastAsia="仿宋_GB2312"/>
        </w:rPr>
        <w:t>委托，拟对</w:t>
      </w:r>
      <w:r>
        <w:rPr>
          <w:rFonts w:ascii="仿宋_GB2312" w:hAnsi="仿宋_GB2312" w:cs="仿宋_GB2312" w:eastAsia="仿宋_GB2312"/>
        </w:rPr>
        <w:t>2026年省级重点商品质量安全监管项目(二次)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SXBH-ZFCG-2026-028.1B1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2026年省级重点商品质量安全监管项目(二次)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2026年省级重点商品质量检验检测相关服务工作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采购包1（2026年省级重点商品质量安全监管项目）：属于专门面向中小企业采购。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营业执照等主体资格证明文件：提供有效存续的企业营业执照（副本）/事业单位法人证书/专业服务机构执业许可证/民办非企业单位登记证书（以上四种形式的资料提供任何一种即可），自然人提供身份证；供应商需在项目电子化交易系统中按要求上传相应证明文件并进行电子签章</w:t>
      </w:r>
    </w:p>
    <w:p>
      <w:pPr>
        <w:pStyle w:val="null3"/>
      </w:pPr>
      <w:r>
        <w:rPr>
          <w:rFonts w:ascii="仿宋_GB2312" w:hAnsi="仿宋_GB2312" w:cs="仿宋_GB2312" w:eastAsia="仿宋_GB2312"/>
        </w:rPr>
        <w:t>2、资质：供应商须提供计量认证（CMA）证书（提供证书完整附表）。供应商需在项目电子化交易系统中按要求上传相应证明文件并进行电子签章</w:t>
      </w:r>
    </w:p>
    <w:p>
      <w:pPr>
        <w:pStyle w:val="null3"/>
      </w:pPr>
      <w:r>
        <w:rPr>
          <w:rFonts w:ascii="仿宋_GB2312" w:hAnsi="仿宋_GB2312" w:cs="仿宋_GB2312" w:eastAsia="仿宋_GB2312"/>
        </w:rPr>
        <w:t>3、具有良好的商业信誉：供应商提供“中国裁判文书网（https://wenshu.court.govc.n/”）行贿犯罪记录查询截图、不得为中国政府采购网（https://www.ccgp.gov.cn）“政府采购严重违法失信行为记录名单”内被财政部门禁止参加政府采购活动的供应商及“信用中国（https://www.creditchina.gov.cn/）”中没有因招标投标违法行为被行政处罚的记录（信用中国首页-信息公示-行政管理信息查询-行政处罚）；供应商需在项目电子化交易系统中按要求上传相应证明文件并进行电子签章</w:t>
      </w:r>
    </w:p>
    <w:p>
      <w:pPr>
        <w:pStyle w:val="null3"/>
      </w:pPr>
      <w:r>
        <w:rPr>
          <w:rFonts w:ascii="仿宋_GB2312" w:hAnsi="仿宋_GB2312" w:cs="仿宋_GB2312" w:eastAsia="仿宋_GB2312"/>
        </w:rPr>
        <w:t>4、有依法缴纳税收的良好记录：提供2025年8月至今已缴纳的至少一个月的纳税证明或完税证明（提供增值税、营业税、企业所得税中的至少一种），纳税证明或完税证明上应有代收机构或税务机关的公章或业务专用章。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5、有依法缴纳社会保障资金的良好记录：提供2025年8月至今已缴纳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6、具有健全的财务会计制度：提供近三年（2023年、2024年、2025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且审计报告应当经过注册会计师行业统一监管平台备案赋码，或2025年8月至今基本存款账户开户银行出具的资信证明及基本存款账户信息；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7、具有履行合同所必需的设备和专业技术能力：提供具有履行合同所必需的设备和专业技术能力的书面声明。供应商需在项目电子化交易系统中按要求上传相应证明文件并进行电子签章</w:t>
      </w:r>
    </w:p>
    <w:p>
      <w:pPr>
        <w:pStyle w:val="null3"/>
      </w:pPr>
      <w:r>
        <w:rPr>
          <w:rFonts w:ascii="仿宋_GB2312" w:hAnsi="仿宋_GB2312" w:cs="仿宋_GB2312" w:eastAsia="仿宋_GB2312"/>
        </w:rPr>
        <w:t>8、参加政府采购活动前三年内，在经营活动中没有重大违法记录：提供参加政府采购活动前三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9、法定代表人证明书或法定代表人授权书：法定代表人参加磋商的，须提供法定代表人证明书及本人身份证复印件；法定代表人授权他人参加磋商的，须提供法定代表人授权委托书并出示授权代表的身份证复印件。磋商文件中凡是需要法定代表人签字盖章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10、无关联：提供单位负责人为同一人或者存在控股、管理关系的不同单位，不得参加同一标段或者未划分标段的同一项目的书面声明。供应商需在项目电子化交易系统中按要求上传相应证明文件并进行电子签章</w:t>
      </w:r>
    </w:p>
    <w:p>
      <w:pPr>
        <w:pStyle w:val="null3"/>
      </w:pPr>
      <w:r>
        <w:rPr>
          <w:rFonts w:ascii="仿宋_GB2312" w:hAnsi="仿宋_GB2312" w:cs="仿宋_GB2312" w:eastAsia="仿宋_GB2312"/>
        </w:rPr>
        <w:t>11、非联合体：提供不接受联合体磋商的书面声明。供应商需在项目电子化交易系统中按要求上传相应证明文件并进行电子签章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铜川市印台区市场监督管理局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铜川市印台区延安路61号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铜川市印台区市场监督管理局经办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13379199246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陕西北衡全项目咨询有限公司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陕西省铜川市印台区惠民佳苑8号楼2楼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刘瑞华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17691172318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代理服务费收费标准：依据国家计委颁布《招标代理服务收费管理暂行办法》（计价格[2002]1980号）文件的有关规定执行，以成交金额为计算基数，按差额定率累进法计算。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铜川市印台区市场监督管理局</w:t>
      </w:r>
      <w:r>
        <w:rPr>
          <w:rFonts w:ascii="仿宋_GB2312" w:hAnsi="仿宋_GB2312" w:cs="仿宋_GB2312" w:eastAsia="仿宋_GB2312"/>
        </w:rPr>
        <w:t>和</w:t>
      </w:r>
      <w:r>
        <w:rPr>
          <w:rFonts w:ascii="仿宋_GB2312" w:hAnsi="仿宋_GB2312" w:cs="仿宋_GB2312" w:eastAsia="仿宋_GB2312"/>
        </w:rPr>
        <w:t>陕西北衡全项目咨询有限公司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铜川市印台区市场监督管理局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陕西北衡全项目咨询有限公司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铜川市印台区市场监督管理局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陕西北衡全项目咨询有限公司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达到国家及行业相关验收标准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联系人：刘瑞华</w:t>
      </w:r>
    </w:p>
    <w:p>
      <w:pPr>
        <w:pStyle w:val="null3"/>
      </w:pPr>
      <w:r>
        <w:rPr>
          <w:rFonts w:ascii="仿宋_GB2312" w:hAnsi="仿宋_GB2312" w:cs="仿宋_GB2312" w:eastAsia="仿宋_GB2312"/>
        </w:rPr>
        <w:t>联系电话：17691172318</w:t>
      </w:r>
    </w:p>
    <w:p>
      <w:pPr>
        <w:pStyle w:val="null3"/>
      </w:pPr>
      <w:r>
        <w:rPr>
          <w:rFonts w:ascii="仿宋_GB2312" w:hAnsi="仿宋_GB2312" w:cs="仿宋_GB2312" w:eastAsia="仿宋_GB2312"/>
        </w:rPr>
        <w:t>地址：铜川市耀州区咸丰路街道丹阳国际15层招标部</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2026年省级重点商品质量检验检测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重点商品检验检测及食品你点我检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标的名称：重点商品检验检测及食品你点我检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具体详见附件1：抽检清单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供应商自备专业设备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达到国家及行业相关验收标准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进度款，项目完成并验收合格后，达到付款条件起7个工作日内，支付合同总金额的70.0%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未按合同要求执行、质量不能满足要求，采购人可根据成交供应商的违约情况，调整成交供应商的供货范围或取消其服务资格，并终止合同，并对供方违约行为进行追究，同时按《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1、为顺利推进政府采购电子化交易平台应用工作，供应商需要在线提交所有通过电子化交易平台实施的政府采购项目的响应文件，同时，线下提交纸质响应文件正本壹份、副本壹份。 2、纸质响应文件正副本分别胶装（书脊处注明供应商全称，项目编号），标明供应商名称密封递交，递交截止时间同在线递交电子响应文件截止时间一致，递交地址：铜川市耀州区咸丰路街道丹阳国际 15 层招标部。（纸质响应文件可邮寄，邮件签收时间应为在线递交电子响应文件截止时间之前，邮寄地址：铜川市耀州区咸丰路街道丹阳国际 15 层招标部，联系人：刘瑞华，联系电话：17691172318）。3、若电子响应文件与纸质响应文件不一致的，以电子响应文件为准。4、本项目《中小企业声明函》须逐项完整响应；若存在缺项响应，或声明函所列任一服务非由中小企业服务，则供应商在本项目中无权享受中小企业扶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三年（2023年、2024年、2025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且审计报告应当经过注册会计师行业统一监管平台备案赋码，或2025年8月至今基本存款账户开户银行出具的资信证明及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营业执照等主体资格证明文件：提供有效存续的企业营业执照（副本）/事业单位法人证书/专业服务机构执业许可证/民办非企业单位登记证书（以上四种形式的资料提供任何一种即可），自然人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供应商须提供计量认证（CMA）证书（提供证书完整附表）。供应商需在项目电子化交易系统中按要求上传相应证明文件并进行电子签章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供应商提供“中国裁判文书网（https://wenshu.court.govc.n/”）行贿犯罪记录查询截图、不得为中国政府采购网（https://www.ccgp.gov.cn）“政府采购严重违法失信行为记录名单”内被财政部门禁止参加政府采购活动的供应商及“信用中国（https://www.creditchina.gov.cn/）”中没有因招标投标违法行为被行政处罚的记录（信用中国首页-信息公示-行政管理信息查询-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8月至今已缴纳的至少一个月的纳税证明或完税证明（提供增值税、营业税、企业所得税中的至少一种），纳税证明或完税证明上应有代收机构或税务机关的公章或业务专用章。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8月至今已缴纳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具有健全的财务会计制度</w:t>
            </w:r>
          </w:p>
        </w:tc>
        <w:tc>
          <w:tcPr>
            <w:tcW w:type="dxa" w:w="3322"/>
          </w:tcPr>
          <w:p>
            <w:pPr>
              <w:pStyle w:val="null3"/>
            </w:pPr>
            <w:r>
              <w:rPr>
                <w:rFonts w:ascii="仿宋_GB2312" w:hAnsi="仿宋_GB2312" w:cs="仿宋_GB2312" w:eastAsia="仿宋_GB2312"/>
              </w:rPr>
              <w:t>提供近三年（2023年、2024年、2025年）任意一年度的经会计师事务所或审计机构审计的财务审计报告(包括审计报告、资产负债表、利润表、现金流量表、所有者权益变动表、附注等全部内容，成立时间至提交响应文件截止时间不足一年的可提供成立后任意时段的资产负债表)和财务情况说明书且审计报告应当经过注册会计师行业统一监管平台备案赋码，或2025年8月至今基本存款账户开户银行出具的资信证明及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参加磋商的，须提供法定代表人证明书及本人身份证复印件；法定代表人授权他人参加磋商的，须提供法定代表人授权委托书并出示授权代表的身份证复印件。磋商文件中凡是需要法定代表人签字盖章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法人授权书.docx 法人证明书.docx 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无关联</w:t>
            </w:r>
          </w:p>
        </w:tc>
        <w:tc>
          <w:tcPr>
            <w:tcW w:type="dxa" w:w="3322"/>
          </w:tcPr>
          <w:p>
            <w:pPr>
              <w:pStyle w:val="null3"/>
            </w:pPr>
            <w:r>
              <w:rPr>
                <w:rFonts w:ascii="仿宋_GB2312" w:hAnsi="仿宋_GB2312" w:cs="仿宋_GB2312" w:eastAsia="仿宋_GB2312"/>
              </w:rPr>
              <w:t>提供单位负责人为同一人或者存在控股、管理关系的不同单位，不得参加同一标段或者未划分标段的同一项目的书面声明。供应商需在项目电子化交易系统中按要求上传相应证明文件并进行电子签章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提供不接受联合体磋商的书面声明。供应商需在项目电子化交易系统中按要求上传相应证明文件并进行电子签章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法人证明书.docx 服务内容及服务邀请应答表 供应商类似项目业绩一览表.docx 中小企业声明函 商务应答表 供应商应提交的相关资格证明材料 报价表 响应文件封面 法人授权书.docx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供应商必须按照磋商文件的规定和要求在响应文件中指定的页面落款处加盖公章或由法定代表人或被授权人签名（或盖章），其余页面逐页盖公章，否则将作为无效文件处理。磋商文件凡是要求法定代表人签名或盖章之处 ，非法人单位的负责人均参照执行。</w:t>
            </w:r>
          </w:p>
        </w:tc>
        <w:tc>
          <w:tcPr>
            <w:tcW w:type="dxa" w:w="1661"/>
          </w:tcPr>
          <w:p>
            <w:pPr>
              <w:pStyle w:val="null3"/>
            </w:pPr>
            <w:r>
              <w:rPr>
                <w:rFonts w:ascii="仿宋_GB2312" w:hAnsi="仿宋_GB2312" w:cs="仿宋_GB2312" w:eastAsia="仿宋_GB2312"/>
              </w:rPr>
              <w:t>法人证明书.docx 服务内容及服务邀请应答表 供应商类似项目业绩一览表.docx 中小企业声明函 商务应答表 供应商应提交的相关资格证明材料 报价表 响应文件封面 法人授权书.docx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响应文件所有报价符合文件要求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A、供应商的响应报价有选择性报价或者响应报价重新计算后超过本项目采购预算或者最高限价的； B、供应商未经过正常渠道领取磋商文件，或供应商名称与领取磋商文件时登记的供应商名称不符的； C、供应商针对同一项目递交两份或多份内容不同的响应文件，未书面声明哪一份是有效的或出现选择性报价的； D、提供虚假资质、虚假资料、虚假证明（包括第三方提供的虚假证明）；出现虚假应答、承诺、声明的，除按无效响应文件处理外，还将按照政府采购的有关规定进行处罚； E、供应商在商务响应方面附加了采购单位难以接受的条件或条款的； F、在政府采购或其它重大项目履约过程中有不良记录或未能按期履约的； G、供应商使用虚假印章或印章无法证实为真实有效； H、报价子目出现漏项或报价与要求不符的； I、实质性内容不满足、未完全未响应招标要求或擅自改动技术要求的； G、响应文件的关键内容或字迹模糊、无法辨认的； K、不符合法律、法规规定的其它实质性要求的；L:提供所有证明材料均在有效期内。</w:t>
            </w:r>
          </w:p>
        </w:tc>
        <w:tc>
          <w:tcPr>
            <w:tcW w:type="dxa" w:w="1661"/>
          </w:tcPr>
          <w:p>
            <w:pPr>
              <w:pStyle w:val="null3"/>
            </w:pPr>
            <w:r>
              <w:rPr>
                <w:rFonts w:ascii="仿宋_GB2312" w:hAnsi="仿宋_GB2312" w:cs="仿宋_GB2312" w:eastAsia="仿宋_GB2312"/>
              </w:rPr>
              <w:t>法人证明书.docx 服务内容及服务邀请应答表 供应商类似项目业绩一览表.docx 中小企业声明函 商务应答表 供应商应提交的相关资格证明材料 报价表 响应文件封面 法人授权书.docx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提供自2022年以来与本项目检验产品有关的监督抽查项目业绩，每出具1份得1分，最高得5分。 （以响应文件中的复印件加盖公章为准）。 注：业绩证明材料仅包含；1、加盖公章的相关监督抽查（抽查检验）文件复印件；2、相关的监督抽查（抽查检验）合同；以上两种证明材料任意提供一种即可，其他材料不予认可。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一、评审内容（每项计3分，最高得15分，未提供不计分） 1、提供针对本项目的上门采集程序方案； 2、提供针对本项目的样品存储方案； 3、提供针对本项目的采样人员配置方案； 4、提供针对本项目的抽检系统的运用方案； 5、提供针对本项目的抽检（检验）信息的录入方案。 二、扣分规则（累计扣分不超过对应评审内容分值，扣完对应分项分值即止） 专门针对本项目编制，切合本项目实际情况及实施要求，内容与要点相符、每个要点均有展开详细的阐述且能够适用于本项目的计15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一、评审内容（每项计3分，最高得36分，未提供不计分） 1、提供针对本项目的服务质量保证体系及措施； 2、提供针对本项目的预防性管理方法； 3、提供针对本项目的工作流程； 4、提供针对本项目的实验室管理制度； 5、提供针对本项目的车辆管理。 6、提供针对本项目的进度计划安排； 7、提供针对本项目的检测规章制度； 8、提供针对本项目的检测工作的重难点分析； 9、提供针对本项目的样品采集方案。 10、提供针对本项目的样品运输方案。 11、提供针对本项目的样品管理方案。 12、提供针对本项目服务过程中样品、人身等安全保证措施。 二、扣分规则（累计扣分不超过对应评审内容分值，扣完对应分项分值即止） 专门针对本项目编制，切合本项目实际情况及实施要求，内容与要点相符、每个要点均有展开详细的阐述且能够适用于本项目的计36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一、评审内容（每项计3分，最高得6分，未提供不计分） 采购人辖区出现食品安全事故或案件调查等应急类事件时: 1、建立应急预案； 2、配合采购人进行采样、调查，并提出相关技术建议。 二、扣分规则（累计扣分不超过对应评审内容分值，扣完对应分项分值即止） 专门针对本项目编制，切合本项目实际情况及实施要求，内容与要点相符、每个要点均有展开详细的阐述且能够适用于本项目的计6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投诉受理</w:t>
            </w:r>
          </w:p>
        </w:tc>
        <w:tc>
          <w:tcPr>
            <w:tcW w:type="dxa" w:w="2492"/>
          </w:tcPr>
          <w:p>
            <w:pPr>
              <w:pStyle w:val="null3"/>
            </w:pPr>
            <w:r>
              <w:rPr>
                <w:rFonts w:ascii="仿宋_GB2312" w:hAnsi="仿宋_GB2312" w:cs="仿宋_GB2312" w:eastAsia="仿宋_GB2312"/>
              </w:rPr>
              <w:t>一、评审内容（本项最高得3分） 被抽检人可能提出的异议结合实际，做出有效回应。 二、扣分规则（累计扣分不超过对应评审内容分值，扣完对应分项分值即止） 专门针对本项目编制，切合本项目实际情况及实施要求，内容与要点相符、每个要点均有展开详细的阐述且能够适用于本项目的计3分；未提供本项评审提供扣3分；存在缺陷，每个缺陷扣0.5分。（缺陷是指：是指内容不完整或缺少关键点；逻辑混乱、前后表述矛盾；非专门针对本项目或不适用本项目特性、套用其他项目内容；逻辑漏洞、出现常识性错误；</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实验室场地(以CMA注册地为准)及冷库</w:t>
            </w:r>
          </w:p>
        </w:tc>
        <w:tc>
          <w:tcPr>
            <w:tcW w:type="dxa" w:w="2492"/>
          </w:tcPr>
          <w:p>
            <w:pPr>
              <w:pStyle w:val="null3"/>
            </w:pPr>
            <w:r>
              <w:rPr>
                <w:rFonts w:ascii="仿宋_GB2312" w:hAnsi="仿宋_GB2312" w:cs="仿宋_GB2312" w:eastAsia="仿宋_GB2312"/>
              </w:rPr>
              <w:t>有满足检测工作需要的、独立的、固定的实验室场地及冷库，提供相应的证明材料：①提供实验室场地房产证复印件或房屋租赁合同复印件。得1.5分；②提供冷库房产证复印件或房屋租赁合同复印件。得1.5分；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根据投入的具有符合检测要求的仪器设备，提供仪器设备一览表。供应商需提供拟配备于本项目的器械设备的发票复印件和校准证书，每提供一项，得0.5分，最高得6分。注：以提供仪器设备的发票及校准证书复印件为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供应商拟投入本项目的专用采样车辆中，每具有一辆自有配送车辆得1分，每具有一辆租赁车辆得 0.5 分，本项满分为6 分。 注：自有车辆：需提供车辆行驶证复印件和车辆照片；租赁车辆：需提供车辆租赁合同复印件（租赁期限必须覆盖2026年），车辆行驶证复印件及车辆照片。</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 实验室专业检测分析人员、外业数据采集人员按2人组成1个人员组别进行评审，每组两项岗位人员须同时配齐，缺任一岗位人员均不予得分，提供 1 组，得 1 分（提供相应证书证明复印件），本项最高得7分。 （以上人员均须提供身份证及相应证书证明复印件，否则不计分）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3小时内到达现场采样的，得3分；承诺自接到采购人通知后 8 小时内到达现场采样的，得2 分；承诺自接到采购人通知后 12 小时内到达现场采样的，得1 分；（需提供满足快速响应的资料）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磋商报价：本合同包预算金额为30万元；下浮率越高供应商须为采购人提供的服务批次越多，最终直至将预算金额全部使用完毕。（清单为计划清单，最终以甲方需求为准) 投标总报价得分=评标基准价/（1-投标下浮率）*10*100%。 注:评标基准价=（1-最高下浮率）。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详见附件：法人授权书.docx</w:t>
      </w:r>
    </w:p>
    <w:p>
      <w:pPr>
        <w:pStyle w:val="null3"/>
        <w:ind w:firstLine="960"/>
      </w:pPr>
      <w:r>
        <w:rPr>
          <w:rFonts w:ascii="仿宋_GB2312" w:hAnsi="仿宋_GB2312" w:cs="仿宋_GB2312" w:eastAsia="仿宋_GB2312"/>
        </w:rPr>
        <w:t>详见附件：法人证明书.docx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