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版本号：ZCSP-渭南市-2026-0031620260819001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渭南市沿黄旅游道部分观景台提升改造建设项目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ZCSP-渭南市-2026-00316</w:t>
      </w:r>
      <w:r>
        <w:br/>
      </w:r>
      <w:r>
        <w:br/>
      </w:r>
      <w:r>
        <w:br/>
      </w:r>
    </w:p>
    <w:p>
      <w:pPr>
        <w:pStyle w:val="null3"/>
        <w:jc w:val="center"/>
        <w:outlineLvl w:val="2"/>
      </w:pPr>
      <w:r>
        <w:rPr>
          <w:rFonts w:ascii="仿宋_GB2312" w:hAnsi="仿宋_GB2312" w:cs="仿宋_GB2312" w:eastAsia="仿宋_GB2312"/>
          <w:sz w:val="28"/>
          <w:b/>
        </w:rPr>
        <w:t>渭南市文化和旅游局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渭南市文化和旅游局</w:t>
      </w:r>
      <w:r>
        <w:rPr>
          <w:rFonts w:ascii="仿宋_GB2312" w:hAnsi="仿宋_GB2312" w:cs="仿宋_GB2312" w:eastAsia="仿宋_GB2312"/>
        </w:rPr>
        <w:t>委托，拟对</w:t>
      </w:r>
      <w:r>
        <w:rPr>
          <w:rFonts w:ascii="仿宋_GB2312" w:hAnsi="仿宋_GB2312" w:cs="仿宋_GB2312" w:eastAsia="仿宋_GB2312"/>
        </w:rPr>
        <w:t>渭南市沿黄旅游道部分观景台提升改造建设项目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ZCSP-渭南市-2026-00316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渭南市沿黄旅游道部分观景台提升改造建设项目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沿黄旅游道部分观景台提升改造建设项目，对沿线多处观景、驿站点位实施土建改造，涵盖韩城龙门片区、合阳片区、潼关古渡口、大荔渔湖镜天等观景节点，施工内容包含各点位土建工程，其中大荔渔湖镜天观景台同步配套绿化改造，整体完善沿黄旅游道路配套休憩、标识、铺装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采购包1（渭南市沿黄旅游道部分观景台提升改造建设项目）：属于专门面向中小企业采购。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公路交通工程专业承包资质（公路安全设施分项）二级（含二级）及以上资质或公路工程施工总承包三级（含三级）及以上资质或市政公用工程施工总承包三级（含三级）及以上资质，并具有有效的安全生产许可证；</w:t>
      </w:r>
    </w:p>
    <w:p>
      <w:pPr>
        <w:pStyle w:val="null3"/>
      </w:pPr>
      <w:r>
        <w:rPr>
          <w:rFonts w:ascii="仿宋_GB2312" w:hAnsi="仿宋_GB2312" w:cs="仿宋_GB2312" w:eastAsia="仿宋_GB2312"/>
        </w:rPr>
        <w:t>2、项目经理：拟派项目经理须具有公路工程二级及以上注册建造师资格或市政公用工程二级及以上注册建造师资格并具有有效的安全生产考核合格证，且无在建工程；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0913-2931900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渭南市文化和旅游局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联系人：董鹏飞</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656,630.52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渭南市沿黄旅游道部分观景台提升改造建设项目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标的名称：渭南市沿黄旅游道部分观景台提升改造建设项目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渭南市沿黄旅游道部分观景台提升改造建设项目，主要内容包括韩城康家岭隧道 1 观景台土建工程，韩城姚家庄观景台土建工程，韩城城北村观景台土建工程，韩城八路军东渡驻地旧址土建工程，韩城城北大桥北观景台土建工 程，合阳驿站观景台土建工程，合阳岔峪观景台土建工程，合阳全兴寨村观景台土建工程，潼关古渡口观景台土建工程，大荔渔湖镜天观景台土建工程、绿化工程等其他工程。</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工程地点：渭南市沿黄公路。（3）质量标准：合格。（4）质保期：自验收合格之日起一年。（5）付款方式：本工程进度付款依据工程进度情况按比例将进度应付款支付给供应商。合同签订后，拨付至合同总金额的40%，工程完工后，进度款拨付至供应商合同总金额的90%；本工程竣工验收后需要进行结算审计，最终的结算审定金额为本工程的最终合同价款；审计报告出具后采购人付清全部合同价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递交的纸质版文件内容确保与线上电子文件保持一致，不允许修改和补充。2.中标（成交）供应商在中标（成交）结果公告发布后3个工作日内向采购人提交最终版《工程量清单表》，供应商最终版《工程量清单表》中的总报价应与最终磋商总报价保持一致。 3.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公路交通工程专业承包资质（公路安全设施分项）二级（含二级）及以上资质或公路工程施工总承包三级（含三级）及以上资质或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拟派项目经理须具有公路工程二级及以上注册建造师资格或市政公用工程二级及以上注册建造师资格并具有有效的安全生产考核合格证，且无在建工程；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①施工进度计划及工期保障措施； ②各个进度衔接的保证措施。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 ②文明施工及环境保护措施。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（1）人员配备：拟投入的项目管理机构人员结构合理、岗位职责明确，除项目经理外，项目管理机构每配备1人得0.5分，本项最高得4分； （2）人员职称：项目管理人员中，除项目经理外，每具有一个工程类高级职称人员得2分，每具有一个工程类中级职称人员得1分,本项最高得4分。 注：须提供人员相关证件，不提供得0分。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供应商近五年（2021年1月至今）具有1项类似业绩得2分，最多得2分，未提供得0分。（提供合同复印件加盖公章，以合同签订时间为准）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依据工程内容配置所需设施设备；提供证明材料（需提供以下材料至少一项，亦可提交其他相关证明材料，例如：设备实物图、发票、合同等），每配备一项设备（不同类型）得1分，最多得5分。未提供证明材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满足竞争性磋商文件要求且磋商价格最低的最终磋商报价为磋商基准价，得满分40分； (3) 磋商报价得分=(磋商基准价／最终磋商报价)×40%×100。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