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E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</w:t>
      </w:r>
      <w:r>
        <w:rPr>
          <w:rFonts w:hint="eastAsia"/>
          <w:b/>
          <w:bCs/>
          <w:sz w:val="28"/>
          <w:szCs w:val="36"/>
          <w:lang w:val="en-US" w:eastAsia="zh-CN"/>
        </w:rPr>
        <w:t>参数</w:t>
      </w:r>
      <w:r>
        <w:rPr>
          <w:rFonts w:hint="eastAsia"/>
          <w:b/>
          <w:bCs/>
          <w:sz w:val="28"/>
          <w:szCs w:val="36"/>
          <w:lang w:eastAsia="zh-CN"/>
        </w:rPr>
        <w:t>差异表</w:t>
      </w:r>
    </w:p>
    <w:tbl>
      <w:tblPr>
        <w:tblStyle w:val="7"/>
        <w:tblW w:w="13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938"/>
        <w:gridCol w:w="5150"/>
        <w:gridCol w:w="3994"/>
        <w:gridCol w:w="1762"/>
      </w:tblGrid>
      <w:tr w14:paraId="2BE9C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33" w:type="dxa"/>
            <w:noWrap w:val="0"/>
            <w:vAlign w:val="center"/>
          </w:tcPr>
          <w:p w14:paraId="79470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序号</w:t>
            </w:r>
          </w:p>
        </w:tc>
        <w:tc>
          <w:tcPr>
            <w:tcW w:w="1938" w:type="dxa"/>
            <w:noWrap w:val="0"/>
            <w:vAlign w:val="center"/>
          </w:tcPr>
          <w:p w14:paraId="11D6D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设备名称</w:t>
            </w:r>
          </w:p>
        </w:tc>
        <w:tc>
          <w:tcPr>
            <w:tcW w:w="5150" w:type="dxa"/>
            <w:noWrap w:val="0"/>
            <w:vAlign w:val="center"/>
          </w:tcPr>
          <w:p w14:paraId="47273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招标参数要求</w:t>
            </w:r>
          </w:p>
        </w:tc>
        <w:tc>
          <w:tcPr>
            <w:tcW w:w="3994" w:type="dxa"/>
            <w:noWrap w:val="0"/>
            <w:vAlign w:val="center"/>
          </w:tcPr>
          <w:p w14:paraId="6B26B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投标参数</w:t>
            </w:r>
          </w:p>
        </w:tc>
        <w:tc>
          <w:tcPr>
            <w:tcW w:w="1762" w:type="dxa"/>
            <w:noWrap w:val="0"/>
            <w:vAlign w:val="center"/>
          </w:tcPr>
          <w:p w14:paraId="272D3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差异说明</w:t>
            </w:r>
          </w:p>
        </w:tc>
      </w:tr>
      <w:tr w14:paraId="096E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033" w:type="dxa"/>
            <w:noWrap w:val="0"/>
            <w:vAlign w:val="center"/>
          </w:tcPr>
          <w:p w14:paraId="2B7BF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938" w:type="dxa"/>
            <w:noWrap w:val="0"/>
            <w:vAlign w:val="center"/>
          </w:tcPr>
          <w:p w14:paraId="10A94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18DDE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593B7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99A3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6985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33" w:type="dxa"/>
            <w:noWrap w:val="0"/>
            <w:vAlign w:val="center"/>
          </w:tcPr>
          <w:p w14:paraId="2BE2D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38" w:type="dxa"/>
            <w:noWrap w:val="0"/>
            <w:vAlign w:val="center"/>
          </w:tcPr>
          <w:p w14:paraId="6F671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6096C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334998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E4D2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1779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33" w:type="dxa"/>
            <w:noWrap w:val="0"/>
            <w:vAlign w:val="center"/>
          </w:tcPr>
          <w:p w14:paraId="39C70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38" w:type="dxa"/>
            <w:noWrap w:val="0"/>
            <w:vAlign w:val="center"/>
          </w:tcPr>
          <w:p w14:paraId="5C36D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3ADCD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45CBB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EA99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5582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33" w:type="dxa"/>
            <w:noWrap w:val="0"/>
            <w:vAlign w:val="center"/>
          </w:tcPr>
          <w:p w14:paraId="43845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938" w:type="dxa"/>
            <w:noWrap w:val="0"/>
            <w:vAlign w:val="center"/>
          </w:tcPr>
          <w:p w14:paraId="4E950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5150" w:type="dxa"/>
            <w:noWrap w:val="0"/>
            <w:vAlign w:val="center"/>
          </w:tcPr>
          <w:p w14:paraId="31565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1DE41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3958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 w14:paraId="76F8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033" w:type="dxa"/>
            <w:noWrap w:val="0"/>
            <w:vAlign w:val="center"/>
          </w:tcPr>
          <w:p w14:paraId="4159B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38" w:type="dxa"/>
            <w:noWrap w:val="0"/>
            <w:vAlign w:val="center"/>
          </w:tcPr>
          <w:p w14:paraId="75431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150" w:type="dxa"/>
            <w:noWrap w:val="0"/>
            <w:vAlign w:val="center"/>
          </w:tcPr>
          <w:p w14:paraId="31C19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  <w:p w14:paraId="33D1E5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3994" w:type="dxa"/>
            <w:noWrap w:val="0"/>
            <w:vAlign w:val="center"/>
          </w:tcPr>
          <w:p w14:paraId="6242F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634A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</w:tbl>
    <w:p w14:paraId="39BD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</w:p>
    <w:p w14:paraId="41447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投标人：（盖章）</w:t>
      </w:r>
    </w:p>
    <w:p w14:paraId="303AE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法定代表人或其授权代理人：（签字或盖章）</w:t>
      </w:r>
    </w:p>
    <w:p w14:paraId="44045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bookmarkStart w:id="0" w:name="_GoBack"/>
      <w:bookmarkEnd w:id="0"/>
    </w:p>
    <w:p w14:paraId="0D631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jc w:val="right"/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年</w:t>
      </w:r>
      <w:r>
        <w:rPr>
          <w:rFonts w:hint="eastAsia"/>
          <w:sz w:val="28"/>
          <w:szCs w:val="36"/>
          <w:lang w:val="en-US" w:eastAsia="zh-CN"/>
        </w:rPr>
        <w:t xml:space="preserve">  月  日</w:t>
      </w:r>
    </w:p>
    <w:p w14:paraId="04327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40" w:firstLineChars="100"/>
        <w:jc w:val="both"/>
        <w:textAlignment w:val="baseline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注</w:t>
      </w:r>
      <w:r>
        <w:rPr>
          <w:rFonts w:hint="eastAsia"/>
          <w:sz w:val="24"/>
          <w:szCs w:val="32"/>
          <w:lang w:val="en-US" w:eastAsia="zh-CN"/>
        </w:rPr>
        <w:t>: 1、本表即为对“招标工程量清单”及“技术标准要求”进行比较和响应，投标人根据所投产品的参数，如实填写。</w:t>
      </w:r>
    </w:p>
    <w:p w14:paraId="29674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40" w:firstLineChars="100"/>
        <w:jc w:val="both"/>
        <w:textAlignment w:val="baseline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2、工程量清单中※标记的设备为本次项目的重要设备，必须填写此表，其中</w:t>
      </w:r>
      <w:r>
        <w:rPr>
          <w:rFonts w:hint="eastAsia"/>
          <w:b/>
          <w:bCs/>
          <w:sz w:val="24"/>
          <w:szCs w:val="32"/>
          <w:lang w:val="en-US" w:eastAsia="zh-CN"/>
        </w:rPr>
        <w:t>雷达流量计、数据采集终端、GNSS接收机、无人船、全景摄像机、智能水尺球形摄像机、工控网络安全监管分析设备、工业安全隔离与信息交换网关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提供检测报告</w:t>
      </w:r>
      <w:r>
        <w:rPr>
          <w:rFonts w:hint="eastAsia"/>
          <w:sz w:val="24"/>
          <w:szCs w:val="32"/>
          <w:lang w:val="en-US" w:eastAsia="zh-CN"/>
        </w:rPr>
        <w:t>或 产品说明书或 厂家彩页等证明材料，否则，按负偏离予以扣分。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240" w:firstLineChars="100"/>
        <w:jc w:val="both"/>
        <w:textAlignment w:val="baseline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hint="eastAsia"/>
          <w:sz w:val="24"/>
          <w:szCs w:val="32"/>
          <w:lang w:val="en-US" w:eastAsia="zh-CN"/>
        </w:rPr>
        <w:t>3、根据投标情况在“差异说明”项填写正偏离或负偏离（包括核心参数※偏离的条数），完全符合的填写“无差异”</w:t>
      </w:r>
    </w:p>
    <w:sectPr>
      <w:headerReference r:id="rId5" w:type="default"/>
      <w:footerReference r:id="rId6" w:type="default"/>
      <w:pgSz w:w="16838" w:h="11906" w:orient="landscape"/>
      <w:pgMar w:top="1531" w:right="1587" w:bottom="1474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B0517F"/>
    <w:rsid w:val="2FDB5616"/>
    <w:rsid w:val="7D60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291</Characters>
  <Lines>0</Lines>
  <Paragraphs>0</Paragraphs>
  <TotalTime>1</TotalTime>
  <ScaleCrop>false</ScaleCrop>
  <LinksUpToDate>false</LinksUpToDate>
  <CharactersWithSpaces>297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2026-04-20T00:44:22Z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eyJoZGlkIjoiYWMwZTEwMzQ3Nzk1N2IyNmQ4NjgxMjdkNDM5MDBlYTEiLCJ1c2VySWQiOiIxMzMyMDk4MTg2In0=</vt:lpwstr>
  </property>
  <property fmtid="{D5CDD505-2E9C-101B-9397-08002B2CF9AE}" pid="4" name="ICV">
    <vt:lpwstr>874261CAF9E54105A5F66B86B781EA60_12</vt:lpwstr>
  </property>
</Properties>
</file>