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版本号：政采-省本级-2026-0363820260507001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2026-2030年陕西省农田灌溉水有效利用系数测算分析</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政采-省本级-2026-03638</w:t>
      </w:r>
      <w:r>
        <w:br/>
      </w:r>
      <w:r>
        <w:br/>
      </w:r>
      <w:r>
        <w:br/>
      </w:r>
    </w:p>
    <w:p>
      <w:pPr>
        <w:pStyle w:val="null3"/>
        <w:jc w:val="center"/>
        <w:outlineLvl w:val="2"/>
      </w:pPr>
      <w:r>
        <w:rPr>
          <w:rFonts w:ascii="仿宋_GB2312" w:hAnsi="仿宋_GB2312" w:cs="仿宋_GB2312" w:eastAsia="仿宋_GB2312"/>
          <w:sz w:val="28"/>
          <w:b/>
        </w:rPr>
        <w:t>陕西省水利厅机关</w:t>
      </w:r>
    </w:p>
    <w:p>
      <w:pPr>
        <w:pStyle w:val="null3"/>
        <w:jc w:val="center"/>
        <w:outlineLvl w:val="2"/>
      </w:pPr>
      <w:r>
        <w:rPr>
          <w:rFonts w:ascii="仿宋_GB2312" w:hAnsi="仿宋_GB2312" w:cs="仿宋_GB2312" w:eastAsia="仿宋_GB2312"/>
          <w:sz w:val="28"/>
          <w:b/>
        </w:rPr>
        <w:t>陕西省水利电力工程咨询有限责任公司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陕西省水利电力工程咨询有限责任公司</w:t>
      </w:r>
      <w:r>
        <w:rPr>
          <w:rFonts w:ascii="仿宋_GB2312" w:hAnsi="仿宋_GB2312" w:cs="仿宋_GB2312" w:eastAsia="仿宋_GB2312"/>
        </w:rPr>
        <w:t>（以下简称“代理机构”）受</w:t>
      </w:r>
      <w:r>
        <w:rPr>
          <w:rFonts w:ascii="仿宋_GB2312" w:hAnsi="仿宋_GB2312" w:cs="仿宋_GB2312" w:eastAsia="仿宋_GB2312"/>
        </w:rPr>
        <w:t>陕西省水利厅机关</w:t>
      </w:r>
      <w:r>
        <w:rPr>
          <w:rFonts w:ascii="仿宋_GB2312" w:hAnsi="仿宋_GB2312" w:cs="仿宋_GB2312" w:eastAsia="仿宋_GB2312"/>
        </w:rPr>
        <w:t>委托，拟对</w:t>
      </w:r>
      <w:r>
        <w:rPr>
          <w:rFonts w:ascii="仿宋_GB2312" w:hAnsi="仿宋_GB2312" w:cs="仿宋_GB2312" w:eastAsia="仿宋_GB2312"/>
        </w:rPr>
        <w:t>2026-2030年陕西省农田灌溉水有效利用系数测算分析</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政采-省本级-2026-03638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2026-2030年陕西省农田灌溉水有效利用系数测算分析</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完成2026年陕西省农田灌溉水有效利用系数测算分析，样点灌区数据采集网络建设，样点灌区、各市区水行政主管部门系数测算分析技术指导，样点灌区测算的现场检查、抽查和督查等，平台数据填报、复核、测算等，全省及不同规模类型灌区灌溉水有效利用系数测算分析，灌溉水有效利用系数测算分析报告编制、评审、修正与提交。</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1、营业执照等主体资格证明文件：供应商为合法注册的法人、其他组织，具有独立承担民事责任的能力，提供营业执照或事业单位法人证书复印件，供应商为自然人的提供身份证复印件；</w:t>
      </w:r>
    </w:p>
    <w:p>
      <w:pPr>
        <w:pStyle w:val="null3"/>
      </w:pPr>
      <w:r>
        <w:rPr>
          <w:rFonts w:ascii="仿宋_GB2312" w:hAnsi="仿宋_GB2312" w:cs="仿宋_GB2312" w:eastAsia="仿宋_GB2312"/>
        </w:rPr>
        <w:t>2、社保缴纳证明：提供递交投标文件截止之日前一年内任意一个月的社会保障资金缴存单据或社保机构开具的社会保险参保缴费情况证明。依法不需要缴纳社会保障资金的供应商应提供相关证明文件复印件；</w:t>
      </w:r>
    </w:p>
    <w:p>
      <w:pPr>
        <w:pStyle w:val="null3"/>
      </w:pPr>
      <w:r>
        <w:rPr>
          <w:rFonts w:ascii="仿宋_GB2312" w:hAnsi="仿宋_GB2312" w:cs="仿宋_GB2312" w:eastAsia="仿宋_GB2312"/>
        </w:rPr>
        <w:t>3、税收缴纳证明：提供递交投标文件截止之日前一年内任意一个月的依法缴纳税收的相关凭据（时间以税款所属日期为准）。依法免税或无须缴纳税收的供应商，应提供相应证明文件复印件;</w:t>
      </w:r>
    </w:p>
    <w:p>
      <w:pPr>
        <w:pStyle w:val="null3"/>
      </w:pPr>
      <w:r>
        <w:rPr>
          <w:rFonts w:ascii="仿宋_GB2312" w:hAnsi="仿宋_GB2312" w:cs="仿宋_GB2312" w:eastAsia="仿宋_GB2312"/>
        </w:rPr>
        <w:t>4、具有履行本合同所必需的设备和专业技术能力：提供具有履行本合同所必需的设备和专业技术能力的承诺并加盖公章；</w:t>
      </w:r>
    </w:p>
    <w:p>
      <w:pPr>
        <w:pStyle w:val="null3"/>
      </w:pPr>
      <w:r>
        <w:rPr>
          <w:rFonts w:ascii="仿宋_GB2312" w:hAnsi="仿宋_GB2312" w:cs="仿宋_GB2312" w:eastAsia="仿宋_GB2312"/>
        </w:rPr>
        <w:t>5、没有重大违法记录的书面声明：参加政府采购活动前三年内，在经营活动中没有重大违法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书面声明并加盖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陕西省水利厅机关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尚德路150号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胡战峰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029-61835248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陕西省水利电力工程咨询有限责任公司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西安市碑林区兴庆路36号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029-87396339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代理服务费参照国家计委关于印发《招标代理服务收费管理暂行办法》的通知（计价格〔2002〕1980号）、《国家发展和改革委员会办公厅关于招标代理服务收费有关问题的通知》（发改办价格〔2003〕857号）及（发改办价格〔2011〕534号）规定的标准收取。中标供应商在领取中标通知书前，须向代理机构一次性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陕西省水利厅机关</w:t>
      </w:r>
      <w:r>
        <w:rPr>
          <w:rFonts w:ascii="仿宋_GB2312" w:hAnsi="仿宋_GB2312" w:cs="仿宋_GB2312" w:eastAsia="仿宋_GB2312"/>
        </w:rPr>
        <w:t>和</w:t>
      </w:r>
      <w:r>
        <w:rPr>
          <w:rFonts w:ascii="仿宋_GB2312" w:hAnsi="仿宋_GB2312" w:cs="仿宋_GB2312" w:eastAsia="仿宋_GB2312"/>
        </w:rPr>
        <w:t>陕西省水利电力工程咨询有限责任公司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陕西省水利厅机关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陕西省水利电力工程咨询有限责任公司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陕西省水利厅机关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陕西省水利电力工程咨询有限责任公司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满足《全国农田灌溉水有效利用系数测算分析技术指导细则》。</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陕西省水利电力工程咨询有限责任公司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陕西省水利电力工程咨询有限责任公司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陕西省水利电力工程咨询有限责任公司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联系人：周卓</w:t>
      </w:r>
    </w:p>
    <w:p>
      <w:pPr>
        <w:pStyle w:val="null3"/>
      </w:pPr>
      <w:r>
        <w:rPr>
          <w:rFonts w:ascii="仿宋_GB2312" w:hAnsi="仿宋_GB2312" w:cs="仿宋_GB2312" w:eastAsia="仿宋_GB2312"/>
        </w:rPr>
        <w:t>联系电话：029-87396339</w:t>
      </w:r>
    </w:p>
    <w:p>
      <w:pPr>
        <w:pStyle w:val="null3"/>
      </w:pPr>
      <w:r>
        <w:rPr>
          <w:rFonts w:ascii="仿宋_GB2312" w:hAnsi="仿宋_GB2312" w:cs="仿宋_GB2312" w:eastAsia="仿宋_GB2312"/>
        </w:rPr>
        <w:t>地址：西安市碑林区兴庆路36号</w:t>
      </w:r>
    </w:p>
    <w:p>
      <w:pPr>
        <w:pStyle w:val="null3"/>
      </w:pPr>
      <w:r>
        <w:rPr>
          <w:rFonts w:ascii="仿宋_GB2312" w:hAnsi="仿宋_GB2312" w:cs="仿宋_GB2312" w:eastAsia="仿宋_GB2312"/>
        </w:rPr>
        <w:t>邮编：710032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陕西省农田灌溉水有效利用系数测算分析；样点灌区数据采集网络建设，样点灌区、各市区水行政主管部门系数测算分析技术指导，样点灌区测算的现场检查、抽查和督查等，平台数据填报、复核、测算等，全省及不同规模类型灌区灌溉水有效利用系数测算分析，灌溉水有效利用系数测算分析报告编制、评审、修正与提交。</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2026-2030年陕西省农田灌溉水有效利用系数测算分析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标的名称：2026-2030年陕西省农田灌溉水有效利用系数测算分析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32"/>
              </w:rPr>
              <w:t xml:space="preserve"> </w:t>
            </w:r>
            <w:r>
              <w:rPr>
                <w:rFonts w:ascii="仿宋_GB2312" w:hAnsi="仿宋_GB2312" w:cs="仿宋_GB2312" w:eastAsia="仿宋_GB2312"/>
                <w:sz w:val="21"/>
              </w:rPr>
              <w:t>满足《全国农田灌溉水有效利用系数测算分析技术指导细则》</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一、主要内容</w:t>
            </w:r>
          </w:p>
          <w:p>
            <w:pPr>
              <w:pStyle w:val="null3"/>
            </w:pPr>
            <w:r>
              <w:rPr>
                <w:rFonts w:ascii="仿宋_GB2312" w:hAnsi="仿宋_GB2312" w:cs="仿宋_GB2312" w:eastAsia="仿宋_GB2312"/>
                <w:sz w:val="21"/>
              </w:rPr>
              <w:t xml:space="preserve">   样点灌区数据采集网络建设，样点灌区、各市区水行政主管部门系数测算分析技术指导，样点灌区测算的现场检查、抽查和督查等，平台数据填报、复核、测算等，全省及不同规模类型灌区灌溉水有效利用系数测算分析。</w:t>
            </w:r>
          </w:p>
          <w:p>
            <w:pPr>
              <w:pStyle w:val="null3"/>
            </w:pPr>
            <w:r>
              <w:rPr>
                <w:rFonts w:ascii="仿宋_GB2312" w:hAnsi="仿宋_GB2312" w:cs="仿宋_GB2312" w:eastAsia="仿宋_GB2312"/>
                <w:sz w:val="21"/>
              </w:rPr>
              <w:t>二、成果递交</w:t>
            </w:r>
          </w:p>
          <w:p>
            <w:pPr>
              <w:pStyle w:val="null3"/>
            </w:pPr>
            <w:r>
              <w:rPr>
                <w:rFonts w:ascii="仿宋_GB2312" w:hAnsi="仿宋_GB2312" w:cs="仿宋_GB2312" w:eastAsia="仿宋_GB2312"/>
                <w:sz w:val="21"/>
              </w:rPr>
              <w:t xml:space="preserve">   完成2026-2030年陕西省农田灌溉水有效利用系数测算分析报告编制、评审、修正与提交。</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自合同签订之日起至2027年4月30日。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果递交后，供应商向采购人提交验收申请。2）采购人收到验收申请后组织验收，验收时供应商应予以配合并提供验收所需的全部资料，若供应商不配合或者未按合同要求提供服务的，采购人将拒绝验收。3）验收依据：国家、行业的标准和有关规定，招标文件、投标文件、合同要求；满足《全国农田灌溉水有效利用系数测算分析技术指导细则》</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提交成果资料后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经采购人验收通过后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1）按照《中华人民共和国民法典》、招标文件中的相关条款执行。2）供应商未按合同要求提服务或服务质量不能满足招标要求，且在规定时间内未达到合同约定的，采购人有权终止合同，对采购人造成经济 等损失的，采购人有权进行追责</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满足项目要求。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近一年度经审计的财务会计报告（含附表附注），或开标前三个月内基本开户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供应商为合法注册的法人、其他组织，具有独立承担民事责任的能力，提供营业执照或事业单位法人证书复印件，供应商为自然人的提供身份证复印件；</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提供递交投标文件截止之日前一年内任意一个月的社会保障资金缴存单据或社保机构开具的社会保险参保缴费情况证明。依法不需要缴纳社会保障资金的供应商应提供相关证明文件复印件；</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提供递交投标文件截止之日前一年内任意一个月的依法缴纳税收的相关凭据（时间以税款所属日期为准）。依法免税或无须缴纳税收的供应商，应提供相应证明文件复印件;</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提供具有履行本合同所必需的设备和专业技术能力的承诺并加盖公章；</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书面声明并加盖公章。</w:t>
            </w:r>
          </w:p>
        </w:tc>
        <w:tc>
          <w:tcPr>
            <w:tcW w:type="dxa" w:w="1661"/>
          </w:tcPr>
          <w:p>
            <w:pPr>
              <w:pStyle w:val="null3"/>
            </w:pPr>
            <w:r>
              <w:rPr>
                <w:rFonts w:ascii="仿宋_GB2312" w:hAnsi="仿宋_GB2312" w:cs="仿宋_GB2312" w:eastAsia="仿宋_GB2312"/>
              </w:rPr>
              <w:t>供应商应提交的相关资格证明材料(1).docx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承揽的类似项目情况表.pdf 供应商认为有必要说明的事宜.pdf 服务内容及服务邀请应答表 中小企业声明函 供应商应提交的相关资格证明材料(1).docx 商务应答表 报价表 响应文件封面 残疾人福利性单位声明函 授权委托书.pdf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应符合“第七章投标文件格式”的要求</w:t>
            </w:r>
          </w:p>
        </w:tc>
        <w:tc>
          <w:tcPr>
            <w:tcW w:type="dxa" w:w="1661"/>
          </w:tcPr>
          <w:p>
            <w:pPr>
              <w:pStyle w:val="null3"/>
            </w:pPr>
            <w:r>
              <w:rPr>
                <w:rFonts w:ascii="仿宋_GB2312" w:hAnsi="仿宋_GB2312" w:cs="仿宋_GB2312" w:eastAsia="仿宋_GB2312"/>
              </w:rPr>
              <w:t>承揽的类似项目情况表.pdf 供应商认为有必要说明的事宜.pdf 服务内容及服务邀请应答表 中小企业声明函 供应商应提交的相关资格证明材料(1).docx 商务应答表 报价表 响应文件封面 残疾人福利性单位声明函 授权委托书.pdf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报价唯一且未超出预算（最高限价）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满足磋商文件中要求的服务期限</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招标要求（包括但不限于实施计划、技术方案、清晰性、针对性、所需收集资料及文件的准确性等）进行打分：供应商的实施计划合理、技术方案完善、实施性强，条理清晰、具有针对性且报告编制所需收集资料及文件的准确性。每项完全满足评审标准得4分，有缺陷或者不满足扣1分，缺项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工作计划方案</w:t>
            </w:r>
          </w:p>
        </w:tc>
        <w:tc>
          <w:tcPr>
            <w:tcW w:type="dxa" w:w="2492"/>
          </w:tcPr>
          <w:p>
            <w:pPr>
              <w:pStyle w:val="null3"/>
            </w:pPr>
            <w:r>
              <w:rPr>
                <w:rFonts w:ascii="仿宋_GB2312" w:hAnsi="仿宋_GB2312" w:cs="仿宋_GB2312" w:eastAsia="仿宋_GB2312"/>
              </w:rPr>
              <w:t>根据供应商提供的工作计划方案（包括但不限于工作进度、工作计划、工作时效等）进行打分：供应商提供的工作进度完善、工作计划明确、工作时效高。每项完全满足评审标准得3分，有缺陷或者不满足扣1分，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 难点分析</w:t>
            </w:r>
          </w:p>
        </w:tc>
        <w:tc>
          <w:tcPr>
            <w:tcW w:type="dxa" w:w="2492"/>
          </w:tcPr>
          <w:p>
            <w:pPr>
              <w:pStyle w:val="null3"/>
            </w:pPr>
            <w:r>
              <w:rPr>
                <w:rFonts w:ascii="仿宋_GB2312" w:hAnsi="仿宋_GB2312" w:cs="仿宋_GB2312" w:eastAsia="仿宋_GB2312"/>
              </w:rPr>
              <w:t>根据供应商提供的重点、难点分析（包括但不限于工作重点理解深刻程度，对工作难点把握准确性、全面性等）进行打分：工作重点理解深刻，对工作难点把握准确、全面。每项完全满足评审标准得3分，有缺陷或者不满足扣1分，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工作质量保证措施</w:t>
            </w:r>
          </w:p>
        </w:tc>
        <w:tc>
          <w:tcPr>
            <w:tcW w:type="dxa" w:w="2492"/>
          </w:tcPr>
          <w:p>
            <w:pPr>
              <w:pStyle w:val="null3"/>
            </w:pPr>
            <w:r>
              <w:rPr>
                <w:rFonts w:ascii="仿宋_GB2312" w:hAnsi="仿宋_GB2312" w:cs="仿宋_GB2312" w:eastAsia="仿宋_GB2312"/>
              </w:rPr>
              <w:t>根据供应商提供的质量保证措施：质量保证体系健全，质量保证措施具有针对性。每项完全满足评审标准得5分，有缺陷或者不满足扣2.5分，缺项不得分。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服务承诺（包括但不限于全面性、合理性，内容与深度是否达到本项目的要求，后续配合计划的完善度）进行打分：供应商服务承诺全面、合理，内容与深度均达到本项目要求、后续配合计划完善。每项完全满足评审标准得3分，有缺陷或者不满足扣1分，缺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根据供应商对于本项目的人员配备情况进行打分：人员安排合理，职责分工明确。每项完全满足评审标准得5分，有缺陷或者不满足扣2.5分，缺项不得分。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自2022年5月1日至投标截止日前，具有类似项目业绩，每具有一个计4分，最高16分。注：应附合同协议书或中标（成交）通知书或立项文件或成果文件（如论文、课题、专利等）复印件。</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承揽的类似项目情况表.pdf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磋商报价，对符合政策性扣减的供应商的有效磋商价格进行政策性扣减，并依据扣减后的价格（评审价格）进行价格评审。满足磋商文件要求且磋商报价最低的为评标基准价，其价格分为满分 。价格分按照下列公式计算。报价得分=（评标基准价/有效报价）×价格权重×100符合磋商文件规定的小微企业或监狱企业或残疾人福利性单位优惠条件的供应商，价格给予10%的扣除，用扣除后的价格参与评审。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详见附件：供应商认为有必要说明的事宜.pdf</w:t>
      </w:r>
    </w:p>
    <w:p>
      <w:pPr>
        <w:pStyle w:val="null3"/>
        <w:ind w:firstLine="960"/>
      </w:pPr>
      <w:r>
        <w:rPr>
          <w:rFonts w:ascii="仿宋_GB2312" w:hAnsi="仿宋_GB2312" w:cs="仿宋_GB2312" w:eastAsia="仿宋_GB2312"/>
        </w:rPr>
        <w:t>详见附件：承揽的类似项目情况表.pdf</w:t>
      </w:r>
    </w:p>
    <w:p>
      <w:pPr>
        <w:pStyle w:val="null3"/>
        <w:ind w:firstLine="960"/>
      </w:pPr>
      <w:r>
        <w:rPr>
          <w:rFonts w:ascii="仿宋_GB2312" w:hAnsi="仿宋_GB2312" w:cs="仿宋_GB2312" w:eastAsia="仿宋_GB2312"/>
        </w:rPr>
        <w:t>详见附件：授权委托书.pdf</w:t>
      </w:r>
    </w:p>
    <w:p>
      <w:pPr>
        <w:pStyle w:val="null3"/>
        <w:ind w:firstLine="960"/>
      </w:pPr>
      <w:r>
        <w:rPr>
          <w:rFonts w:ascii="仿宋_GB2312" w:hAnsi="仿宋_GB2312" w:cs="仿宋_GB2312" w:eastAsia="仿宋_GB2312"/>
        </w:rPr>
        <w:t>详见附件：供应商应提交的相关资格证明材料(1).docx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详见附件：合同协议书.docx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