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版本号：ZRZB-2026-20220260624001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2026年澄城县庄头镇里庄村中药材集散中心配套项目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ZRZB-2026-202</w:t>
      </w:r>
      <w:r>
        <w:br/>
      </w:r>
      <w:r>
        <w:br/>
      </w:r>
      <w:r>
        <w:br/>
      </w:r>
    </w:p>
    <w:p>
      <w:pPr>
        <w:pStyle w:val="null3"/>
        <w:jc w:val="center"/>
        <w:outlineLvl w:val="2"/>
      </w:pPr>
      <w:r>
        <w:rPr>
          <w:rFonts w:ascii="仿宋_GB2312" w:hAnsi="仿宋_GB2312" w:cs="仿宋_GB2312" w:eastAsia="仿宋_GB2312"/>
          <w:sz w:val="28"/>
          <w:b/>
        </w:rPr>
        <w:t>澄城县庄头镇人民政府</w:t>
      </w:r>
    </w:p>
    <w:p>
      <w:pPr>
        <w:pStyle w:val="null3"/>
        <w:jc w:val="center"/>
        <w:outlineLvl w:val="2"/>
      </w:pPr>
      <w:r>
        <w:rPr>
          <w:rFonts w:ascii="仿宋_GB2312" w:hAnsi="仿宋_GB2312" w:cs="仿宋_GB2312" w:eastAsia="仿宋_GB2312"/>
          <w:sz w:val="28"/>
          <w:b/>
        </w:rPr>
        <w:t>中泓泽润工程管理咨询有限公司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中泓泽润工程管理咨询有限公司</w:t>
      </w:r>
      <w:r>
        <w:rPr>
          <w:rFonts w:ascii="仿宋_GB2312" w:hAnsi="仿宋_GB2312" w:cs="仿宋_GB2312" w:eastAsia="仿宋_GB2312"/>
        </w:rPr>
        <w:t>（以下简称“代理机构”）受</w:t>
      </w:r>
      <w:r>
        <w:rPr>
          <w:rFonts w:ascii="仿宋_GB2312" w:hAnsi="仿宋_GB2312" w:cs="仿宋_GB2312" w:eastAsia="仿宋_GB2312"/>
        </w:rPr>
        <w:t>澄城县庄头镇人民政府</w:t>
      </w:r>
      <w:r>
        <w:rPr>
          <w:rFonts w:ascii="仿宋_GB2312" w:hAnsi="仿宋_GB2312" w:cs="仿宋_GB2312" w:eastAsia="仿宋_GB2312"/>
        </w:rPr>
        <w:t>委托，拟对</w:t>
      </w:r>
      <w:r>
        <w:rPr>
          <w:rFonts w:ascii="仿宋_GB2312" w:hAnsi="仿宋_GB2312" w:cs="仿宋_GB2312" w:eastAsia="仿宋_GB2312"/>
        </w:rPr>
        <w:t>2026年澄城县庄头镇里庄村中药材集散中心配套项目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ZRZB-2026-202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2026年澄城县庄头镇里庄村中药材集散中心配套项目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配套中药草加工设备1套（1335型负压式直线电动筛、316型不锈钢旋振筛2台、800型电磁磨刀机2台、ZFQ3-0.09生物质颗粒蒸汽机1台、面板14MM厚地磅1台、TS422C16-512SV7.5色选机1台、JNY-60A空压机1台、TD160四米Z式提升机1台、TQSF-B正压式比重机1台、3吨合力叉车1台、LG933F装载机型抓木机1台、全自动中型清洗机1台），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采购包1（2026年澄城县庄头镇里庄村中药材集散中心配套项目）：属于专门面向中小企业采购。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1、营业执照：具有独立承担民事责任能力，提供供应商合法注册的法人或其他组织的营业执照</w:t>
      </w:r>
    </w:p>
    <w:p>
      <w:pPr>
        <w:pStyle w:val="null3"/>
      </w:pPr>
      <w:r>
        <w:rPr>
          <w:rFonts w:ascii="仿宋_GB2312" w:hAnsi="仿宋_GB2312" w:cs="仿宋_GB2312" w:eastAsia="仿宋_GB2312"/>
        </w:rPr>
        <w:t>2、法定代表人授权书：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p>
      <w:pPr>
        <w:pStyle w:val="null3"/>
      </w:pPr>
      <w:r>
        <w:rPr>
          <w:rFonts w:ascii="仿宋_GB2312" w:hAnsi="仿宋_GB2312" w:cs="仿宋_GB2312" w:eastAsia="仿宋_GB2312"/>
        </w:rPr>
        <w:t>3、财务状况报告：提供2025年度或2026年度经审计的财务审计报告（成立时间至提交投标文件截止时间不足一年的可提供成立后任意时段的资产负债表）或投标截止时间前三个月内其基本账户开户银行出具的资信证明及开户许可证</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供应商提供本单位2026年01月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6、承诺：提供具有履行合同所必需的设备和专业技术能力的说明及承诺；（加盖投标人公章）</w:t>
      </w:r>
    </w:p>
    <w:p>
      <w:pPr>
        <w:pStyle w:val="null3"/>
      </w:pPr>
      <w:r>
        <w:rPr>
          <w:rFonts w:ascii="仿宋_GB2312" w:hAnsi="仿宋_GB2312" w:cs="仿宋_GB2312" w:eastAsia="仿宋_GB2312"/>
        </w:rPr>
        <w:t>7、声明：提供参加政府采购活动前三年内在经营活动中没有重大违法记录的书面声明（提供声明，加盖投标人公章）</w:t>
      </w:r>
    </w:p>
    <w:p>
      <w:pPr>
        <w:pStyle w:val="null3"/>
      </w:pPr>
      <w:r>
        <w:rPr>
          <w:rFonts w:ascii="仿宋_GB2312" w:hAnsi="仿宋_GB2312" w:cs="仿宋_GB2312" w:eastAsia="仿宋_GB2312"/>
        </w:rPr>
        <w:t>8、供应商资质：具有建筑工程施工总承包三级或以上资质，具有有效的安全生产许可证</w:t>
      </w:r>
    </w:p>
    <w:p>
      <w:pPr>
        <w:pStyle w:val="null3"/>
      </w:pPr>
      <w:r>
        <w:rPr>
          <w:rFonts w:ascii="仿宋_GB2312" w:hAnsi="仿宋_GB2312" w:cs="仿宋_GB2312" w:eastAsia="仿宋_GB2312"/>
        </w:rPr>
        <w:t>9、项目经理：项目经理必须具有建筑工程专业二级及以上注册建造师执业资格和有效的安全生产考核合格证书，且未担任其他在建工程</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10、控股、管理关系：单位负责人为同一人或者存在直接控股、管理关系的不同供应商，不得参加同一合同项下的政府采购活动；（提供书面承诺函，加盖投标人公章）</w:t>
      </w:r>
    </w:p>
    <w:p>
      <w:pPr>
        <w:pStyle w:val="null3"/>
      </w:pPr>
      <w:r>
        <w:rPr>
          <w:rFonts w:ascii="仿宋_GB2312" w:hAnsi="仿宋_GB2312" w:cs="仿宋_GB2312" w:eastAsia="仿宋_GB2312"/>
        </w:rPr>
        <w:t>11、信用截图：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为发售招标文件至开标当日，并加盖投标人公章）</w:t>
      </w:r>
    </w:p>
    <w:p>
      <w:pPr>
        <w:pStyle w:val="null3"/>
      </w:pPr>
      <w:r>
        <w:rPr>
          <w:rFonts w:ascii="仿宋_GB2312" w:hAnsi="仿宋_GB2312" w:cs="仿宋_GB2312" w:eastAsia="仿宋_GB2312"/>
        </w:rPr>
        <w:t>12、非联合体声明：本项目不接受联合体投标；（提供非联合体声明，加盖投标人公章）</w:t>
      </w:r>
    </w:p>
    <w:p>
      <w:pPr>
        <w:pStyle w:val="null3"/>
      </w:pPr>
      <w:r>
        <w:rPr>
          <w:rFonts w:ascii="仿宋_GB2312" w:hAnsi="仿宋_GB2312" w:cs="仿宋_GB2312" w:eastAsia="仿宋_GB2312"/>
        </w:rPr>
        <w:t>13、中小企业声明函：本项目专门面向中小企业采购。（提供中小企业声明函并加盖投标人公章）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澄城县庄头镇人民政府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澄城县庄头镇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澄城县庄头镇人民政府经办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0913-2298560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中泓泽润工程管理咨询有限公司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陕西省西安市莲湖区唐延路北段20号太和时代广场A座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19723017018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15594255525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开户名称：中泓泽润工程管理咨询有限公司</w:t>
            </w:r>
          </w:p>
          <w:p>
            <w:pPr>
              <w:pStyle w:val="null3"/>
            </w:pPr>
            <w:r>
              <w:rPr>
                <w:rFonts w:ascii="仿宋_GB2312" w:hAnsi="仿宋_GB2312" w:cs="仿宋_GB2312" w:eastAsia="仿宋_GB2312"/>
              </w:rPr>
              <w:t>开户银行：交通银行股份有限公司西安航天城神舟四路支行</w:t>
            </w:r>
          </w:p>
          <w:p>
            <w:pPr>
              <w:pStyle w:val="null3"/>
            </w:pPr>
            <w:r>
              <w:rPr>
                <w:rFonts w:ascii="仿宋_GB2312" w:hAnsi="仿宋_GB2312" w:cs="仿宋_GB2312" w:eastAsia="仿宋_GB2312"/>
              </w:rPr>
              <w:t>银行账号：611301038018000928764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和国家发改委办公厅颁发的《关于招标代理服务收费有关问题的通知》（发改办价格【2003】857号）文件为计算依据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澄城县庄头镇人民政府</w:t>
      </w:r>
      <w:r>
        <w:rPr>
          <w:rFonts w:ascii="仿宋_GB2312" w:hAnsi="仿宋_GB2312" w:cs="仿宋_GB2312" w:eastAsia="仿宋_GB2312"/>
        </w:rPr>
        <w:t>和</w:t>
      </w:r>
      <w:r>
        <w:rPr>
          <w:rFonts w:ascii="仿宋_GB2312" w:hAnsi="仿宋_GB2312" w:cs="仿宋_GB2312" w:eastAsia="仿宋_GB2312"/>
        </w:rPr>
        <w:t>中泓泽润工程管理咨询有限公司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澄城县庄头镇人民政府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中泓泽润工程管理咨询有限公司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澄城县庄头镇人民政府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中泓泽润工程管理咨询有限公司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符合竣工验收条件后，供应商应向招标人申请验收。招标人自收到申请后，对于符合验收条件的，应自收到申请文件之日起3个工作日内组织竣工验收。验收、交付标准:合格工程;施工应当遵守的或指导施工的国家、行业或地方的技术标准和要求，以及合同约定的技术标准和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澄城县庄头镇人民政府</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澄城县庄头镇人民政府</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澄城县庄头镇人民政府</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联系人：庄头镇人民政府经办</w:t>
      </w:r>
    </w:p>
    <w:p>
      <w:pPr>
        <w:pStyle w:val="null3"/>
      </w:pPr>
      <w:r>
        <w:rPr>
          <w:rFonts w:ascii="仿宋_GB2312" w:hAnsi="仿宋_GB2312" w:cs="仿宋_GB2312" w:eastAsia="仿宋_GB2312"/>
        </w:rPr>
        <w:t>联系电话：0913-2298560</w:t>
      </w:r>
    </w:p>
    <w:p>
      <w:pPr>
        <w:pStyle w:val="null3"/>
      </w:pPr>
      <w:r>
        <w:rPr>
          <w:rFonts w:ascii="仿宋_GB2312" w:hAnsi="仿宋_GB2312" w:cs="仿宋_GB2312" w:eastAsia="仿宋_GB2312"/>
        </w:rPr>
        <w:t>地址：澄城县庄头镇人民政府</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2,292,617.36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2026年澄城县庄头镇里庄村中药材集散中心配套项目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标的名称：2026年澄城县庄头镇里庄村中药材集散中心配套项目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r>
              <w:br/>
            </w:r>
            <w:r>
              <w:rPr>
                <w:rFonts w:ascii="仿宋_GB2312" w:hAnsi="仿宋_GB2312" w:cs="仿宋_GB2312" w:eastAsia="仿宋_GB2312"/>
              </w:rPr>
              <w:t xml:space="preserve"> 工程名称：2026年澄城县庄头镇里庄村中药材集散中心配套项目</w:t>
            </w:r>
            <w:r>
              <w:br/>
            </w:r>
            <w:r>
              <w:rPr>
                <w:rFonts w:ascii="仿宋_GB2312" w:hAnsi="仿宋_GB2312" w:cs="仿宋_GB2312" w:eastAsia="仿宋_GB2312"/>
              </w:rPr>
              <w:t xml:space="preserve"> 建设地点：澄城县庄头镇里庄村</w:t>
            </w:r>
            <w:r>
              <w:br/>
            </w:r>
            <w:r>
              <w:rPr>
                <w:rFonts w:ascii="仿宋_GB2312" w:hAnsi="仿宋_GB2312" w:cs="仿宋_GB2312" w:eastAsia="仿宋_GB2312"/>
              </w:rPr>
              <w:t xml:space="preserve"> 工程内容：配套中药草加工设备1套（1335型负压式直线电动筛、316型不锈钢旋振筛2台、800型电磁磨刀机2台、ZFQ3-0.09生物质颗粒蒸汽机1台、面板14MM厚地磅1台、TS422C16-512SV7.5色选机1台、JNY-60A空压机1台、TD160四米Z式提升机1台、TQSF-B正压式比重机1台、3吨合力叉车1台、LG933F装载机型抓木机1台、全自动中型清洗机1台），具体详见工程量清单。</w:t>
            </w:r>
            <w:r>
              <w:br/>
            </w:r>
            <w:r>
              <w:rPr>
                <w:rFonts w:ascii="仿宋_GB2312" w:hAnsi="仿宋_GB2312" w:cs="仿宋_GB2312" w:eastAsia="仿宋_GB2312"/>
              </w:rPr>
              <w:t xml:space="preserve"> 二、计划工期</w:t>
            </w:r>
            <w:r>
              <w:br/>
            </w:r>
            <w:r>
              <w:rPr>
                <w:rFonts w:ascii="仿宋_GB2312" w:hAnsi="仿宋_GB2312" w:cs="仿宋_GB2312" w:eastAsia="仿宋_GB2312"/>
              </w:rPr>
              <w:t xml:space="preserve"> 自合同签订之日起90日历天</w:t>
            </w:r>
            <w:r>
              <w:br/>
            </w:r>
            <w:r>
              <w:rPr>
                <w:rFonts w:ascii="仿宋_GB2312" w:hAnsi="仿宋_GB2312" w:cs="仿宋_GB2312" w:eastAsia="仿宋_GB2312"/>
              </w:rPr>
              <w:t xml:space="preserve"> 三、商务要求</w:t>
            </w:r>
            <w:r>
              <w:br/>
            </w:r>
            <w:r>
              <w:rPr>
                <w:rFonts w:ascii="仿宋_GB2312" w:hAnsi="仿宋_GB2312" w:cs="仿宋_GB2312" w:eastAsia="仿宋_GB2312"/>
              </w:rPr>
              <w:t xml:space="preserve"> 合同签订后,达到付款条件起30日内,支付合同总金额的30%，施工过程中根据施工进度，达到付款条件起 30 日内，支付合同总金额的67%，工程竣工验收合格并办理竣工结算评审后,达到付款条件起 30 日内，支付剩余3%。</w:t>
            </w:r>
            <w:r>
              <w:br/>
            </w:r>
            <w:r>
              <w:rPr>
                <w:rFonts w:ascii="仿宋_GB2312" w:hAnsi="仿宋_GB2312" w:cs="仿宋_GB2312" w:eastAsia="仿宋_GB2312"/>
              </w:rPr>
              <w:t xml:space="preserve"> 四、其他</w:t>
            </w:r>
            <w:r>
              <w:br/>
            </w:r>
            <w:r>
              <w:rPr>
                <w:rFonts w:ascii="仿宋_GB2312" w:hAnsi="仿宋_GB2312" w:cs="仿宋_GB2312" w:eastAsia="仿宋_GB2312"/>
              </w:rPr>
              <w:t xml:space="preserve"> 1.质量验收标准或规范：工程符合竣工验收条件后，供应商应向招标人申请验收。招标人自收到申请后，对于符合验收条件的，应自收到申请文件之日起3个工作日内组织竣工验收。验收、交付标准:合格工程;施工应当遵守的或指导施工的国家、行业或地方的技术标准和要求，以及合同约定的技术标准和要求。</w:t>
            </w:r>
            <w:r>
              <w:br/>
            </w:r>
            <w:r>
              <w:rPr>
                <w:rFonts w:ascii="仿宋_GB2312" w:hAnsi="仿宋_GB2312" w:cs="仿宋_GB2312" w:eastAsia="仿宋_GB2312"/>
              </w:rPr>
              <w:t xml:space="preserve"> 2.质保期：竣工验收合格之日起，防水质保5年，其他质保2年。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供应商针对本项目的施工，必须达到国家及行业现行技术规范标准，符合国家及行业验收合格标准《建筑工程施工质量验收统一标准》(GB50300-2024)。</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具体内容详见项目评审办法及合同要求。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提供2025年度或2026年度经审计的财务审计报告（成立时间至提交投标文件截止时间不足一年的可提供成立后任意时段的资产负债表）或投标截止时间前三个月内其基本账户开户银行出具的资信证明及开户许可证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tc>
        <w:tc>
          <w:tcPr>
            <w:tcW w:type="dxa" w:w="1661"/>
          </w:tcPr>
          <w:p>
            <w:pPr>
              <w:pStyle w:val="null3"/>
            </w:pPr>
            <w:r>
              <w:rPr>
                <w:rFonts w:ascii="仿宋_GB2312" w:hAnsi="仿宋_GB2312" w:cs="仿宋_GB2312" w:eastAsia="仿宋_GB2312"/>
              </w:rPr>
              <w:t>法人授权委托书(1).docx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提供2025年度或2026年度经审计的财务审计报告（成立时间至提交投标文件截止时间不足一年的可提供成立后任意时段的资产负债表）或投标截止时间前三个月内其基本账户开户银行出具的资信证明及开户许可证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供应商提供本单位2026年01月至今已缴纳的至少一个月的社会保障资金缴存单据或社保机构开具的社会保险参保缴费情况证明；（依法不需要缴纳社会保障资金的投标人应提供相关证明）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提供具有履行合同所必需的设备和专业技术能力的说明及承诺；（加盖投标人公章）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提供参加政府采购活动前三年内在经营活动中没有重大违法记录的书面声明（提供声明，加盖投标人公章）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具有建筑工程施工总承包三级或以上资质，具有有效的安全生产许可证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项目经理必须具有建筑工程专业二级及以上注册建造师执业资格和有效的安全生产考核合格证书，且未担任其他在建工程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为发售招标文件至开标当日，并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本项目不接受联合体投标；（提供非联合体声明，加盖投标人公章）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本项目专门面向中小企业采购。（提供中小企业声明函并加盖投标人公章）</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响应⽂件的签章均符合磋商⽂件要求，且⽆遗漏。</w:t>
            </w:r>
          </w:p>
        </w:tc>
        <w:tc>
          <w:tcPr>
            <w:tcW w:type="dxa" w:w="1661"/>
          </w:tcPr>
          <w:p>
            <w:pPr>
              <w:pStyle w:val="null3"/>
            </w:pPr>
            <w:r>
              <w:rPr>
                <w:rFonts w:ascii="仿宋_GB2312" w:hAnsi="仿宋_GB2312" w:cs="仿宋_GB2312" w:eastAsia="仿宋_GB2312"/>
              </w:rPr>
              <w:t>已标价工程量清单 中小企业声明函 法人授权委托书(1).docx 技术服务合同条款及其他商务要求应答表 供应商应提交的相关资格证明材料 强制优先采购产品承诺函 响应文件封面 项目管理机构组成表 残疾人福利性单位声明函 报价函 技术响应文件.docx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自磋商响应文件递交之日起不少于90日历天。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已标价工程量清单 中小企业声明函 法人授权委托书(1).docx 技术服务合同条款及其他商务要求应答表 供应商应提交的相关资格证明材料 强制优先采购产品承诺函 响应文件封面 项目管理机构组成表 残疾人福利性单位声明函 报价函 技术响应文件.docx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 中小企业声明函 法人授权委托书(1).docx 技术服务合同条款及其他商务要求应答表 供应商应提交的相关资格证明材料 强制优先采购产品承诺函 响应文件封面 项目管理机构组成表 残疾人福利性单位声明函 报价函 技术响应文件.docx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根据针对本项目的特点，制定施工方案（项目整体设想及总体规划、项目重点难点、施工实施的流程 ）： 总体施工方案非常合理、条理清晰、计划安排合理有效：[10-16] 分；总体施工方案合理，可行性 较高：[5-10] 分；总体施工方案合理性差，可行性不高：[1-5]分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确保工程质量的技术措施</w:t>
            </w:r>
          </w:p>
        </w:tc>
        <w:tc>
          <w:tcPr>
            <w:tcW w:type="dxa" w:w="2492"/>
          </w:tcPr>
          <w:p>
            <w:pPr>
              <w:pStyle w:val="null3"/>
            </w:pPr>
            <w:r>
              <w:rPr>
                <w:rFonts w:ascii="仿宋_GB2312" w:hAnsi="仿宋_GB2312" w:cs="仿宋_GB2312" w:eastAsia="仿宋_GB2312"/>
              </w:rPr>
              <w:t>质量目标明确，管理体系健全，预控和动态控制措施完整，实施工艺、手段先进、可靠、科学，管理体系和组织措施功能完善、管理幅度适宜，得[4-7]分； 目标基本明确，控制措施基本全面得[2-4]分； 目标不明确，控制措施不全面得[1-2]分。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安全生产目标明确，预防和动态控制措施及制度完整、到位，管理体系和组织措施功能完善，得[4-7]分；目标基本明确，控制措施基本全面得[2-4]分；目标不明确，控制措施不全面得[1-2]分。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工期满足招标文件要求且工期控制合理，施工横道图或施工网络图工序搭配逻辑关系和关键线路清晰、合理、并能指导施工得[4-7]分；总工期满足招标文件要求，工期控制基本合理工序搭配逻辑关系和关键线路较清晰，得[2-4]分。总工期满足招标文件要求，逻辑关系混乱、不合理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文明施工保证体系健全，预防和动态控制措施及制度完整、到位，管理体系和组织措施功能完善，得[5-8]分；安全生产目标基本明确，控制措施基本全面得[3-5]分。安全生产目标不明确，控制措施不全面得[1-3]分。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对拟投入的机具、设备和材料进行描述。机械配备与材料投入完全适配施工要求，没有不需要机械和材料得[4-6]分；机械与材料投入基本满足施工要求，有明显不适用机械和材料。酌情得[2-4]分，表述不清得[1-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项目管理机构配备及职责</w:t>
            </w:r>
          </w:p>
        </w:tc>
        <w:tc>
          <w:tcPr>
            <w:tcW w:type="dxa" w:w="2492"/>
          </w:tcPr>
          <w:p>
            <w:pPr>
              <w:pStyle w:val="null3"/>
            </w:pPr>
            <w:r>
              <w:rPr>
                <w:rFonts w:ascii="仿宋_GB2312" w:hAnsi="仿宋_GB2312" w:cs="仿宋_GB2312" w:eastAsia="仿宋_GB2312"/>
              </w:rPr>
              <w:t>机构人员健全，资格适合，安排合理完整，职责明确，完全满足施工要求得[4-7]分，机构人员健全，资格基本满足施工要求得[2-4]分，机构人员不健全但满足施工要求得[1-2]分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售后服务方案（有详细的针对本项目工程的售后服务承诺及说明，工程竣工验收合格后使用过程中因质量问题而产生的补救措施、应急预案 、响应时间及措施。）售后服务方案非常合理、条理清晰、计划安排合理有效：[4-6] 分；售后服务方案合理，可行性 较高：[2-4] 分；售后服务方案合理性差，可行性不高：[1-2]分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提供2023年6月至今类似项目业绩（以合同签订时间或中标通知书为准），每一个类似项目业绩计2分，满分6分。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满足磋商文件要求且磋商价格最低的磋商报价为评审基准价，其价格分为满分。其他供应商的价格分统一按照下列公式计算：磋商报价得分=（评审基准价/磋商评审价）×价格权值%×100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详见附件：法人授权委托书(1).docx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详见附件：技术响应文件.docx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