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B888B">
      <w:pPr>
        <w:pStyle w:val="3"/>
        <w:numPr>
          <w:ilvl w:val="0"/>
          <w:numId w:val="1"/>
        </w:numPr>
        <w:spacing w:line="360" w:lineRule="auto"/>
        <w:ind w:left="0" w:leftChars="0" w:firstLine="0" w:firstLineChars="0"/>
        <w:jc w:val="center"/>
        <w:rPr>
          <w:rFonts w:hint="eastAsia" w:ascii="宋体" w:hAnsi="宋体" w:cs="宋体"/>
          <w:color w:val="auto"/>
          <w:sz w:val="44"/>
          <w:szCs w:val="24"/>
          <w:highlight w:val="none"/>
        </w:rPr>
      </w:pPr>
      <w:bookmarkStart w:id="0" w:name="_Toc8958"/>
      <w:r>
        <w:rPr>
          <w:rFonts w:hint="eastAsia" w:ascii="宋体" w:hAnsi="宋体" w:cs="宋体"/>
          <w:color w:val="auto"/>
          <w:sz w:val="44"/>
          <w:szCs w:val="24"/>
          <w:highlight w:val="none"/>
        </w:rPr>
        <w:t>拟签订的合同条款</w:t>
      </w:r>
      <w:bookmarkEnd w:id="0"/>
    </w:p>
    <w:p w14:paraId="395437B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甲方：</w:t>
      </w:r>
    </w:p>
    <w:p w14:paraId="6A9B309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乙方： </w:t>
      </w:r>
    </w:p>
    <w:p w14:paraId="6D5EF96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hAnsi="宋体" w:cs="宋体"/>
          <w:bCs/>
          <w:color w:val="auto"/>
          <w:sz w:val="24"/>
          <w:highlight w:val="none"/>
          <w:u w:val="single"/>
          <w:lang w:val="en-US" w:eastAsia="zh-CN"/>
        </w:rPr>
        <w:t>西安文理学院2026年教职工健康体检服务项目</w:t>
      </w:r>
      <w:r>
        <w:rPr>
          <w:rFonts w:hint="eastAsia" w:hAnsi="宋体" w:cs="宋体"/>
          <w:bCs/>
          <w:color w:val="auto"/>
          <w:sz w:val="24"/>
          <w:highlight w:val="none"/>
          <w:u w:val="single"/>
          <w:lang w:eastAsia="zh-CN"/>
        </w:rPr>
        <w:t>（</w:t>
      </w:r>
      <w:r>
        <w:rPr>
          <w:rFonts w:hint="eastAsia" w:hAnsi="宋体" w:cs="宋体"/>
          <w:bCs/>
          <w:color w:val="auto"/>
          <w:sz w:val="24"/>
          <w:highlight w:val="none"/>
          <w:u w:val="single"/>
          <w:lang w:val="en-US" w:eastAsia="zh-CN"/>
        </w:rPr>
        <w:t>第X包</w:t>
      </w:r>
      <w:r>
        <w:rPr>
          <w:rFonts w:hint="eastAsia" w:hAnsi="宋体" w:cs="宋体"/>
          <w:bCs/>
          <w:color w:val="auto"/>
          <w:sz w:val="24"/>
          <w:highlight w:val="none"/>
          <w:u w:val="single"/>
          <w:lang w:eastAsia="zh-CN"/>
        </w:rPr>
        <w:t>）</w:t>
      </w:r>
      <w:r>
        <w:rPr>
          <w:rFonts w:hint="eastAsia" w:ascii="宋体" w:hAnsi="宋体" w:cs="宋体"/>
          <w:bCs/>
          <w:color w:val="auto"/>
          <w:sz w:val="24"/>
          <w:highlight w:val="none"/>
          <w:u w:val="single"/>
        </w:rPr>
        <w:t>(项目编号：</w:t>
      </w:r>
      <w:r>
        <w:rPr>
          <w:rFonts w:hint="eastAsia" w:ascii="宋体" w:hAnsi="宋体" w:cs="宋体"/>
          <w:bCs/>
          <w:color w:val="auto"/>
          <w:sz w:val="24"/>
          <w:highlight w:val="none"/>
          <w:u w:val="single"/>
          <w:lang w:eastAsia="zh-CN"/>
        </w:rPr>
        <w:t>MZ2026-CS1013）</w:t>
      </w:r>
      <w:r>
        <w:rPr>
          <w:rFonts w:hint="eastAsia" w:ascii="宋体" w:hAnsi="宋体" w:cs="宋体"/>
          <w:bCs/>
          <w:color w:val="auto"/>
          <w:sz w:val="24"/>
          <w:highlight w:val="none"/>
        </w:rPr>
        <w:t>由陕西明正招标有限公司组织竞争性</w:t>
      </w:r>
      <w:r>
        <w:rPr>
          <w:rFonts w:hint="eastAsia" w:ascii="宋体" w:hAnsi="宋体" w:cs="宋体"/>
          <w:bCs/>
          <w:color w:val="auto"/>
          <w:sz w:val="24"/>
          <w:highlight w:val="none"/>
          <w:lang w:val="en-US" w:eastAsia="zh-CN"/>
        </w:rPr>
        <w:t>磋商采购</w:t>
      </w:r>
      <w:r>
        <w:rPr>
          <w:rFonts w:hint="eastAsia" w:ascii="宋体" w:hAnsi="宋体" w:cs="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(以下简称“甲方”)确定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（以下简称“乙方”）为的成交供应商。</w:t>
      </w:r>
    </w:p>
    <w:p w14:paraId="16E92FE5">
      <w:pPr>
        <w:autoSpaceDE w:val="0"/>
        <w:autoSpaceDN w:val="0"/>
        <w:adjustRightInd w:val="0"/>
        <w:spacing w:line="348"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依据《中华人民共和国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》和《</w:t>
      </w:r>
      <w:r>
        <w:rPr>
          <w:rFonts w:hint="eastAsia" w:ascii="宋体" w:hAnsi="宋体" w:cs="宋体"/>
          <w:color w:val="auto"/>
          <w:sz w:val="24"/>
          <w:highlight w:val="none"/>
        </w:rPr>
        <w:t>中华人民共和国政府采购法</w:t>
      </w:r>
      <w:r>
        <w:rPr>
          <w:rFonts w:hint="eastAsia" w:ascii="宋体" w:hAnsi="宋体" w:cs="宋体"/>
          <w:bCs/>
          <w:color w:val="auto"/>
          <w:sz w:val="24"/>
          <w:highlight w:val="none"/>
        </w:rPr>
        <w:t>》，经双方协商按下述条款和条件签署本合同。</w:t>
      </w:r>
    </w:p>
    <w:p w14:paraId="43114F5B">
      <w:pPr>
        <w:autoSpaceDE w:val="0"/>
        <w:autoSpaceDN w:val="0"/>
        <w:adjustRightInd w:val="0"/>
        <w:spacing w:line="348"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一、合同价款</w:t>
      </w:r>
    </w:p>
    <w:p w14:paraId="31E4A433">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（一）合同总价款为人民币（大写）</w:t>
      </w:r>
      <w:r>
        <w:rPr>
          <w:rFonts w:hint="eastAsia" w:ascii="宋体" w:hAnsi="宋体"/>
          <w:bCs/>
          <w:color w:val="auto"/>
          <w:sz w:val="24"/>
          <w:u w:val="single"/>
        </w:rPr>
        <w:t xml:space="preserve">             </w:t>
      </w:r>
      <w:r>
        <w:rPr>
          <w:rFonts w:hint="eastAsia" w:ascii="宋体" w:hAnsi="宋体"/>
          <w:bCs/>
          <w:color w:val="auto"/>
          <w:sz w:val="24"/>
        </w:rPr>
        <w:t>（￥</w:t>
      </w:r>
      <w:r>
        <w:rPr>
          <w:rFonts w:hint="eastAsia" w:ascii="宋体" w:hAnsi="宋体"/>
          <w:bCs/>
          <w:color w:val="auto"/>
          <w:sz w:val="24"/>
          <w:u w:val="single"/>
        </w:rPr>
        <w:t xml:space="preserve">     </w:t>
      </w:r>
      <w:r>
        <w:rPr>
          <w:rFonts w:hint="eastAsia" w:ascii="宋体" w:hAnsi="宋体"/>
          <w:bCs/>
          <w:color w:val="auto"/>
          <w:sz w:val="24"/>
        </w:rPr>
        <w:t xml:space="preserve"> ）。</w:t>
      </w:r>
    </w:p>
    <w:p w14:paraId="0DA8BCDF">
      <w:pPr>
        <w:autoSpaceDE w:val="0"/>
        <w:autoSpaceDN w:val="0"/>
        <w:adjustRightInd w:val="0"/>
        <w:spacing w:line="360" w:lineRule="auto"/>
        <w:ind w:firstLine="480" w:firstLineChars="200"/>
        <w:rPr>
          <w:rFonts w:hint="eastAsia" w:ascii="宋体" w:hAnsi="宋体" w:cs="宋体"/>
          <w:color w:val="auto"/>
          <w:sz w:val="24"/>
          <w:highlight w:val="yellow"/>
        </w:rPr>
      </w:pPr>
      <w:r>
        <w:rPr>
          <w:rFonts w:hint="eastAsia" w:ascii="宋体" w:hAnsi="宋体"/>
          <w:bCs/>
          <w:color w:val="auto"/>
          <w:sz w:val="24"/>
        </w:rPr>
        <w:t>（二）合同总价包括：</w:t>
      </w:r>
      <w:r>
        <w:rPr>
          <w:rFonts w:hint="eastAsia" w:ascii="宋体" w:hAnsi="宋体" w:cs="宋体"/>
          <w:color w:val="auto"/>
          <w:sz w:val="24"/>
        </w:rPr>
        <w:t>本项目所需的一切</w:t>
      </w:r>
      <w:r>
        <w:rPr>
          <w:rFonts w:hint="eastAsia" w:ascii="宋体" w:hAnsi="宋体" w:cs="宋体"/>
          <w:color w:val="auto"/>
          <w:sz w:val="24"/>
          <w:highlight w:val="none"/>
        </w:rPr>
        <w:t>费用。</w:t>
      </w:r>
    </w:p>
    <w:p w14:paraId="786DB85E">
      <w:pPr>
        <w:autoSpaceDE w:val="0"/>
        <w:autoSpaceDN w:val="0"/>
        <w:adjustRightInd w:val="0"/>
        <w:spacing w:line="360" w:lineRule="auto"/>
        <w:ind w:firstLine="480" w:firstLineChars="200"/>
        <w:rPr>
          <w:rFonts w:hint="eastAsia" w:ascii="宋体" w:hAnsi="宋体"/>
          <w:bCs/>
          <w:color w:val="auto"/>
          <w:sz w:val="24"/>
        </w:rPr>
      </w:pPr>
      <w:r>
        <w:rPr>
          <w:rFonts w:hint="eastAsia" w:ascii="宋体" w:hAnsi="宋体"/>
          <w:bCs/>
          <w:color w:val="auto"/>
          <w:sz w:val="24"/>
        </w:rPr>
        <w:t>（三）合同总价一次性包死，不受市场价格变化因素的影响。</w:t>
      </w:r>
    </w:p>
    <w:p w14:paraId="769A71B3">
      <w:pPr>
        <w:autoSpaceDE w:val="0"/>
        <w:autoSpaceDN w:val="0"/>
        <w:adjustRightInd w:val="0"/>
        <w:spacing w:line="360" w:lineRule="auto"/>
        <w:ind w:firstLine="482" w:firstLineChars="200"/>
        <w:rPr>
          <w:rFonts w:ascii="宋体" w:hAnsi="宋体"/>
          <w:bCs/>
          <w:color w:val="auto"/>
          <w:sz w:val="24"/>
        </w:rPr>
      </w:pPr>
      <w:r>
        <w:rPr>
          <w:rFonts w:hint="eastAsia" w:ascii="宋体" w:hAnsi="宋体"/>
          <w:b/>
          <w:bCs/>
          <w:color w:val="auto"/>
          <w:sz w:val="24"/>
        </w:rPr>
        <w:t>二、服务地点及服务期限：</w:t>
      </w:r>
    </w:p>
    <w:p w14:paraId="49B61F88">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（一）服务地点：西安文理学院指定地点</w:t>
      </w:r>
    </w:p>
    <w:p w14:paraId="49F3AE0B">
      <w:pPr>
        <w:spacing w:line="360" w:lineRule="auto"/>
        <w:ind w:firstLine="480" w:firstLineChars="200"/>
        <w:rPr>
          <w:rFonts w:ascii="宋体" w:hAnsi="宋体"/>
          <w:color w:val="auto"/>
          <w:sz w:val="24"/>
        </w:rPr>
      </w:pPr>
      <w:r>
        <w:rPr>
          <w:rFonts w:hint="eastAsia" w:ascii="宋体" w:hAnsi="宋体"/>
          <w:bCs/>
          <w:color w:val="auto"/>
          <w:sz w:val="24"/>
        </w:rPr>
        <w:t>（二）服务期</w:t>
      </w:r>
      <w:r>
        <w:rPr>
          <w:rFonts w:hint="eastAsia" w:ascii="宋体" w:hAnsi="宋体"/>
          <w:bCs/>
          <w:color w:val="auto"/>
          <w:sz w:val="24"/>
          <w:lang w:val="en-US" w:eastAsia="zh-CN"/>
        </w:rPr>
        <w:t>限</w:t>
      </w:r>
      <w:r>
        <w:rPr>
          <w:rFonts w:hint="eastAsia" w:ascii="宋体" w:hAnsi="宋体"/>
          <w:bCs/>
          <w:color w:val="auto"/>
          <w:sz w:val="24"/>
        </w:rPr>
        <w:t>：合同签订之日起至项目完全结束</w:t>
      </w:r>
      <w:r>
        <w:rPr>
          <w:rFonts w:hint="eastAsia" w:ascii="宋体" w:hAnsi="宋体" w:cs="宋体"/>
          <w:b w:val="0"/>
          <w:bCs/>
          <w:color w:val="auto"/>
          <w:sz w:val="24"/>
          <w:highlight w:val="none"/>
          <w:lang w:eastAsia="zh-CN"/>
        </w:rPr>
        <w:t>。</w:t>
      </w:r>
    </w:p>
    <w:p w14:paraId="58BC0DD3">
      <w:pPr>
        <w:autoSpaceDE w:val="0"/>
        <w:autoSpaceDN w:val="0"/>
        <w:adjustRightInd w:val="0"/>
        <w:spacing w:line="360" w:lineRule="auto"/>
        <w:ind w:firstLine="482" w:firstLineChars="200"/>
        <w:rPr>
          <w:rFonts w:ascii="宋体" w:hAnsi="宋体"/>
          <w:b/>
          <w:bCs/>
          <w:color w:val="auto"/>
          <w:sz w:val="24"/>
        </w:rPr>
      </w:pPr>
      <w:r>
        <w:rPr>
          <w:rFonts w:hint="eastAsia" w:ascii="宋体" w:hAnsi="宋体"/>
          <w:b/>
          <w:bCs/>
          <w:color w:val="auto"/>
          <w:sz w:val="24"/>
        </w:rPr>
        <w:t>三、款项结算</w:t>
      </w:r>
    </w:p>
    <w:p w14:paraId="69D1D445">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w:t>
      </w:r>
      <w:r>
        <w:rPr>
          <w:rFonts w:hint="eastAsia" w:ascii="宋体" w:hAnsi="宋体"/>
          <w:bCs/>
          <w:color w:val="auto"/>
          <w:sz w:val="24"/>
          <w:lang w:val="en-US" w:eastAsia="zh-CN"/>
        </w:rPr>
        <w:t>支付方式</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42ABCB10">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（二）</w:t>
      </w:r>
      <w:r>
        <w:rPr>
          <w:rFonts w:hint="eastAsia" w:ascii="宋体" w:hAnsi="宋体"/>
          <w:bCs/>
          <w:color w:val="auto"/>
          <w:sz w:val="24"/>
          <w:lang w:val="en-US" w:eastAsia="zh-CN"/>
        </w:rPr>
        <w:t>结算条件</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5B3DC772">
      <w:pPr>
        <w:autoSpaceDE w:val="0"/>
        <w:autoSpaceDN w:val="0"/>
        <w:adjustRightInd w:val="0"/>
        <w:spacing w:line="360" w:lineRule="auto"/>
        <w:ind w:firstLine="480" w:firstLineChars="200"/>
        <w:rPr>
          <w:rFonts w:ascii="宋体" w:hAnsi="宋体"/>
          <w:bCs/>
          <w:color w:val="auto"/>
          <w:sz w:val="24"/>
          <w:highlight w:val="yellow"/>
        </w:rPr>
      </w:pPr>
      <w:r>
        <w:rPr>
          <w:rFonts w:hint="eastAsia" w:ascii="宋体" w:hAnsi="宋体"/>
          <w:bCs/>
          <w:color w:val="auto"/>
          <w:sz w:val="24"/>
        </w:rPr>
        <w:t>（三）</w:t>
      </w:r>
      <w:r>
        <w:rPr>
          <w:rFonts w:hint="eastAsia" w:ascii="宋体" w:hAnsi="宋体"/>
          <w:bCs/>
          <w:color w:val="auto"/>
          <w:sz w:val="24"/>
          <w:lang w:val="en-US" w:eastAsia="zh-CN"/>
        </w:rPr>
        <w:t>付款进度</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256C0B18">
      <w:pPr>
        <w:autoSpaceDE w:val="0"/>
        <w:autoSpaceDN w:val="0"/>
        <w:adjustRightInd w:val="0"/>
        <w:snapToGrid w:val="0"/>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cs="宋体"/>
          <w:b/>
          <w:bCs/>
          <w:color w:val="auto"/>
          <w:sz w:val="24"/>
        </w:rPr>
        <w:t>四、</w:t>
      </w:r>
      <w:r>
        <w:rPr>
          <w:rFonts w:hint="eastAsia" w:ascii="宋体" w:hAnsi="宋体" w:cs="宋体"/>
          <w:b/>
          <w:bCs/>
          <w:color w:val="auto"/>
          <w:sz w:val="24"/>
          <w:lang w:val="en-US" w:eastAsia="zh-CN"/>
        </w:rPr>
        <w:t>验收</w:t>
      </w:r>
    </w:p>
    <w:p w14:paraId="3EC0DA50">
      <w:pPr>
        <w:autoSpaceDE w:val="0"/>
        <w:autoSpaceDN w:val="0"/>
        <w:adjustRightInd w:val="0"/>
        <w:spacing w:line="360" w:lineRule="auto"/>
        <w:ind w:firstLine="480" w:firstLineChars="200"/>
        <w:rPr>
          <w:rFonts w:hint="eastAsia" w:ascii="宋体" w:hAnsi="宋体"/>
          <w:bCs/>
          <w:color w:val="auto"/>
          <w:sz w:val="24"/>
        </w:rPr>
      </w:pPr>
      <w:r>
        <w:rPr>
          <w:rFonts w:hint="eastAsia" w:ascii="宋体" w:hAnsi="宋体"/>
          <w:bCs/>
          <w:color w:val="auto"/>
          <w:sz w:val="24"/>
        </w:rPr>
        <w:t>（一）</w:t>
      </w:r>
      <w:r>
        <w:rPr>
          <w:rFonts w:hint="eastAsia" w:ascii="宋体" w:hAnsi="宋体"/>
          <w:bCs/>
          <w:color w:val="auto"/>
          <w:sz w:val="24"/>
          <w:lang w:val="en-US" w:eastAsia="zh-CN"/>
        </w:rPr>
        <w:t>乙方</w:t>
      </w:r>
      <w:r>
        <w:rPr>
          <w:rFonts w:hint="eastAsia" w:ascii="宋体" w:hAnsi="宋体"/>
          <w:bCs/>
          <w:color w:val="auto"/>
          <w:sz w:val="24"/>
        </w:rPr>
        <w:t>配合</w:t>
      </w:r>
      <w:r>
        <w:rPr>
          <w:rFonts w:hint="eastAsia" w:ascii="宋体" w:hAnsi="宋体"/>
          <w:bCs/>
          <w:color w:val="auto"/>
          <w:sz w:val="24"/>
          <w:lang w:val="en-US" w:eastAsia="zh-CN"/>
        </w:rPr>
        <w:t>甲方</w:t>
      </w:r>
      <w:r>
        <w:rPr>
          <w:rFonts w:hint="eastAsia" w:ascii="宋体" w:hAnsi="宋体"/>
          <w:bCs/>
          <w:color w:val="auto"/>
          <w:sz w:val="24"/>
        </w:rPr>
        <w:t>验收。</w:t>
      </w:r>
    </w:p>
    <w:p w14:paraId="66FE6E37">
      <w:pPr>
        <w:autoSpaceDE w:val="0"/>
        <w:autoSpaceDN w:val="0"/>
        <w:adjustRightInd w:val="0"/>
        <w:spacing w:line="360" w:lineRule="auto"/>
        <w:ind w:firstLine="480" w:firstLineChars="200"/>
        <w:rPr>
          <w:rFonts w:hint="eastAsia" w:ascii="宋体" w:hAnsi="宋体"/>
          <w:bCs/>
          <w:color w:val="auto"/>
          <w:sz w:val="24"/>
        </w:rPr>
      </w:pPr>
      <w:r>
        <w:rPr>
          <w:rFonts w:hint="eastAsia" w:ascii="宋体" w:hAnsi="宋体"/>
          <w:bCs/>
          <w:color w:val="auto"/>
          <w:sz w:val="24"/>
        </w:rPr>
        <w:t>（二）验收</w:t>
      </w:r>
      <w:r>
        <w:rPr>
          <w:rFonts w:hint="eastAsia" w:ascii="宋体" w:hAnsi="宋体"/>
          <w:bCs/>
          <w:color w:val="auto"/>
          <w:sz w:val="24"/>
          <w:lang w:val="en-US" w:eastAsia="zh-CN"/>
        </w:rPr>
        <w:t>标准</w:t>
      </w:r>
      <w:r>
        <w:rPr>
          <w:rFonts w:hint="eastAsia" w:ascii="宋体" w:hAnsi="宋体"/>
          <w:bCs/>
          <w:color w:val="auto"/>
          <w:sz w:val="24"/>
        </w:rPr>
        <w:t>：项目完成后，</w:t>
      </w:r>
      <w:r>
        <w:rPr>
          <w:rFonts w:hint="eastAsia" w:ascii="宋体" w:hAnsi="宋体"/>
          <w:bCs/>
          <w:color w:val="auto"/>
          <w:sz w:val="24"/>
          <w:lang w:val="en-US" w:eastAsia="zh-CN"/>
        </w:rPr>
        <w:t>乙方</w:t>
      </w:r>
      <w:r>
        <w:rPr>
          <w:rFonts w:hint="eastAsia" w:ascii="宋体" w:hAnsi="宋体"/>
          <w:bCs/>
          <w:color w:val="auto"/>
          <w:sz w:val="24"/>
        </w:rPr>
        <w:t>书面提出验收申请，由</w:t>
      </w:r>
      <w:r>
        <w:rPr>
          <w:rFonts w:hint="eastAsia" w:ascii="宋体" w:hAnsi="宋体"/>
          <w:bCs/>
          <w:color w:val="auto"/>
          <w:sz w:val="24"/>
          <w:lang w:val="en-US" w:eastAsia="zh-CN"/>
        </w:rPr>
        <w:t>甲方</w:t>
      </w:r>
      <w:r>
        <w:rPr>
          <w:rFonts w:hint="eastAsia" w:ascii="宋体" w:hAnsi="宋体"/>
          <w:bCs/>
          <w:color w:val="auto"/>
          <w:sz w:val="24"/>
        </w:rPr>
        <w:t>或组织相关人员成立验收小组对项目进行验收，完善项目资料</w:t>
      </w:r>
      <w:bookmarkStart w:id="1" w:name="_GoBack"/>
      <w:bookmarkEnd w:id="1"/>
      <w:r>
        <w:rPr>
          <w:rFonts w:hint="eastAsia" w:ascii="宋体" w:hAnsi="宋体"/>
          <w:bCs/>
          <w:color w:val="auto"/>
          <w:sz w:val="24"/>
        </w:rPr>
        <w:t>，形成验收报告。 2.其他未尽事宜应严格按照《财政部关于进一步加强政府采购需求和履约验收管理的指导意见》(财库(2016) 205号)的要求进行。</w:t>
      </w:r>
    </w:p>
    <w:p w14:paraId="7B168301">
      <w:pPr>
        <w:autoSpaceDE w:val="0"/>
        <w:autoSpaceDN w:val="0"/>
        <w:adjustRightInd w:val="0"/>
        <w:spacing w:line="348" w:lineRule="auto"/>
        <w:ind w:firstLine="480" w:firstLineChars="200"/>
        <w:rPr>
          <w:rFonts w:hint="eastAsia" w:ascii="宋体" w:hAnsi="宋体" w:cs="宋体"/>
          <w:b w:val="0"/>
          <w:bCs/>
          <w:color w:val="auto"/>
          <w:sz w:val="24"/>
        </w:rPr>
      </w:pPr>
      <w:r>
        <w:rPr>
          <w:rFonts w:hint="eastAsia" w:ascii="宋体" w:hAnsi="宋体"/>
          <w:bCs/>
          <w:color w:val="auto"/>
          <w:sz w:val="24"/>
        </w:rPr>
        <w:t>（三）</w:t>
      </w:r>
      <w:r>
        <w:rPr>
          <w:rFonts w:hint="eastAsia" w:ascii="宋体" w:hAnsi="宋体" w:cs="宋体"/>
          <w:b w:val="0"/>
          <w:bCs/>
          <w:color w:val="auto"/>
          <w:sz w:val="24"/>
        </w:rPr>
        <w:t>验收依据：</w:t>
      </w:r>
    </w:p>
    <w:p w14:paraId="6FF08BAC">
      <w:pPr>
        <w:autoSpaceDE w:val="0"/>
        <w:autoSpaceDN w:val="0"/>
        <w:adjustRightInd w:val="0"/>
        <w:spacing w:line="348" w:lineRule="auto"/>
        <w:ind w:firstLine="480" w:firstLineChars="200"/>
        <w:rPr>
          <w:rFonts w:hint="eastAsia" w:ascii="宋体" w:hAnsi="宋体" w:cs="宋体"/>
          <w:b w:val="0"/>
          <w:bCs/>
          <w:color w:val="auto"/>
          <w:sz w:val="24"/>
        </w:rPr>
      </w:pPr>
      <w:r>
        <w:rPr>
          <w:rFonts w:hint="eastAsia" w:ascii="宋体" w:hAnsi="宋体" w:cs="宋体"/>
          <w:b w:val="0"/>
          <w:bCs/>
          <w:color w:val="auto"/>
          <w:sz w:val="24"/>
        </w:rPr>
        <w:t>1.本合同及附加文本；</w:t>
      </w:r>
    </w:p>
    <w:p w14:paraId="3B74BCA6">
      <w:pPr>
        <w:autoSpaceDE w:val="0"/>
        <w:autoSpaceDN w:val="0"/>
        <w:adjustRightInd w:val="0"/>
        <w:spacing w:line="348" w:lineRule="auto"/>
        <w:ind w:firstLine="480" w:firstLineChars="200"/>
        <w:rPr>
          <w:rFonts w:hint="eastAsia"/>
          <w:color w:val="auto"/>
        </w:rPr>
      </w:pPr>
      <w:r>
        <w:rPr>
          <w:rFonts w:hint="eastAsia" w:ascii="宋体" w:hAnsi="宋体" w:cs="宋体"/>
          <w:b w:val="0"/>
          <w:bCs/>
          <w:color w:val="auto"/>
          <w:sz w:val="24"/>
        </w:rPr>
        <w:t>2.竞争性</w:t>
      </w:r>
      <w:r>
        <w:rPr>
          <w:rFonts w:hint="eastAsia" w:ascii="宋体" w:hAnsi="宋体" w:cs="宋体"/>
          <w:b w:val="0"/>
          <w:bCs/>
          <w:color w:val="auto"/>
          <w:sz w:val="24"/>
          <w:lang w:val="en-US" w:eastAsia="zh-CN"/>
        </w:rPr>
        <w:t>磋商</w:t>
      </w:r>
      <w:r>
        <w:rPr>
          <w:rFonts w:hint="eastAsia" w:ascii="宋体" w:hAnsi="宋体" w:cs="宋体"/>
          <w:b w:val="0"/>
          <w:bCs/>
          <w:color w:val="auto"/>
          <w:sz w:val="24"/>
        </w:rPr>
        <w:t>文件、成交供应商的</w:t>
      </w:r>
      <w:r>
        <w:rPr>
          <w:rFonts w:hint="eastAsia" w:ascii="宋体" w:hAnsi="宋体" w:cs="宋体"/>
          <w:b w:val="0"/>
          <w:bCs/>
          <w:color w:val="auto"/>
          <w:sz w:val="24"/>
          <w:lang w:val="en-US" w:eastAsia="zh-CN"/>
        </w:rPr>
        <w:t>磋商</w:t>
      </w:r>
      <w:r>
        <w:rPr>
          <w:rFonts w:hint="eastAsia" w:ascii="宋体" w:hAnsi="宋体" w:cs="宋体"/>
          <w:b w:val="0"/>
          <w:bCs/>
          <w:color w:val="auto"/>
          <w:sz w:val="24"/>
        </w:rPr>
        <w:t>响应文件及澄清函、承诺函；</w:t>
      </w:r>
    </w:p>
    <w:p w14:paraId="786130D7">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五</w:t>
      </w:r>
      <w:r>
        <w:rPr>
          <w:rFonts w:hint="eastAsia" w:ascii="宋体" w:hAnsi="宋体" w:cs="宋体"/>
          <w:b/>
          <w:bCs/>
          <w:color w:val="auto"/>
          <w:sz w:val="24"/>
        </w:rPr>
        <w:t>、双方的权利和义务</w:t>
      </w:r>
    </w:p>
    <w:p w14:paraId="2AAA8107">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14CFAAFB">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1.甲方负责配合本次项目服务工作；</w:t>
      </w:r>
    </w:p>
    <w:p w14:paraId="3E1F45C8">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2.甲方应按本合同的约定向乙方支付合同价款；</w:t>
      </w:r>
    </w:p>
    <w:p w14:paraId="115A74F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3.甲方根据需要对乙方提供的服务方案进行审核，提供建议及意见，确定最终实施的运营服务方案，以便乙方遵照执行；</w:t>
      </w:r>
    </w:p>
    <w:p w14:paraId="76A686EF">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4.甲方有权对乙方的工作进行监督和考核。</w:t>
      </w:r>
    </w:p>
    <w:p w14:paraId="7632619B">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1F54FB7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1.乙方的工作人员必须严格遵守甲方的规章制度，以良好的形象和积极的工作态度，按甲方要求开展工作；</w:t>
      </w:r>
    </w:p>
    <w:p w14:paraId="4B48F098">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2.乙方应服从甲方统筹管理并按流程开展工作；</w:t>
      </w:r>
    </w:p>
    <w:p w14:paraId="1DA03BA8">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bCs/>
          <w:color w:val="auto"/>
          <w:sz w:val="24"/>
        </w:rPr>
        <w:t>3.乙方在服务期间发布的任何涉及有关甲方的相关信息，需经甲方确认无误后方可公布。</w:t>
      </w:r>
    </w:p>
    <w:p w14:paraId="49DCA281">
      <w:pPr>
        <w:autoSpaceDE w:val="0"/>
        <w:autoSpaceDN w:val="0"/>
        <w:adjustRightInd w:val="0"/>
        <w:snapToGrid w:val="0"/>
        <w:spacing w:line="360" w:lineRule="auto"/>
        <w:ind w:firstLine="482" w:firstLineChars="200"/>
        <w:rPr>
          <w:rFonts w:hint="eastAsia" w:ascii="宋体" w:hAnsi="宋体" w:cs="宋体"/>
          <w:b/>
          <w:color w:val="auto"/>
          <w:sz w:val="24"/>
        </w:rPr>
      </w:pPr>
      <w:r>
        <w:rPr>
          <w:rFonts w:hint="eastAsia" w:ascii="宋体" w:hAnsi="宋体" w:cs="宋体"/>
          <w:b/>
          <w:color w:val="auto"/>
          <w:sz w:val="24"/>
          <w:lang w:val="en-US" w:eastAsia="zh-CN"/>
        </w:rPr>
        <w:t>六</w:t>
      </w:r>
      <w:r>
        <w:rPr>
          <w:rFonts w:hint="eastAsia" w:ascii="宋体" w:hAnsi="宋体" w:cs="宋体"/>
          <w:b/>
          <w:color w:val="auto"/>
          <w:sz w:val="24"/>
        </w:rPr>
        <w:t>、服务质量保证</w:t>
      </w:r>
    </w:p>
    <w:p w14:paraId="5DECCACE">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（一）乙方需派一名项目负责人，直接与甲方沟通，项目负责人接收甲方提出的问题与要求，并及时反馈给工作组，解决在项目实施过程中遇到的问题。</w:t>
      </w:r>
    </w:p>
    <w:p w14:paraId="711434B0">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（二）项目在实施过程中会出现不可预料的需求变更，乙方需积极配合甲方的需求变更，并按照变更后的需求继续进行方案实施。</w:t>
      </w:r>
    </w:p>
    <w:p w14:paraId="67D2CED3">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（三）乙方需提交所有实施方案流程及说明文档。</w:t>
      </w:r>
    </w:p>
    <w:p w14:paraId="67213CCB">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七</w:t>
      </w:r>
      <w:r>
        <w:rPr>
          <w:rFonts w:hint="eastAsia" w:ascii="宋体" w:hAnsi="宋体" w:cs="宋体"/>
          <w:b/>
          <w:bCs/>
          <w:color w:val="auto"/>
          <w:sz w:val="24"/>
        </w:rPr>
        <w:t>、知识产权</w:t>
      </w:r>
    </w:p>
    <w:p w14:paraId="743A6460">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（一）本项目所涉及到的所有成果的知识产权归甲方所有。 </w:t>
      </w:r>
    </w:p>
    <w:p w14:paraId="6E0CF01F">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（二）乙方无论出于任何目的如在其他地方使用该成果，必须经甲方同意方可使用。否则，贵甲方有权要求终止涉及到该知识产权的任何使用活动并保留追究卖方相应的法律责任的权利。 </w:t>
      </w:r>
    </w:p>
    <w:p w14:paraId="1D19E30E">
      <w:pPr>
        <w:autoSpaceDE w:val="0"/>
        <w:autoSpaceDN w:val="0"/>
        <w:adjustRightInd w:val="0"/>
        <w:snapToGrid w:val="0"/>
        <w:spacing w:line="360" w:lineRule="auto"/>
        <w:ind w:firstLine="480" w:firstLineChars="200"/>
        <w:rPr>
          <w:rFonts w:hint="eastAsia" w:ascii="宋体" w:hAnsi="宋体" w:cs="宋体"/>
          <w:color w:val="auto"/>
          <w:spacing w:val="-17"/>
          <w:sz w:val="24"/>
        </w:rPr>
      </w:pPr>
      <w:r>
        <w:rPr>
          <w:rFonts w:hint="eastAsia" w:ascii="宋体" w:hAnsi="宋体" w:cs="宋体"/>
          <w:color w:val="auto"/>
          <w:sz w:val="24"/>
        </w:rPr>
        <w:t>（三）乙方为执行本合同而提供的技术资料使用权归甲方所有。</w:t>
      </w:r>
    </w:p>
    <w:p w14:paraId="713742B1">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八</w:t>
      </w:r>
      <w:r>
        <w:rPr>
          <w:rFonts w:hint="eastAsia" w:ascii="宋体" w:hAnsi="宋体" w:cs="宋体"/>
          <w:b/>
          <w:bCs/>
          <w:color w:val="auto"/>
          <w:sz w:val="24"/>
        </w:rPr>
        <w:t>、其它事项</w:t>
      </w:r>
    </w:p>
    <w:p w14:paraId="0442829E">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（一）乙方不得转让、分包给其它单位或个人。</w:t>
      </w:r>
    </w:p>
    <w:p w14:paraId="708FB61D">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（二）乙方的磋商响应文件和承诺等内容将列入合同。</w:t>
      </w:r>
    </w:p>
    <w:p w14:paraId="559708B5">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p>
    <w:p w14:paraId="06AD8D3B">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（一）按《</w:t>
      </w:r>
      <w:r>
        <w:rPr>
          <w:rFonts w:hint="eastAsia" w:ascii="宋体" w:hAnsi="宋体" w:cs="宋体"/>
          <w:bCs/>
          <w:color w:val="auto"/>
          <w:sz w:val="24"/>
          <w:highlight w:val="none"/>
        </w:rPr>
        <w:t>中华人民共和国</w:t>
      </w:r>
      <w:r>
        <w:rPr>
          <w:rFonts w:hint="eastAsia" w:ascii="宋体" w:hAnsi="宋体" w:cs="宋体"/>
          <w:bCs/>
          <w:color w:val="auto"/>
          <w:sz w:val="24"/>
          <w:highlight w:val="none"/>
          <w:lang w:val="en-US" w:eastAsia="zh-CN"/>
        </w:rPr>
        <w:t>民法典</w:t>
      </w:r>
      <w:r>
        <w:rPr>
          <w:rFonts w:hint="eastAsia" w:ascii="宋体" w:hAnsi="宋体" w:cs="宋体"/>
          <w:color w:val="auto"/>
          <w:sz w:val="24"/>
        </w:rPr>
        <w:t>》中的相关条款执行。</w:t>
      </w:r>
    </w:p>
    <w:p w14:paraId="09FA3411">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（二）未按合同要求提供服务或服务质量不能满足本次采购要求，甲方会同监督机构、采购代理机构有权终止合同和对乙方违约行为进行追究，同时按政府采购法的有关规定进行相应的处罚。</w:t>
      </w:r>
    </w:p>
    <w:p w14:paraId="2FD3B1B8">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十</w:t>
      </w:r>
      <w:r>
        <w:rPr>
          <w:rFonts w:hint="eastAsia" w:ascii="宋体" w:hAnsi="宋体" w:cs="宋体"/>
          <w:b/>
          <w:bCs/>
          <w:color w:val="auto"/>
          <w:sz w:val="24"/>
        </w:rPr>
        <w:t>、合同争议解决的方式</w:t>
      </w:r>
    </w:p>
    <w:p w14:paraId="36078512">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本合同在履行过程中发生的争议，由甲、乙双方当事人协商解决，协商不成的按下列第</w:t>
      </w:r>
      <w:r>
        <w:rPr>
          <w:rFonts w:hint="eastAsia" w:ascii="宋体" w:hAnsi="宋体" w:cs="宋体"/>
          <w:bCs/>
          <w:color w:val="auto"/>
          <w:sz w:val="24"/>
          <w:u w:val="single"/>
        </w:rPr>
        <w:t xml:space="preserve">      </w:t>
      </w:r>
      <w:r>
        <w:rPr>
          <w:rFonts w:hint="eastAsia" w:ascii="宋体" w:hAnsi="宋体" w:cs="宋体"/>
          <w:bCs/>
          <w:color w:val="auto"/>
          <w:sz w:val="24"/>
        </w:rPr>
        <w:t>种方式解决：</w:t>
      </w:r>
    </w:p>
    <w:p w14:paraId="584FB4F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（一）提交</w:t>
      </w:r>
      <w:r>
        <w:rPr>
          <w:rFonts w:hint="eastAsia" w:ascii="宋体" w:hAnsi="宋体" w:cs="宋体"/>
          <w:bCs/>
          <w:color w:val="auto"/>
          <w:sz w:val="24"/>
          <w:lang w:eastAsia="zh-CN"/>
        </w:rPr>
        <w:t>西安</w:t>
      </w:r>
      <w:r>
        <w:rPr>
          <w:rFonts w:hint="eastAsia" w:ascii="宋体" w:hAnsi="宋体" w:cs="宋体"/>
          <w:bCs/>
          <w:color w:val="auto"/>
          <w:sz w:val="24"/>
        </w:rPr>
        <w:t>市仲裁委员会仲裁；</w:t>
      </w:r>
    </w:p>
    <w:p w14:paraId="7BDAF5AC">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（二）依法向甲方所在地人民法院起诉。</w:t>
      </w:r>
    </w:p>
    <w:p w14:paraId="57EBD924">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w:t>
      </w:r>
      <w:r>
        <w:rPr>
          <w:rFonts w:hint="eastAsia" w:ascii="宋体" w:hAnsi="宋体" w:cs="宋体"/>
          <w:b/>
          <w:bCs/>
          <w:color w:val="auto"/>
          <w:sz w:val="24"/>
          <w:lang w:val="en-US" w:eastAsia="zh-CN"/>
        </w:rPr>
        <w:t>一</w:t>
      </w:r>
      <w:r>
        <w:rPr>
          <w:rFonts w:hint="eastAsia" w:ascii="宋体" w:hAnsi="宋体" w:cs="宋体"/>
          <w:b/>
          <w:bCs/>
          <w:color w:val="auto"/>
          <w:sz w:val="24"/>
        </w:rPr>
        <w:t>、合同生效</w:t>
      </w:r>
    </w:p>
    <w:p w14:paraId="1FBDE805">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w:t>
      </w:r>
      <w:r>
        <w:rPr>
          <w:rFonts w:hint="eastAsia" w:ascii="宋体" w:hAnsi="宋体" w:cs="宋体"/>
          <w:bCs/>
          <w:color w:val="auto"/>
          <w:sz w:val="24"/>
          <w:lang w:eastAsia="zh-CN"/>
        </w:rPr>
        <w:t>签字或签章</w:t>
      </w:r>
      <w:r>
        <w:rPr>
          <w:rFonts w:hint="eastAsia" w:ascii="宋体" w:hAnsi="宋体" w:cs="宋体"/>
          <w:bCs/>
          <w:color w:val="auto"/>
          <w:sz w:val="24"/>
        </w:rPr>
        <w:t>并加盖本单位公章后正式生效。</w:t>
      </w:r>
    </w:p>
    <w:p w14:paraId="61E5E1D3">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w:t>
      </w:r>
      <w:r>
        <w:rPr>
          <w:rFonts w:hint="eastAsia" w:hAnsi="宋体" w:cs="宋体"/>
          <w:bCs/>
          <w:color w:val="auto"/>
          <w:sz w:val="24"/>
          <w:lang w:val="en-US" w:eastAsia="zh-CN"/>
        </w:rPr>
        <w:t>民法典</w:t>
      </w:r>
      <w:r>
        <w:rPr>
          <w:rFonts w:hint="eastAsia" w:ascii="宋体" w:hAnsi="宋体" w:cs="宋体"/>
          <w:bCs/>
          <w:color w:val="auto"/>
          <w:sz w:val="24"/>
        </w:rPr>
        <w:t>》的有关规定承担相应责任。</w:t>
      </w:r>
    </w:p>
    <w:p w14:paraId="63D6D4E5">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111F5C8F">
      <w:pPr>
        <w:autoSpaceDE w:val="0"/>
        <w:autoSpaceDN w:val="0"/>
        <w:adjustRightInd w:val="0"/>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（四）本合同如有未尽事宜，甲、乙双方协商解决</w:t>
      </w:r>
      <w:r>
        <w:rPr>
          <w:rFonts w:hint="eastAsia" w:ascii="宋体" w:hAnsi="宋体" w:cs="宋体"/>
          <w:bCs/>
          <w:color w:val="auto"/>
          <w:sz w:val="28"/>
          <w:szCs w:val="28"/>
        </w:rPr>
        <w:t>。</w:t>
      </w:r>
      <w:r>
        <w:rPr>
          <w:rFonts w:hint="eastAsia" w:ascii="宋体" w:hAnsi="宋体" w:cs="宋体"/>
          <w:bCs/>
          <w:color w:val="auto"/>
          <w:sz w:val="24"/>
          <w:highlight w:val="none"/>
        </w:rPr>
        <w:t xml:space="preserve"> </w:t>
      </w:r>
    </w:p>
    <w:tbl>
      <w:tblPr>
        <w:tblStyle w:val="10"/>
        <w:tblW w:w="0" w:type="auto"/>
        <w:jc w:val="center"/>
        <w:tblLayout w:type="fixed"/>
        <w:tblCellMar>
          <w:top w:w="0" w:type="dxa"/>
          <w:left w:w="108" w:type="dxa"/>
          <w:bottom w:w="0" w:type="dxa"/>
          <w:right w:w="108" w:type="dxa"/>
        </w:tblCellMar>
      </w:tblPr>
      <w:tblGrid>
        <w:gridCol w:w="4199"/>
        <w:gridCol w:w="4200"/>
      </w:tblGrid>
      <w:tr w14:paraId="12E61F93">
        <w:tblPrEx>
          <w:tblCellMar>
            <w:top w:w="0" w:type="dxa"/>
            <w:left w:w="108" w:type="dxa"/>
            <w:bottom w:w="0" w:type="dxa"/>
            <w:right w:w="108" w:type="dxa"/>
          </w:tblCellMar>
        </w:tblPrEx>
        <w:trPr>
          <w:trHeight w:val="541" w:hRule="exact"/>
          <w:jc w:val="center"/>
        </w:trPr>
        <w:tc>
          <w:tcPr>
            <w:tcW w:w="4199" w:type="dxa"/>
            <w:noWrap w:val="0"/>
            <w:vAlign w:val="center"/>
          </w:tcPr>
          <w:p w14:paraId="57BDB20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  方</w:t>
            </w:r>
          </w:p>
        </w:tc>
        <w:tc>
          <w:tcPr>
            <w:tcW w:w="4200" w:type="dxa"/>
            <w:noWrap w:val="0"/>
            <w:vAlign w:val="center"/>
          </w:tcPr>
          <w:p w14:paraId="24A2366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  方</w:t>
            </w:r>
          </w:p>
        </w:tc>
      </w:tr>
      <w:tr w14:paraId="03A5FFD9">
        <w:tblPrEx>
          <w:tblCellMar>
            <w:top w:w="0" w:type="dxa"/>
            <w:left w:w="108" w:type="dxa"/>
            <w:bottom w:w="0" w:type="dxa"/>
            <w:right w:w="108" w:type="dxa"/>
          </w:tblCellMar>
        </w:tblPrEx>
        <w:trPr>
          <w:trHeight w:val="541" w:hRule="exact"/>
          <w:jc w:val="center"/>
        </w:trPr>
        <w:tc>
          <w:tcPr>
            <w:tcW w:w="4199" w:type="dxa"/>
            <w:noWrap w:val="0"/>
            <w:vAlign w:val="center"/>
          </w:tcPr>
          <w:p w14:paraId="6B04383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c>
          <w:tcPr>
            <w:tcW w:w="4200" w:type="dxa"/>
            <w:noWrap w:val="0"/>
            <w:vAlign w:val="center"/>
          </w:tcPr>
          <w:p w14:paraId="7F737D5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r>
      <w:tr w14:paraId="52ED6524">
        <w:tblPrEx>
          <w:tblCellMar>
            <w:top w:w="0" w:type="dxa"/>
            <w:left w:w="108" w:type="dxa"/>
            <w:bottom w:w="0" w:type="dxa"/>
            <w:right w:w="108" w:type="dxa"/>
          </w:tblCellMar>
        </w:tblPrEx>
        <w:trPr>
          <w:trHeight w:val="541" w:hRule="exact"/>
          <w:jc w:val="center"/>
        </w:trPr>
        <w:tc>
          <w:tcPr>
            <w:tcW w:w="4199" w:type="dxa"/>
            <w:noWrap w:val="0"/>
            <w:vAlign w:val="center"/>
          </w:tcPr>
          <w:p w14:paraId="18D80FF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地址： </w:t>
            </w:r>
          </w:p>
        </w:tc>
        <w:tc>
          <w:tcPr>
            <w:tcW w:w="4200" w:type="dxa"/>
            <w:noWrap w:val="0"/>
            <w:vAlign w:val="center"/>
          </w:tcPr>
          <w:p w14:paraId="43B3F82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地址：</w:t>
            </w:r>
          </w:p>
        </w:tc>
      </w:tr>
      <w:tr w14:paraId="0E0C3D2C">
        <w:tblPrEx>
          <w:tblCellMar>
            <w:top w:w="0" w:type="dxa"/>
            <w:left w:w="108" w:type="dxa"/>
            <w:bottom w:w="0" w:type="dxa"/>
            <w:right w:w="108" w:type="dxa"/>
          </w:tblCellMar>
        </w:tblPrEx>
        <w:trPr>
          <w:trHeight w:val="541" w:hRule="exact"/>
          <w:jc w:val="center"/>
        </w:trPr>
        <w:tc>
          <w:tcPr>
            <w:tcW w:w="4199" w:type="dxa"/>
            <w:noWrap w:val="0"/>
            <w:vAlign w:val="center"/>
          </w:tcPr>
          <w:p w14:paraId="67173EA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c>
          <w:tcPr>
            <w:tcW w:w="4200" w:type="dxa"/>
            <w:noWrap w:val="0"/>
            <w:vAlign w:val="center"/>
          </w:tcPr>
          <w:p w14:paraId="5EB43FB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r>
      <w:tr w14:paraId="487D13BC">
        <w:tblPrEx>
          <w:tblCellMar>
            <w:top w:w="0" w:type="dxa"/>
            <w:left w:w="108" w:type="dxa"/>
            <w:bottom w:w="0" w:type="dxa"/>
            <w:right w:w="108" w:type="dxa"/>
          </w:tblCellMar>
        </w:tblPrEx>
        <w:trPr>
          <w:trHeight w:val="541" w:hRule="exact"/>
          <w:jc w:val="center"/>
        </w:trPr>
        <w:tc>
          <w:tcPr>
            <w:tcW w:w="4199" w:type="dxa"/>
            <w:noWrap w:val="0"/>
            <w:vAlign w:val="center"/>
          </w:tcPr>
          <w:p w14:paraId="42D73D7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法定代表人： </w:t>
            </w:r>
          </w:p>
        </w:tc>
        <w:tc>
          <w:tcPr>
            <w:tcW w:w="4200" w:type="dxa"/>
            <w:noWrap w:val="0"/>
            <w:vAlign w:val="center"/>
          </w:tcPr>
          <w:p w14:paraId="262654E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法定代表人：</w:t>
            </w:r>
          </w:p>
        </w:tc>
      </w:tr>
      <w:tr w14:paraId="4E5327AC">
        <w:tblPrEx>
          <w:tblCellMar>
            <w:top w:w="0" w:type="dxa"/>
            <w:left w:w="108" w:type="dxa"/>
            <w:bottom w:w="0" w:type="dxa"/>
            <w:right w:w="108" w:type="dxa"/>
          </w:tblCellMar>
        </w:tblPrEx>
        <w:trPr>
          <w:trHeight w:val="541" w:hRule="exact"/>
          <w:jc w:val="center"/>
        </w:trPr>
        <w:tc>
          <w:tcPr>
            <w:tcW w:w="4199" w:type="dxa"/>
            <w:noWrap w:val="0"/>
            <w:vAlign w:val="center"/>
          </w:tcPr>
          <w:p w14:paraId="0559038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c>
          <w:tcPr>
            <w:tcW w:w="4200" w:type="dxa"/>
            <w:noWrap w:val="0"/>
            <w:vAlign w:val="center"/>
          </w:tcPr>
          <w:p w14:paraId="6A29DF3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r>
      <w:tr w14:paraId="51C7F69B">
        <w:tblPrEx>
          <w:tblCellMar>
            <w:top w:w="0" w:type="dxa"/>
            <w:left w:w="108" w:type="dxa"/>
            <w:bottom w:w="0" w:type="dxa"/>
            <w:right w:w="108" w:type="dxa"/>
          </w:tblCellMar>
        </w:tblPrEx>
        <w:trPr>
          <w:trHeight w:val="541" w:hRule="exact"/>
          <w:jc w:val="center"/>
        </w:trPr>
        <w:tc>
          <w:tcPr>
            <w:tcW w:w="4199" w:type="dxa"/>
            <w:noWrap w:val="0"/>
            <w:vAlign w:val="center"/>
          </w:tcPr>
          <w:p w14:paraId="39709DA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c>
          <w:tcPr>
            <w:tcW w:w="4200" w:type="dxa"/>
            <w:noWrap w:val="0"/>
            <w:vAlign w:val="center"/>
          </w:tcPr>
          <w:p w14:paraId="29C0A04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r>
      <w:tr w14:paraId="4B73ADCC">
        <w:tblPrEx>
          <w:tblCellMar>
            <w:top w:w="0" w:type="dxa"/>
            <w:left w:w="108" w:type="dxa"/>
            <w:bottom w:w="0" w:type="dxa"/>
            <w:right w:w="108" w:type="dxa"/>
          </w:tblCellMar>
        </w:tblPrEx>
        <w:trPr>
          <w:trHeight w:val="541" w:hRule="exact"/>
          <w:jc w:val="center"/>
        </w:trPr>
        <w:tc>
          <w:tcPr>
            <w:tcW w:w="4199" w:type="dxa"/>
            <w:noWrap w:val="0"/>
            <w:vAlign w:val="center"/>
          </w:tcPr>
          <w:p w14:paraId="5AB4C4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c>
          <w:tcPr>
            <w:tcW w:w="4200" w:type="dxa"/>
            <w:noWrap w:val="0"/>
            <w:vAlign w:val="center"/>
          </w:tcPr>
          <w:p w14:paraId="51A3749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r>
      <w:tr w14:paraId="5C5F3100">
        <w:tblPrEx>
          <w:tblCellMar>
            <w:top w:w="0" w:type="dxa"/>
            <w:left w:w="108" w:type="dxa"/>
            <w:bottom w:w="0" w:type="dxa"/>
            <w:right w:w="108" w:type="dxa"/>
          </w:tblCellMar>
        </w:tblPrEx>
        <w:trPr>
          <w:trHeight w:val="541" w:hRule="exact"/>
          <w:jc w:val="center"/>
        </w:trPr>
        <w:tc>
          <w:tcPr>
            <w:tcW w:w="4199" w:type="dxa"/>
            <w:noWrap w:val="0"/>
            <w:vAlign w:val="center"/>
          </w:tcPr>
          <w:p w14:paraId="62F60316">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c>
          <w:tcPr>
            <w:tcW w:w="4200" w:type="dxa"/>
            <w:noWrap w:val="0"/>
            <w:vAlign w:val="center"/>
          </w:tcPr>
          <w:p w14:paraId="373575D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r>
      <w:tr w14:paraId="10A4BFCC">
        <w:tblPrEx>
          <w:tblCellMar>
            <w:top w:w="0" w:type="dxa"/>
            <w:left w:w="108" w:type="dxa"/>
            <w:bottom w:w="0" w:type="dxa"/>
            <w:right w:w="108" w:type="dxa"/>
          </w:tblCellMar>
        </w:tblPrEx>
        <w:trPr>
          <w:trHeight w:val="541" w:hRule="exact"/>
          <w:jc w:val="center"/>
        </w:trPr>
        <w:tc>
          <w:tcPr>
            <w:tcW w:w="4199" w:type="dxa"/>
            <w:noWrap w:val="0"/>
            <w:vAlign w:val="center"/>
          </w:tcPr>
          <w:p w14:paraId="3A6A24E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c>
          <w:tcPr>
            <w:tcW w:w="4200" w:type="dxa"/>
            <w:noWrap w:val="0"/>
            <w:vAlign w:val="center"/>
          </w:tcPr>
          <w:p w14:paraId="1E5C9B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r>
      <w:tr w14:paraId="3BBD0126">
        <w:tblPrEx>
          <w:tblCellMar>
            <w:top w:w="0" w:type="dxa"/>
            <w:left w:w="108" w:type="dxa"/>
            <w:bottom w:w="0" w:type="dxa"/>
            <w:right w:w="108" w:type="dxa"/>
          </w:tblCellMar>
        </w:tblPrEx>
        <w:trPr>
          <w:trHeight w:val="541" w:hRule="exact"/>
          <w:jc w:val="center"/>
        </w:trPr>
        <w:tc>
          <w:tcPr>
            <w:tcW w:w="4199" w:type="dxa"/>
            <w:noWrap w:val="0"/>
            <w:vAlign w:val="center"/>
          </w:tcPr>
          <w:p w14:paraId="6AC1BE4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c>
          <w:tcPr>
            <w:tcW w:w="4200" w:type="dxa"/>
            <w:noWrap w:val="0"/>
            <w:vAlign w:val="center"/>
          </w:tcPr>
          <w:p w14:paraId="4F4D58A4">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r>
    </w:tbl>
    <w:p w14:paraId="2ACD3E40">
      <w:pPr>
        <w:rPr>
          <w:rFonts w:hint="eastAsia" w:ascii="宋体" w:hAnsi="宋体" w:cs="宋体"/>
          <w:bCs/>
          <w:color w:val="auto"/>
          <w:sz w:val="24"/>
        </w:rPr>
      </w:pPr>
    </w:p>
    <w:p w14:paraId="61DA3C0B">
      <w:pPr>
        <w:bidi w:val="0"/>
        <w:rPr>
          <w:rFonts w:hint="eastAsia"/>
          <w:highlight w:val="none"/>
        </w:rPr>
      </w:pPr>
      <w:r>
        <w:rPr>
          <w:rFonts w:hint="eastAsia" w:ascii="宋体" w:hAnsi="宋体" w:cs="宋体"/>
          <w:bCs/>
          <w:color w:val="auto"/>
          <w:sz w:val="24"/>
        </w:rPr>
        <w:t>备注：合同模板仅供参考，具体以实际签订合同为准。</w:t>
      </w:r>
    </w:p>
    <w:p w14:paraId="16FD6BBD"/>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085BF"/>
    <w:multiLevelType w:val="singleLevel"/>
    <w:tmpl w:val="409085BF"/>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145E0A"/>
    <w:rsid w:val="004F0F4D"/>
    <w:rsid w:val="04422004"/>
    <w:rsid w:val="052D7F46"/>
    <w:rsid w:val="05AD64DF"/>
    <w:rsid w:val="05C810FF"/>
    <w:rsid w:val="0ADE34F7"/>
    <w:rsid w:val="0CA653DC"/>
    <w:rsid w:val="0E274C11"/>
    <w:rsid w:val="11F33501"/>
    <w:rsid w:val="196640D0"/>
    <w:rsid w:val="1CB93D9D"/>
    <w:rsid w:val="1D48524C"/>
    <w:rsid w:val="1ECD5B85"/>
    <w:rsid w:val="22F664C5"/>
    <w:rsid w:val="243E5891"/>
    <w:rsid w:val="24CA4BBB"/>
    <w:rsid w:val="25273966"/>
    <w:rsid w:val="283050FB"/>
    <w:rsid w:val="2975156E"/>
    <w:rsid w:val="2D7C41E1"/>
    <w:rsid w:val="32A83CD6"/>
    <w:rsid w:val="34420C73"/>
    <w:rsid w:val="34DA0A32"/>
    <w:rsid w:val="35EC7D14"/>
    <w:rsid w:val="360E18B1"/>
    <w:rsid w:val="38145E0A"/>
    <w:rsid w:val="3B7B35B3"/>
    <w:rsid w:val="3BF3011D"/>
    <w:rsid w:val="3EC13E81"/>
    <w:rsid w:val="455C75A3"/>
    <w:rsid w:val="4D1D7170"/>
    <w:rsid w:val="4D646013"/>
    <w:rsid w:val="4F6944D6"/>
    <w:rsid w:val="542D3DC5"/>
    <w:rsid w:val="57923690"/>
    <w:rsid w:val="5D632CDE"/>
    <w:rsid w:val="5D8339B2"/>
    <w:rsid w:val="5EF37821"/>
    <w:rsid w:val="61D36C4B"/>
    <w:rsid w:val="61EC24E5"/>
    <w:rsid w:val="67984807"/>
    <w:rsid w:val="69417FC4"/>
    <w:rsid w:val="6BA918F3"/>
    <w:rsid w:val="6C775A02"/>
    <w:rsid w:val="6CB20263"/>
    <w:rsid w:val="6E3B0847"/>
    <w:rsid w:val="71310596"/>
    <w:rsid w:val="74DD3202"/>
    <w:rsid w:val="77062109"/>
    <w:rsid w:val="7AD5146A"/>
    <w:rsid w:val="7AFE2D3C"/>
    <w:rsid w:val="7B637D31"/>
    <w:rsid w:val="7D772034"/>
    <w:rsid w:val="7F045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
    <w:autoRedefine/>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4">
    <w:name w:val="heading 2"/>
    <w:basedOn w:val="1"/>
    <w:next w:val="1"/>
    <w:link w:val="14"/>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5">
    <w:name w:val="heading 3"/>
    <w:basedOn w:val="1"/>
    <w:next w:val="1"/>
    <w:link w:val="15"/>
    <w:autoRedefine/>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6">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1">
    <w:name w:val="Default Paragraph Font"/>
    <w:autoRedefine/>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7">
    <w:name w:val="Body Text Indent"/>
    <w:basedOn w:val="1"/>
    <w:next w:val="2"/>
    <w:autoRedefine/>
    <w:qFormat/>
    <w:uiPriority w:val="0"/>
    <w:pPr>
      <w:ind w:firstLine="630"/>
    </w:pPr>
    <w:rPr>
      <w:sz w:val="32"/>
      <w:szCs w:val="20"/>
    </w:rPr>
  </w:style>
  <w:style w:type="paragraph" w:styleId="8">
    <w:name w:val="footer"/>
    <w:basedOn w:val="1"/>
    <w:autoRedefine/>
    <w:qFormat/>
    <w:uiPriority w:val="0"/>
    <w:pPr>
      <w:tabs>
        <w:tab w:val="center" w:pos="4153"/>
        <w:tab w:val="right" w:pos="8306"/>
      </w:tabs>
      <w:snapToGrid w:val="0"/>
      <w:jc w:val="left"/>
    </w:pPr>
    <w:rPr>
      <w:sz w:val="18"/>
      <w:szCs w:val="20"/>
    </w:rPr>
  </w:style>
  <w:style w:type="paragraph" w:styleId="9">
    <w:name w:val="Body Text First Indent 2"/>
    <w:basedOn w:val="7"/>
    <w:next w:val="1"/>
    <w:qFormat/>
    <w:uiPriority w:val="0"/>
    <w:pPr>
      <w:spacing w:before="50"/>
      <w:ind w:firstLine="200" w:firstLineChars="200"/>
    </w:pPr>
    <w:rPr>
      <w:rFonts w:ascii="Times New Roman" w:hAnsi="Times New Roman" w:eastAsia="宋体" w:cs="Times New Roman"/>
      <w:lang w:bidi="ar-SA"/>
    </w:rPr>
  </w:style>
  <w:style w:type="paragraph" w:customStyle="1" w:styleId="12">
    <w:name w:val="TOC 标题1"/>
    <w:basedOn w:val="3"/>
    <w:next w:val="1"/>
    <w:autoRedefine/>
    <w:unhideWhenUsed/>
    <w:qFormat/>
    <w:uiPriority w:val="39"/>
    <w:pPr>
      <w:outlineLvl w:val="9"/>
    </w:pPr>
  </w:style>
  <w:style w:type="character" w:customStyle="1" w:styleId="13">
    <w:name w:val="标题 1 Char"/>
    <w:basedOn w:val="11"/>
    <w:link w:val="3"/>
    <w:qFormat/>
    <w:uiPriority w:val="0"/>
    <w:rPr>
      <w:rFonts w:hint="eastAsia" w:ascii="PMingLiU" w:hAnsi="PMingLiU" w:eastAsia="宋体" w:cs="PMingLiU"/>
      <w:b/>
      <w:bCs/>
      <w:kern w:val="44"/>
      <w:sz w:val="30"/>
      <w:szCs w:val="32"/>
      <w:lang w:eastAsia="en-US"/>
    </w:rPr>
  </w:style>
  <w:style w:type="character" w:customStyle="1" w:styleId="14">
    <w:name w:val="标题 2 Char"/>
    <w:link w:val="4"/>
    <w:autoRedefine/>
    <w:qFormat/>
    <w:uiPriority w:val="0"/>
    <w:rPr>
      <w:rFonts w:ascii="宋体" w:hAnsi="宋体" w:eastAsia="宋体" w:cs="Times New Roman"/>
      <w:b/>
      <w:bCs/>
      <w:kern w:val="2"/>
      <w:sz w:val="28"/>
      <w:szCs w:val="32"/>
      <w:lang w:val="en-US" w:eastAsia="zh-CN" w:bidi="ar-SA"/>
    </w:rPr>
  </w:style>
  <w:style w:type="character" w:customStyle="1" w:styleId="15">
    <w:name w:val="标题 3 Char"/>
    <w:link w:val="5"/>
    <w:qFormat/>
    <w:uiPriority w:val="0"/>
    <w:rPr>
      <w:rFonts w:ascii="Times New Roman" w:hAnsi="Times New Roman" w:eastAsia="宋体"/>
      <w:b/>
      <w:bCs/>
      <w:kern w:val="2"/>
      <w:sz w:val="28"/>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1507</Words>
  <Characters>1531</Characters>
  <Lines>0</Lines>
  <Paragraphs>0</Paragraphs>
  <TotalTime>0</TotalTime>
  <ScaleCrop>false</ScaleCrop>
  <LinksUpToDate>false</LinksUpToDate>
  <CharactersWithSpaces>1650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2023-09-15T11:48:00Z</dcterms:created>
  <dc:creator>热血</dc:creator>
  <cp:lastModifiedBy>vivie</cp:lastModifiedBy>
  <dcterms:modified xsi:type="dcterms:W3CDTF">2026-04-29T03:28:23Z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F0D4B88894674CE39A0C5BF60E42EA36_11</vt:lpwstr>
  </property>
  <property fmtid="{D5CDD505-2E9C-101B-9397-08002B2CF9AE}" pid="4" name="KSOTemplateDocerSaveRecord">
    <vt:lpwstr>eyJoZGlkIjoiZmE1NDk1Nzc4ODgwMzA2NTdlMzMyYWJiMTdlNDg5YTciLCJ1c2VySWQiOiI5MzI2NzcyMjUifQ==</vt:lpwstr>
  </property>
</Properties>
</file>