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版本号：SXZYXM2026-1720260514001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华阴市PPP项目存量处置咨询服务项目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SXZYXM2026-17</w:t>
      </w:r>
      <w:r>
        <w:br/>
      </w:r>
      <w:r>
        <w:br/>
      </w:r>
      <w:r>
        <w:br/>
      </w:r>
    </w:p>
    <w:p>
      <w:pPr>
        <w:pStyle w:val="null3"/>
        <w:jc w:val="center"/>
        <w:outlineLvl w:val="2"/>
      </w:pPr>
      <w:r>
        <w:rPr>
          <w:rFonts w:ascii="仿宋_GB2312" w:hAnsi="仿宋_GB2312" w:cs="仿宋_GB2312" w:eastAsia="仿宋_GB2312"/>
          <w:sz w:val="28"/>
          <w:b/>
        </w:rPr>
        <w:t>华阴市财政局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华阴市财政局</w:t>
      </w:r>
      <w:r>
        <w:rPr>
          <w:rFonts w:ascii="仿宋_GB2312" w:hAnsi="仿宋_GB2312" w:cs="仿宋_GB2312" w:eastAsia="仿宋_GB2312"/>
        </w:rPr>
        <w:t>委托，拟对</w:t>
      </w:r>
      <w:r>
        <w:rPr>
          <w:rFonts w:ascii="仿宋_GB2312" w:hAnsi="仿宋_GB2312" w:cs="仿宋_GB2312" w:eastAsia="仿宋_GB2312"/>
        </w:rPr>
        <w:t>华阴市PPP项目存量处置咨询服务项目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华阴市PPP项目存量处置咨询服务项目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务院办公厅转发财政部《关于规范政府和社会资本存量项目建设和运营的指导意见》（国办函〔2025〕84号）管理要求，对华阴市三个存量PPP项目进行科学评估与精准优化，在保障公共服务质量和运营安全的前提下，有效降低项目全生命周期综合成本，优化政府中长期财政支出责任，提升项目自身运营效率和财务可持续性，实现政府、社会资本和公众的共赢，使项目更好地服务于华阴市经济社会发展战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采购包1（华阴市PPP项目存量处置咨询服务项目）：属于专门面向中小企业采购。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1、具有独立承担民事责任能力的法人、其他组织或自然人：提供合法有效的统一社会信用代码营业执照或其他证明文件，自然人提供身份证</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及被授权委托人近6个月任意一个月社保缴纳证明（法定代表人参加磋商只须提供法定代表人身份证及法人社保缴纳证明）；</w:t>
      </w:r>
    </w:p>
    <w:p>
      <w:pPr>
        <w:pStyle w:val="null3"/>
      </w:pPr>
      <w:r>
        <w:rPr>
          <w:rFonts w:ascii="仿宋_GB2312" w:hAnsi="仿宋_GB2312" w:cs="仿宋_GB2312" w:eastAsia="仿宋_GB2312"/>
        </w:rPr>
        <w:t>3、财务报告：提供2024年度或2025年度经审计的财务报告（包括但不限于审计报告、资产负债表、利润表、现金流量表、所有者权益变动表及财务报表附注等内容，成立时间至提交响应文件截止时间不足一年的可提供成立后任意时段的资产负债表，各供应商提供的财务审计报告需赋加有效二维码）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4、税收缴纳证明：提供递交截止时间前6个月内任意一个月的缴费凭据，依法免税的单位应提供相关证明材料；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8、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9、投标承诺：单位负责人为同一人或者存在直接控股、管理关系的不同供应商，不得参加同一合同项下的政府采购活动（提供控股管理关系清单）；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10、非联合体磋商：提供非联合体磋商声明。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华阴市东岳路140号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0913-4611077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国家发改委员会办公厅颁发的《关于招标代理服务收费有关问题的通知》(发改办价格[2003]857号)及发改价格【2011】534的有关规定执行，由中标人向采购代理机构一次付清招标代理服务费。代理费用由投标人自行考虑包含在投标报价中，费用可不单列。供应商需要办理完税发票（招标代理服务费）的，须在招标代理服务费缴纳之日起90日内换领，逾期不予办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华阴市财政局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务院办公厅转发财政部《关于规范政府和社会资本存量项目建设和运营的指导意见》（国办函〔2025〕84号）管理要求，对华阴市三个存量PPP项目进行科学评估与精准优化，在保障公共服务质量和运营安全的前提下，有效降低项目全生命周期综合成本，优化政府中长期财政支出责任，提升项目自身运营效率和财务可持续性，实现政府、社会资本和公众的共赢，使项目更好地服务于华阴市经济社会发展战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PPP项目存量处置咨询服务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标的名称：PPP项目存量处置咨询服务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jc w:val="both"/>
            </w:pPr>
            <w:r>
              <w:rPr>
                <w:rFonts w:ascii="仿宋_GB2312" w:hAnsi="仿宋_GB2312" w:cs="仿宋_GB2312" w:eastAsia="仿宋_GB2312"/>
              </w:rPr>
              <w:t>按照国务院办公厅转发财政部《关于规范政府和社会资本存量项目建设和运营的指导意见》（国办函〔</w:t>
            </w:r>
            <w:r>
              <w:rPr>
                <w:rFonts w:ascii="仿宋_GB2312" w:hAnsi="仿宋_GB2312" w:cs="仿宋_GB2312" w:eastAsia="仿宋_GB2312"/>
              </w:rPr>
              <w:t>2025〕84号）管理要求，对</w:t>
            </w:r>
            <w:r>
              <w:rPr>
                <w:rFonts w:ascii="仿宋_GB2312" w:hAnsi="仿宋_GB2312" w:cs="仿宋_GB2312" w:eastAsia="仿宋_GB2312"/>
              </w:rPr>
              <w:t>华阴市三个存量</w:t>
            </w:r>
            <w:r>
              <w:rPr>
                <w:rFonts w:ascii="仿宋_GB2312" w:hAnsi="仿宋_GB2312" w:cs="仿宋_GB2312" w:eastAsia="仿宋_GB2312"/>
              </w:rPr>
              <w:t>PPP项目进行科学评估与精准优化，在保障公共服务质量和运营安全的前提下，有效降低项目全生命周期综合成本，优化政府中长期财政支出责任，提升项目自身运营效率和财务可持续性，实现政府、社会资本和公众的共赢，使项目更好地服务于华阴市经济社会发展战略</w:t>
            </w:r>
            <w:r>
              <w:rPr>
                <w:rFonts w:ascii="仿宋_GB2312" w:hAnsi="仿宋_GB2312" w:cs="仿宋_GB2312" w:eastAsia="仿宋_GB2312"/>
              </w:rPr>
              <w:t>。</w:t>
            </w:r>
          </w:p>
          <w:p>
            <w:pPr>
              <w:pStyle w:val="null3"/>
              <w:jc w:val="both"/>
            </w:pPr>
            <w:r>
              <w:rPr>
                <w:rFonts w:ascii="仿宋_GB2312" w:hAnsi="仿宋_GB2312" w:cs="仿宋_GB2312" w:eastAsia="仿宋_GB2312"/>
              </w:rPr>
              <w:t>二、服务内容</w:t>
            </w:r>
          </w:p>
          <w:p>
            <w:pPr>
              <w:pStyle w:val="null3"/>
              <w:jc w:val="both"/>
            </w:pPr>
            <w:r>
              <w:rPr>
                <w:rFonts w:ascii="仿宋_GB2312" w:hAnsi="仿宋_GB2312" w:cs="仿宋_GB2312" w:eastAsia="仿宋_GB2312"/>
              </w:rPr>
              <w:t>1.</w:t>
            </w:r>
            <w:r>
              <w:rPr>
                <w:rFonts w:ascii="仿宋_GB2312" w:hAnsi="仿宋_GB2312" w:cs="仿宋_GB2312" w:eastAsia="仿宋_GB2312"/>
              </w:rPr>
              <w:t>项目尽职调查</w:t>
            </w:r>
            <w:r>
              <w:rPr>
                <w:rFonts w:ascii="仿宋_GB2312" w:hAnsi="仿宋_GB2312" w:cs="仿宋_GB2312" w:eastAsia="仿宋_GB2312"/>
              </w:rPr>
              <w:t>：</w:t>
            </w:r>
          </w:p>
          <w:p>
            <w:pPr>
              <w:pStyle w:val="null3"/>
              <w:jc w:val="both"/>
            </w:pPr>
            <w:r>
              <w:rPr>
                <w:rFonts w:ascii="仿宋_GB2312" w:hAnsi="仿宋_GB2312" w:cs="仿宋_GB2312" w:eastAsia="仿宋_GB2312"/>
              </w:rPr>
              <w:t>对项目</w:t>
            </w:r>
            <w:r>
              <w:rPr>
                <w:rFonts w:ascii="仿宋_GB2312" w:hAnsi="仿宋_GB2312" w:cs="仿宋_GB2312" w:eastAsia="仿宋_GB2312"/>
              </w:rPr>
              <w:t>进行</w:t>
            </w:r>
            <w:r>
              <w:rPr>
                <w:rFonts w:ascii="仿宋_GB2312" w:hAnsi="仿宋_GB2312" w:cs="仿宋_GB2312" w:eastAsia="仿宋_GB2312"/>
              </w:rPr>
              <w:t>深度诊断，全面收集并核实项目运营数据、财务数据及合同履行情况。在此基础上，与项目实施机构、项目公司、融资银行等关键相关方开展多轮初步沟通，就项目现状、存在问题及优化意向交换意见，力求在关键事实基础上形成初步共识</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.编制存量项目处置方案</w:t>
            </w:r>
            <w:r>
              <w:rPr>
                <w:rFonts w:ascii="仿宋_GB2312" w:hAnsi="仿宋_GB2312" w:cs="仿宋_GB2312" w:eastAsia="仿宋_GB2312"/>
              </w:rPr>
              <w:t>：</w:t>
            </w:r>
          </w:p>
          <w:p>
            <w:pPr>
              <w:pStyle w:val="null3"/>
              <w:jc w:val="both"/>
            </w:pPr>
            <w:r>
              <w:rPr>
                <w:rFonts w:ascii="仿宋_GB2312" w:hAnsi="仿宋_GB2312" w:cs="仿宋_GB2312" w:eastAsia="仿宋_GB2312"/>
              </w:rPr>
              <w:t>根据中央和陕西省的关于存量</w:t>
            </w:r>
            <w:r>
              <w:rPr>
                <w:rFonts w:ascii="仿宋_GB2312" w:hAnsi="仿宋_GB2312" w:cs="仿宋_GB2312" w:eastAsia="仿宋_GB2312"/>
              </w:rPr>
              <w:t xml:space="preserve"> PPP 项目处置的相关政</w:t>
            </w:r>
            <w:r>
              <w:rPr>
                <w:rFonts w:ascii="仿宋_GB2312" w:hAnsi="仿宋_GB2312" w:cs="仿宋_GB2312" w:eastAsia="仿宋_GB2312"/>
              </w:rPr>
              <w:t>策要求，结合本项目实际情况，编制项目降本增效实施方案，进行可行性必要性分析，项目实际问题分析，进行财务测算与敏感性分析。提出降本增效的整体路径与措施，明确目标和实施流程。</w:t>
            </w:r>
          </w:p>
          <w:p>
            <w:pPr>
              <w:pStyle w:val="null3"/>
              <w:jc w:val="both"/>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编制项目《</w:t>
            </w:r>
            <w:r>
              <w:rPr>
                <w:rFonts w:ascii="仿宋_GB2312" w:hAnsi="仿宋_GB2312" w:cs="仿宋_GB2312" w:eastAsia="仿宋_GB2312"/>
              </w:rPr>
              <w:t>“一项目一策”工作台账》</w:t>
            </w:r>
            <w:r>
              <w:rPr>
                <w:rFonts w:ascii="仿宋_GB2312" w:hAnsi="仿宋_GB2312" w:cs="仿宋_GB2312" w:eastAsia="仿宋_GB2312"/>
              </w:rPr>
              <w:t>：</w:t>
            </w:r>
          </w:p>
          <w:p>
            <w:pPr>
              <w:pStyle w:val="null3"/>
              <w:jc w:val="both"/>
            </w:pPr>
            <w:r>
              <w:rPr>
                <w:rFonts w:ascii="仿宋_GB2312" w:hAnsi="仿宋_GB2312" w:cs="仿宋_GB2312" w:eastAsia="仿宋_GB2312"/>
              </w:rPr>
              <w:t>按照陕西政策要求针对项目编制《</w:t>
            </w:r>
            <w:r>
              <w:rPr>
                <w:rFonts w:ascii="仿宋_GB2312" w:hAnsi="仿宋_GB2312" w:cs="仿宋_GB2312" w:eastAsia="仿宋_GB2312"/>
              </w:rPr>
              <w:t>“一项目一策”工作台账》，梳理明确项目存在的特性合规性问题和整改措施，</w:t>
            </w:r>
            <w:r>
              <w:rPr>
                <w:rFonts w:ascii="仿宋_GB2312" w:hAnsi="仿宋_GB2312" w:cs="仿宋_GB2312" w:eastAsia="仿宋_GB2312"/>
              </w:rPr>
              <w:t>分析和明确各项降本增效措施的目标，例如调整项目投资回报率、降低项目融资成本、压实项目总投资成本、优化项目运营成本、论证合作期限调整等，进行相应的财务测算分析</w:t>
            </w:r>
            <w:r>
              <w:rPr>
                <w:rFonts w:ascii="仿宋_GB2312" w:hAnsi="仿宋_GB2312" w:cs="仿宋_GB2312" w:eastAsia="仿宋_GB2312"/>
              </w:rPr>
              <w:t>。</w:t>
            </w:r>
          </w:p>
          <w:p>
            <w:pPr>
              <w:pStyle w:val="null3"/>
              <w:jc w:val="both"/>
            </w:pPr>
            <w:r>
              <w:rPr>
                <w:rFonts w:ascii="仿宋_GB2312" w:hAnsi="仿宋_GB2312" w:cs="仿宋_GB2312" w:eastAsia="仿宋_GB2312"/>
              </w:rPr>
              <w:t>4.</w:t>
            </w:r>
            <w:r>
              <w:rPr>
                <w:rFonts w:ascii="仿宋_GB2312" w:hAnsi="仿宋_GB2312" w:cs="仿宋_GB2312" w:eastAsia="仿宋_GB2312"/>
              </w:rPr>
              <w:t>项目降本措施及指标进行沟通谈判</w:t>
            </w:r>
          </w:p>
          <w:p>
            <w:pPr>
              <w:pStyle w:val="null3"/>
              <w:jc w:val="both"/>
            </w:pPr>
            <w:r>
              <w:rPr>
                <w:rFonts w:ascii="仿宋_GB2312" w:hAnsi="仿宋_GB2312" w:cs="仿宋_GB2312" w:eastAsia="仿宋_GB2312"/>
              </w:rPr>
              <w:t>按照</w:t>
            </w:r>
            <w:r>
              <w:rPr>
                <w:rFonts w:ascii="仿宋_GB2312" w:hAnsi="仿宋_GB2312" w:cs="仿宋_GB2312" w:eastAsia="仿宋_GB2312"/>
              </w:rPr>
              <w:t>“一项目一策”工作台账，与社会资本方（项目公司）和金融机构等启动正式协商谈判。谈判分阶段进行多轮次，就审计报告、成本数据等基础信息进行核对并确认，继而围绕投资回报率调整、融资利率优化、建设期利息核算、运营成本核定、违约责任认定及处置、收入分配机制等核心议题展开深入探讨。谈判过程中准备多套组合式的方案备选，灵活运用利益交换策略，寻求双方利益的平衡点。在就核心条款达成初步一致后，启动内部决策程序，组织对调整后方案形成详尽的决策报告，报请市政府常务会议或相关专题会议审议批准。</w:t>
            </w:r>
          </w:p>
          <w:p>
            <w:pPr>
              <w:pStyle w:val="null3"/>
              <w:jc w:val="both"/>
            </w:pPr>
            <w:r>
              <w:rPr>
                <w:rFonts w:ascii="仿宋_GB2312" w:hAnsi="仿宋_GB2312" w:cs="仿宋_GB2312" w:eastAsia="仿宋_GB2312"/>
              </w:rPr>
              <w:t>5.</w:t>
            </w:r>
            <w:r>
              <w:rPr>
                <w:rFonts w:ascii="仿宋_GB2312" w:hAnsi="仿宋_GB2312" w:cs="仿宋_GB2312" w:eastAsia="仿宋_GB2312"/>
              </w:rPr>
              <w:t>起草项目补充协议及签署</w:t>
            </w:r>
          </w:p>
          <w:p>
            <w:pPr>
              <w:pStyle w:val="null3"/>
              <w:jc w:val="both"/>
            </w:pPr>
            <w:r>
              <w:rPr>
                <w:rFonts w:ascii="仿宋_GB2312" w:hAnsi="仿宋_GB2312" w:cs="仿宋_GB2312" w:eastAsia="仿宋_GB2312"/>
              </w:rPr>
              <w:t>项目实施机构与项目公司根据协商和决策结果，在政府和社会资本决策通过后，起草正式的《</w:t>
            </w:r>
            <w:r>
              <w:rPr>
                <w:rFonts w:ascii="仿宋_GB2312" w:hAnsi="仿宋_GB2312" w:cs="仿宋_GB2312" w:eastAsia="仿宋_GB2312"/>
              </w:rPr>
              <w:t>PPP 项目合同补充协 议》法律文本，明确所有调整后的权利义务条款。经法定程</w:t>
            </w:r>
            <w:r>
              <w:rPr>
                <w:rFonts w:ascii="仿宋_GB2312" w:hAnsi="仿宋_GB2312" w:cs="仿宋_GB2312" w:eastAsia="仿宋_GB2312"/>
              </w:rPr>
              <w:t>序审核并签署后，该补充协议正式生效。</w:t>
            </w:r>
          </w:p>
          <w:p>
            <w:pPr>
              <w:pStyle w:val="null3"/>
              <w:jc w:val="both"/>
            </w:pPr>
            <w:r>
              <w:rPr>
                <w:rFonts w:ascii="仿宋_GB2312" w:hAnsi="仿宋_GB2312" w:cs="仿宋_GB2312" w:eastAsia="仿宋_GB2312"/>
              </w:rPr>
              <w:t>6.</w:t>
            </w:r>
            <w:r>
              <w:rPr>
                <w:rFonts w:ascii="仿宋_GB2312" w:hAnsi="仿宋_GB2312" w:cs="仿宋_GB2312" w:eastAsia="仿宋_GB2312"/>
              </w:rPr>
              <w:t>编制项目处置及降本增效报告</w:t>
            </w:r>
          </w:p>
          <w:p>
            <w:pPr>
              <w:pStyle w:val="null3"/>
              <w:jc w:val="both"/>
            </w:pPr>
            <w:r>
              <w:rPr>
                <w:rFonts w:ascii="仿宋_GB2312" w:hAnsi="仿宋_GB2312" w:cs="仿宋_GB2312" w:eastAsia="仿宋_GB2312"/>
              </w:rPr>
              <w:t>严格按照陕西省财政厅关于存量</w:t>
            </w:r>
            <w:r>
              <w:rPr>
                <w:rFonts w:ascii="仿宋_GB2312" w:hAnsi="仿宋_GB2312" w:cs="仿宋_GB2312" w:eastAsia="仿宋_GB2312"/>
              </w:rPr>
              <w:t xml:space="preserve"> PPP 项目调整的相关通知要求，编制项目处置及降本增效报告，准备完整过程和备案材料，向上级财政部门履行备案手续。所有工作均需保证流程的完整性与合规性。</w:t>
            </w:r>
          </w:p>
          <w:p>
            <w:pPr>
              <w:pStyle w:val="null3"/>
              <w:jc w:val="both"/>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成果文件及验收要求</w:t>
            </w:r>
          </w:p>
          <w:p>
            <w:pPr>
              <w:pStyle w:val="null3"/>
              <w:jc w:val="both"/>
            </w:pPr>
            <w:r>
              <w:rPr>
                <w:rFonts w:ascii="仿宋_GB2312" w:hAnsi="仿宋_GB2312" w:cs="仿宋_GB2312" w:eastAsia="仿宋_GB2312"/>
              </w:rPr>
              <w:t>1.</w:t>
            </w:r>
            <w:r>
              <w:rPr>
                <w:rFonts w:ascii="仿宋_GB2312" w:hAnsi="仿宋_GB2312" w:cs="仿宋_GB2312" w:eastAsia="仿宋_GB2312"/>
              </w:rPr>
              <w:t>成果文件</w:t>
            </w:r>
            <w:r>
              <w:rPr>
                <w:rFonts w:ascii="仿宋_GB2312" w:hAnsi="仿宋_GB2312" w:cs="仿宋_GB2312" w:eastAsia="仿宋_GB2312"/>
              </w:rPr>
              <w:t>：</w:t>
            </w:r>
          </w:p>
          <w:p>
            <w:pPr>
              <w:pStyle w:val="null3"/>
              <w:jc w:val="both"/>
            </w:pPr>
            <w:r>
              <w:rPr>
                <w:rFonts w:ascii="仿宋_GB2312" w:hAnsi="仿宋_GB2312" w:cs="仿宋_GB2312" w:eastAsia="仿宋_GB2312"/>
              </w:rPr>
              <w:t>根据服务商咨询服务内容，服务商提交成果文件包括：</w:t>
            </w:r>
            <w:r>
              <w:rPr>
                <w:rFonts w:ascii="仿宋_GB2312" w:hAnsi="仿宋_GB2312" w:cs="仿宋_GB2312" w:eastAsia="仿宋_GB2312"/>
              </w:rPr>
              <w:t>项目处置及降本增效报告</w:t>
            </w:r>
            <w:r>
              <w:rPr>
                <w:rFonts w:ascii="仿宋_GB2312" w:hAnsi="仿宋_GB2312" w:cs="仿宋_GB2312" w:eastAsia="仿宋_GB2312"/>
              </w:rPr>
              <w:t>、项目补充协议</w:t>
            </w:r>
            <w:r>
              <w:rPr>
                <w:rFonts w:ascii="仿宋_GB2312" w:hAnsi="仿宋_GB2312" w:cs="仿宋_GB2312" w:eastAsia="仿宋_GB2312"/>
              </w:rPr>
              <w:t>等相关资料</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质量验收标准或规范</w:t>
            </w:r>
            <w:r>
              <w:rPr>
                <w:rFonts w:ascii="仿宋_GB2312" w:hAnsi="仿宋_GB2312" w:cs="仿宋_GB2312" w:eastAsia="仿宋_GB2312"/>
              </w:rPr>
              <w:t>：</w:t>
            </w:r>
          </w:p>
          <w:p>
            <w:pPr>
              <w:pStyle w:val="null3"/>
            </w:pPr>
            <w:r>
              <w:rPr>
                <w:rFonts w:ascii="仿宋_GB2312" w:hAnsi="仿宋_GB2312" w:cs="仿宋_GB2312" w:eastAsia="仿宋_GB2312"/>
                <w:sz w:val="21"/>
              </w:rPr>
              <w:t>现行的国家标准或国家行政部门颁布的法律法规、规章制度等。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项目人员需满足项目服务工作开展需求。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合理配备设施设备。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本项目服务标准遵循国家、行业现行有效的法律法规、强制性标准及规范性文件。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自合同签订之日起至项目咨询服务成果验收提交为止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满足现行的国家标准或国家行政部门颁布的法律法规、规章制度等，并经采购人检验合格。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提交项目降本增效实施方案及各项目一项目一策工作方案后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配合采购人完成补充协议签订并提交项目降本增效报告后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服务实施费用、报告调查表（图）编制费、专业技术人员费、交通费、管理费以及国家按现行税率征收的一切税费等所有费用。任何有选择的报价将不予接受，按无效磋商处理。（二）由供应商自行承担因现场踏勘而产生的费用及安全。（三）本项目所属行业为：租赁和商务服务业。根据《工业和信息化部、国家统计局、国家发展和改革委员会、财政部关于印发中小企业划型标准规定的通知》《工信部联企业(2011)300 号)规定的划分标准，从业人员300人以下或资产总额120000万元以下的为中小微企业。其中，从业人员100人及以上，且资产总额8000万元及以上的为中型企业；从业人员10人及以上，且资产总额100万元及以上的为小型企业；从业人员10人以下或资产总额100万元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提供合法有效的统一社会信用代码营业执照或其他证明文件，自然人提供身份证</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法定代表人授权委托书（附法定代表人身份证复印件）及被授权委托人身份证及被授权委托人近6个月任意一个月社保缴纳证明（法定代表人参加磋商只须提供法定代表人身份证及法人社保缴纳证明）；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包括但不限于审计报告、资产负债表、利润表、现金流量表、所有者权益变动表及财务报表附注等内容，成立时间至提交响应文件截止时间不足一年的可提供成立后任意时段的资产负债表，各供应商提供的财务审计报告需赋加有效二维码）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人的报价明显低于其他实质性响应的投标人报价，有可能影响产品质量或者不能诚信履约的，评审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评标委员会应当要求相关投标人在评审现场合理的时间内对投标（响应）价格作出解释，提供项目具体成本测算等与报价合理性相关的书面说明及必要的证明材料，包括但不限于原材料成本、人工成本、制造费用等。3.投标人提交的相关证明材料，应当加盖投标人（法定名称）电子印章，在评审委员会要求的时间内通过项目电子化交易系统进行提交，否则提交的相关证明材料无效。投标人不能证明其报价合理性的，评审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资格证明资料1.docx 服务内容及服务邀请应答表 中小企业声明函 商务应答表 人员简历表1.docx 响应文件封面 残疾人福利性单位声明函 服务方案 供应商类似项目业绩一览表1.docx 标的清单 承诺书1.docx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资格证明资料1.docx 服务内容及服务邀请应答表 中小企业声明函 商务应答表 人员简历表1.docx 响应文件封面 残疾人福利性单位声明函 服务方案 供应商类似项目业绩一览表1.docx 标的清单 承诺书1.docx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包括但不限于（1）重难点分析；（2）应对措施。二、评审标准：1、完整性：方案必须全面，对评审内容中的各项要求有详细描述；2、可实施性：切合本项目实际情况，提出步骤清晰、合理的方案；三、赋分标准（满分10分）：（1）重难点分析：每完全满足一个评审标准得2.5分，满分5分；（2）应对措施：每完全满足一个评审标准得2.5分，满分5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一、评审内容：包括但不限于（1）服务目标；（2）服务内容的理解；（3）项目具体实施方案；（4）项目组织协调方案； 二、评审标准：1、完整性：方案必须全面，对评审内容中的各项要求有详细描述；2、针对性：切合本项目实际情况，提出步骤清晰、合理的方案；三、赋分标准（满分20分）：（1）服务目标：每完全满足一个评审标准得2.5分，满分5分；（2）服务内容的理解：每完全满足一个评审标准得2.5分，满分5分；（3）项目具体实施方案：每完全满足一个评审标准得2.5分，满分5分；（4）项目组织协调方案：每完全满足一个评审标准得2.5分，满分5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一、评审内容：包括但不限于（1）质量控制标准；（2）质量控制措施。 二、评审标准：1、完整性：方案必须全面，对评审内容中的各项要求有详细描述；2、针对性：切合本项目实际情况，提出步骤清晰、合理的方案；三、赋分标准（满分8分）：（1）质量控制标准：每完全满足一个评审标准得2分，满分4分；（2）质量控制措施：每完全满足一个评审标准得2分，满分4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包括但不限于（1）进度计划；（2）进度保证措施。二、评审标准：1、完整性：方案必须全面，对评审内容中的各项要求有详细描述；2、针对性：切合本项目实际情况，提出步骤清晰、合理的方案；三、赋分标准（满分10分）：（1）进度计划：每完全满足一个评审标准得2.5分，满分5分；（2）进度保障措施：每完全满足一个评审标准得2.5分，满分5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一、评审内容：包括但不限于（1）服务承诺；（2）项目成果承诺；二、评审标准：1、完整性：方案必须全面，对 评审内容中的各项要求有详细描述；2、针对性：切合本项目实际情况，提出步骤清晰、合理的方案；三、赋分标准（满分8分）：（1）服务承诺：每完全满足一个评审标准得2分，满分4分；（2）项目成果承诺：每完全满足一个评审标准得2分，满分4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一、评审内容：（1）保密措施；（2）保密制度； 二、评审标准：1、完整性：方案必须全面，对评审内容中的各项要求有详细描述；2、针对性：切合本项目实际情况，提出步骤清晰、合理的方案；三、赋分标准（满分8分）：（1）保密措施：每完全满足一个评审标准得2分，满分4分；（2）保密制度：每完全满足一个评审标准得2分，满分4分。每有一项内容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依据实施经验从多个角度考虑，提出合理可行且对项目实施具有较强的指导建议，每提供一条得2分满分6分；提供的建议不具有操作性或内容不全不得分。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供应商2022年1月至今具有类似项目业绩（提供加盖公章的合同复印件），具有1项业绩，得3分，满分为15分。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1.磋商报价得分=（磋商基准价/最后磋商报价）×15分；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详见附件：资格证明资料1.docx</w:t>
      </w:r>
    </w:p>
    <w:p>
      <w:pPr>
        <w:pStyle w:val="null3"/>
        <w:ind w:firstLine="960"/>
      </w:pPr>
      <w:r>
        <w:rPr>
          <w:rFonts w:ascii="仿宋_GB2312" w:hAnsi="仿宋_GB2312" w:cs="仿宋_GB2312" w:eastAsia="仿宋_GB2312"/>
        </w:rPr>
        <w:t>详见附件：人员简历表1.docx</w:t>
      </w:r>
    </w:p>
    <w:p>
      <w:pPr>
        <w:pStyle w:val="null3"/>
        <w:ind w:firstLine="960"/>
      </w:pPr>
      <w:r>
        <w:rPr>
          <w:rFonts w:ascii="仿宋_GB2312" w:hAnsi="仿宋_GB2312" w:cs="仿宋_GB2312" w:eastAsia="仿宋_GB2312"/>
        </w:rPr>
        <w:t>详见附件：承诺书1.docx</w:t>
      </w:r>
    </w:p>
    <w:p>
      <w:pPr>
        <w:pStyle w:val="null3"/>
        <w:ind w:firstLine="960"/>
      </w:pPr>
      <w:r>
        <w:rPr>
          <w:rFonts w:ascii="仿宋_GB2312" w:hAnsi="仿宋_GB2312" w:cs="仿宋_GB2312" w:eastAsia="仿宋_GB2312"/>
        </w:rPr>
        <w:t>详见附件：供应商类似项目业绩一览表1.docx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