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版本号：HZGH-2026-03920260622001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碑林区大学南路小学操场提升改造项目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HZGH-2026-039</w:t>
      </w:r>
      <w:r>
        <w:br/>
      </w:r>
      <w:r>
        <w:br/>
      </w:r>
      <w:r>
        <w:br/>
      </w:r>
    </w:p>
    <w:p>
      <w:pPr>
        <w:pStyle w:val="null3"/>
        <w:jc w:val="center"/>
        <w:outlineLvl w:val="2"/>
      </w:pPr>
      <w:r>
        <w:rPr>
          <w:rFonts w:ascii="仿宋_GB2312" w:hAnsi="仿宋_GB2312" w:cs="仿宋_GB2312" w:eastAsia="仿宋_GB2312"/>
          <w:sz w:val="28"/>
          <w:b/>
        </w:rPr>
        <w:t>西安市碑林区大学南路小学</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西安市碑林区大学南路小学</w:t>
      </w:r>
      <w:r>
        <w:rPr>
          <w:rFonts w:ascii="仿宋_GB2312" w:hAnsi="仿宋_GB2312" w:cs="仿宋_GB2312" w:eastAsia="仿宋_GB2312"/>
        </w:rPr>
        <w:t>委托，拟对</w:t>
      </w:r>
      <w:r>
        <w:rPr>
          <w:rFonts w:ascii="仿宋_GB2312" w:hAnsi="仿宋_GB2312" w:cs="仿宋_GB2312" w:eastAsia="仿宋_GB2312"/>
        </w:rPr>
        <w:t>碑林区大学南路小学操场提升改造项目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碑林区大学南路小学操场提升改造项目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碑林区⼤学南路⼩学校区校内操场拆除改造及新做部分，操场绿化⼯程以及智慧体育项等，具体内容详⻅⼯程量清单。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采购包1（碑林区大学南路小学操场提升改造项目）：属于专门面向中小企业采购。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2024年度或2025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3、税收缴纳证明：提供2025年6月1日至今任意一个月已缴纳的纳税证明或完税证明（包含增值税、企业所得税、营业税至少一种）；（依法免税的投标人应提供相关文件证明）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4、社会保障资金缴纳证明：提供2025年6月1日至今任意一个月的社保缴费凭据或社保机构开具的社会保险参保缴费情况证明；（依法不需要缴纳社会保障资金的投标人应提供相关证明）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8、法定代表人或负责人授权委托书：被授权人参与磋商时，需提供法定代表人或负责人资格证明书、法定代表人或负责人授权委托书；（附法定代表人或负责人及被授权人身份证复印件）</w:t>
      </w:r>
    </w:p>
    <w:p>
      <w:pPr>
        <w:pStyle w:val="null3"/>
      </w:pPr>
      <w:r>
        <w:rPr>
          <w:rFonts w:ascii="仿宋_GB2312" w:hAnsi="仿宋_GB2312" w:cs="仿宋_GB2312" w:eastAsia="仿宋_GB2312"/>
        </w:rPr>
        <w:t>9、资质要求：具备建设行政主管部门颁发的建筑工程施工总承包三级及以上（含三级）资质，并具有有效的安全生产许可证；</w:t>
      </w:r>
    </w:p>
    <w:p>
      <w:pPr>
        <w:pStyle w:val="null3"/>
      </w:pPr>
      <w:r>
        <w:rPr>
          <w:rFonts w:ascii="仿宋_GB2312" w:hAnsi="仿宋_GB2312" w:cs="仿宋_GB2312" w:eastAsia="仿宋_GB2312"/>
        </w:rPr>
        <w:t>10、项目经理：拟派项目经理具有建筑工程专业二级及以上注册建造师证书及有效的安全生产考核合格证（B证），且无在建项目（提供无在建承诺）；</w:t>
      </w:r>
    </w:p>
    <w:p>
      <w:pPr>
        <w:pStyle w:val="null3"/>
      </w:pPr>
      <w:r>
        <w:rPr>
          <w:rFonts w:ascii="仿宋_GB2312" w:hAnsi="仿宋_GB2312" w:cs="仿宋_GB2312" w:eastAsia="仿宋_GB2312"/>
        </w:rPr>
        <w:t>11、基本信息查询：供应商及项目经理的基本信息在“陕西省住房和城乡建设厅(http://js.shaanxi.gov.cn/)”或“全国建筑市场监管公共服务平台(https://jzsc.mohurd.gov.cn/)”可查询；</w:t>
      </w:r>
    </w:p>
    <w:p>
      <w:pPr>
        <w:pStyle w:val="null3"/>
      </w:pPr>
      <w:r>
        <w:rPr>
          <w:rFonts w:ascii="仿宋_GB2312" w:hAnsi="仿宋_GB2312" w:cs="仿宋_GB2312" w:eastAsia="仿宋_GB2312"/>
        </w:rPr>
        <w:t>12、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rFonts w:ascii="仿宋_GB2312" w:hAnsi="仿宋_GB2312" w:cs="仿宋_GB2312" w:eastAsia="仿宋_GB2312"/>
        </w:rPr>
        <w:t>13、单位负责人为同一人或者存在直接控股、管理关系的不同供应商，不得参加同一合同项下的政府采购活动：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14、本项目不接受联合体磋商：本项目不接受联合体磋商。（提供书面承诺函，格式自拟加盖供应商公章）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西安市碑林区大学南路小学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西安市碑林区大学南路68号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西安市碑林区大学南路小学经办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18092766779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理暂行办法&gt;的通知》（财库〔2018〕2号）规定执行。2、招标代理服务费应采用转账形式交纳。3、收款账户如下：收款单位：华招广和项目管理有限公司,开户银行：中国建设银行股份有限公司西安金泰假日花城支行,银行账号：6105 0186 5800 0000 0059。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西安市碑林区大学南路小学</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西安市碑林区大学南路小学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西安市碑林区大学南路小学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地址：西安市雁塔区西部国际广场B座2803室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1,908,559.49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2000000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一、工程内容和工程地点、工期、工程质保期、质量要求</w:t>
            </w:r>
          </w:p>
          <w:p>
            <w:pPr>
              <w:pStyle w:val="null3"/>
              <w:ind w:firstLine="480"/>
              <w:jc w:val="both"/>
            </w:pPr>
            <w:r>
              <w:rPr>
                <w:rFonts w:ascii="仿宋_GB2312" w:hAnsi="仿宋_GB2312" w:cs="仿宋_GB2312" w:eastAsia="仿宋_GB2312"/>
              </w:rPr>
              <w:t>1、工程内容：碑林区大学南路小学校区校内操场拆除改造及新做部分，操场绿化工程以及智慧体育项目等，具体内容详见工程量清单。</w:t>
            </w:r>
          </w:p>
          <w:p>
            <w:pPr>
              <w:pStyle w:val="null3"/>
              <w:ind w:firstLine="480"/>
              <w:jc w:val="both"/>
            </w:pPr>
            <w:r>
              <w:rPr>
                <w:rFonts w:ascii="仿宋_GB2312" w:hAnsi="仿宋_GB2312" w:cs="仿宋_GB2312" w:eastAsia="仿宋_GB2312"/>
              </w:rPr>
              <w:t>2、工程地点：西安市碑林区大学南路小学</w:t>
            </w:r>
          </w:p>
          <w:p>
            <w:pPr>
              <w:pStyle w:val="null3"/>
              <w:ind w:firstLine="480"/>
              <w:jc w:val="both"/>
            </w:pPr>
            <w:r>
              <w:rPr>
                <w:rFonts w:ascii="仿宋_GB2312" w:hAnsi="仿宋_GB2312" w:cs="仿宋_GB2312" w:eastAsia="仿宋_GB2312"/>
              </w:rPr>
              <w:t>3、工期：</w:t>
            </w:r>
            <w:r>
              <w:rPr>
                <w:rFonts w:ascii="仿宋_GB2312" w:hAnsi="仿宋_GB2312" w:cs="仿宋_GB2312" w:eastAsia="仿宋_GB2312"/>
              </w:rPr>
              <w:t>自进场之日起50个日历日内竣工</w:t>
            </w:r>
          </w:p>
          <w:p>
            <w:pPr>
              <w:pStyle w:val="null3"/>
              <w:ind w:firstLine="480"/>
              <w:jc w:val="both"/>
            </w:pPr>
            <w:r>
              <w:rPr>
                <w:rFonts w:ascii="仿宋_GB2312" w:hAnsi="仿宋_GB2312" w:cs="仿宋_GB2312" w:eastAsia="仿宋_GB2312"/>
              </w:rPr>
              <w:t>4、工程质保期：12个月</w:t>
            </w:r>
          </w:p>
          <w:p>
            <w:pPr>
              <w:pStyle w:val="null3"/>
              <w:ind w:firstLine="480"/>
              <w:jc w:val="both"/>
            </w:pPr>
            <w:r>
              <w:rPr>
                <w:rFonts w:ascii="仿宋_GB2312" w:hAnsi="仿宋_GB2312" w:cs="仿宋_GB2312" w:eastAsia="仿宋_GB2312"/>
              </w:rPr>
              <w:t>5、质量要求：按国家有关验收规范标准，工程质量达到合格标准。</w:t>
            </w:r>
          </w:p>
          <w:p>
            <w:pPr>
              <w:pStyle w:val="null3"/>
              <w:jc w:val="both"/>
            </w:pPr>
            <w:r>
              <w:rPr>
                <w:rFonts w:ascii="仿宋_GB2312" w:hAnsi="仿宋_GB2312" w:cs="仿宋_GB2312" w:eastAsia="仿宋_GB2312"/>
                <w:b/>
              </w:rPr>
              <w:t>二</w:t>
            </w:r>
            <w:r>
              <w:rPr>
                <w:rFonts w:ascii="仿宋_GB2312" w:hAnsi="仿宋_GB2312" w:cs="仿宋_GB2312" w:eastAsia="仿宋_GB2312"/>
                <w:b/>
              </w:rPr>
              <w:t>、施工要求：</w:t>
            </w:r>
          </w:p>
          <w:p>
            <w:pPr>
              <w:pStyle w:val="null3"/>
              <w:ind w:firstLine="480"/>
              <w:jc w:val="both"/>
            </w:pPr>
            <w:r>
              <w:rPr>
                <w:rFonts w:ascii="仿宋_GB2312" w:hAnsi="仿宋_GB2312" w:cs="仿宋_GB2312" w:eastAsia="仿宋_GB2312"/>
              </w:rPr>
              <w:t>1、在施工期间应严格遵守国家、省、市有关防火、爆破和施工安全以及文明施工、深夜施工、环卫和城管等规定，建立规章制度和防护措施,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w:t>
            </w:r>
          </w:p>
          <w:p>
            <w:pPr>
              <w:pStyle w:val="null3"/>
              <w:ind w:firstLine="480"/>
              <w:jc w:val="both"/>
            </w:pPr>
            <w:r>
              <w:rPr>
                <w:rFonts w:ascii="仿宋_GB2312" w:hAnsi="仿宋_GB2312" w:cs="仿宋_GB2312" w:eastAsia="仿宋_GB2312"/>
              </w:rPr>
              <w:t>2、供应商应配合项目建设进度,向采购人提供施工组织计划、进度计划和施工作业计划，并签订施工安全责任书。</w:t>
            </w:r>
          </w:p>
          <w:p>
            <w:pPr>
              <w:pStyle w:val="null3"/>
              <w:ind w:firstLine="480"/>
              <w:jc w:val="both"/>
            </w:pPr>
            <w:r>
              <w:rPr>
                <w:rFonts w:ascii="仿宋_GB2312" w:hAnsi="仿宋_GB2312" w:cs="仿宋_GB2312" w:eastAsia="仿宋_GB2312"/>
              </w:rPr>
              <w:t>3、在施工期间，供应商必须注意施工现场人员安全，加强安全措施，并对施工人员进行安全教育，施工人员必须持证上岗。</w:t>
            </w:r>
          </w:p>
          <w:p>
            <w:pPr>
              <w:pStyle w:val="null3"/>
              <w:ind w:firstLine="480"/>
              <w:jc w:val="both"/>
            </w:pPr>
            <w:r>
              <w:rPr>
                <w:rFonts w:ascii="仿宋_GB2312" w:hAnsi="仿宋_GB2312" w:cs="仿宋_GB2312" w:eastAsia="仿宋_GB2312"/>
              </w:rPr>
              <w:t>4、供应商根据工程实际情况编制施工方案，制定工期进度安排表。</w:t>
            </w:r>
          </w:p>
          <w:p>
            <w:pPr>
              <w:pStyle w:val="null3"/>
              <w:ind w:firstLine="480"/>
              <w:jc w:val="both"/>
            </w:pPr>
            <w:r>
              <w:rPr>
                <w:rFonts w:ascii="仿宋_GB2312" w:hAnsi="仿宋_GB2312" w:cs="仿宋_GB2312" w:eastAsia="仿宋_GB2312"/>
              </w:rPr>
              <w:t>5、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ind w:firstLine="480"/>
              <w:jc w:val="both"/>
            </w:pPr>
            <w:r>
              <w:rPr>
                <w:rFonts w:ascii="仿宋_GB2312" w:hAnsi="仿宋_GB2312" w:cs="仿宋_GB2312" w:eastAsia="仿宋_GB2312"/>
              </w:rPr>
              <w:t>6、施工过程中，严格遵守建设单位的各种管理规定及规章制度，做到文明施工。发生工伤及意外事故由施工单位负责。</w:t>
            </w:r>
          </w:p>
          <w:p>
            <w:pPr>
              <w:pStyle w:val="null3"/>
              <w:ind w:firstLine="480"/>
              <w:jc w:val="both"/>
            </w:pPr>
            <w:r>
              <w:rPr>
                <w:rFonts w:ascii="仿宋_GB2312" w:hAnsi="仿宋_GB2312" w:cs="仿宋_GB2312" w:eastAsia="仿宋_GB2312"/>
              </w:rPr>
              <w:t>7、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ind w:firstLine="480"/>
              <w:jc w:val="both"/>
            </w:pPr>
            <w:r>
              <w:rPr>
                <w:rFonts w:ascii="仿宋_GB2312" w:hAnsi="仿宋_GB2312" w:cs="仿宋_GB2312" w:eastAsia="仿宋_GB2312"/>
              </w:rPr>
              <w:t>8、供应商必须向采购人及时提供合格证及材料检验单。在征得有关方面认可后，方可进行施工，并做好相应的检验环节。</w:t>
            </w:r>
          </w:p>
          <w:p>
            <w:pPr>
              <w:pStyle w:val="null3"/>
              <w:ind w:firstLine="480"/>
              <w:jc w:val="both"/>
            </w:pPr>
            <w:r>
              <w:rPr>
                <w:rFonts w:ascii="仿宋_GB2312" w:hAnsi="仿宋_GB2312" w:cs="仿宋_GB2312" w:eastAsia="仿宋_GB2312"/>
              </w:rPr>
              <w:t>9、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both"/>
            </w:pPr>
            <w:r>
              <w:rPr>
                <w:rFonts w:ascii="仿宋_GB2312" w:hAnsi="仿宋_GB2312" w:cs="仿宋_GB2312" w:eastAsia="仿宋_GB2312"/>
                <w:b/>
              </w:rPr>
              <w:t>三、工程量清单见附件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符合国家相关工程管理规定及行业标准。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满足国家现行有关设计规范、规程和地方法规、标准。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①本项目磋商一次，磋商后供应商根据磋商内容在规定时间通过交易系统递交磋商响应函，逾期未递交的视为自动放弃竞争。②本项目采用两轮报价，响应文件中的报价为首次报价，磋商后的报价为最终报价。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具备建设行政主管部门颁发的建筑工程施工总承包三级及以上（含三级）资质，并具有有效的安全生产许可证；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拟派项目经理具有建筑工程专业二级及以上注册建造师证书及有效的安全生产考核合格证（B证），且无在建项目（提供无在建承诺）；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供应商及项目经理的基本信息在“陕西省住房和城乡建设厅(http://js.shaanxi.gov.cn/)”或“全国建筑市场监管公共服务平台(https://jzsc.mohurd.gov.cn/)”可查询；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供应商名称应与营业执照、资质证书、安全生产许可证及获取磋商文件时相一致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磋商响应文件的计量单位、报价货币及签字盖章</w:t>
            </w:r>
          </w:p>
        </w:tc>
        <w:tc>
          <w:tcPr>
            <w:tcW w:type="dxa" w:w="3322"/>
          </w:tcPr>
          <w:p>
            <w:pPr>
              <w:pStyle w:val="null3"/>
            </w:pPr>
            <w:r>
              <w:rPr>
                <w:rFonts w:ascii="仿宋_GB2312" w:hAnsi="仿宋_GB2312" w:cs="仿宋_GB2312" w:eastAsia="仿宋_GB2312"/>
              </w:rPr>
              <w:t>磋商响应文件的计量单位、报价货币及签字盖章符合磋商文件的要求</w:t>
            </w:r>
          </w:p>
        </w:tc>
        <w:tc>
          <w:tcPr>
            <w:tcW w:type="dxa" w:w="1661"/>
          </w:tcPr>
          <w:p>
            <w:pPr>
              <w:pStyle w:val="null3"/>
            </w:pPr>
            <w:r>
              <w:rPr>
                <w:rFonts w:ascii="仿宋_GB2312" w:hAnsi="仿宋_GB2312" w:cs="仿宋_GB2312" w:eastAsia="仿宋_GB2312"/>
              </w:rPr>
              <w:t>响应文件封面 响应函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符合磋商文件中采购需求的规定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已标价工程量清单 技术服务合同条款及其他商务要求应答表 响应函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①组织措施详细，合理性、针对性强的得6分； ②组织措施有一定的可行性，基本满足项目需求，稍有欠缺的得4分； ③组织措施的合理性、针对性差，简单粗略得2分；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①组织措施详细，合理性、针对性强的得6分； ②组织措施有一定的可行性，基本满足项目需求，稍有欠缺的得4分； ③组织措施的合理性、针对性差，简单粗略得2分；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①组织措施详细，合理性、针对性强的得6分； ②组织措施有一定的可行性，基本满足项目需求，稍有欠缺的得4分； ③组织措施的合理性、针对性差，简单粗略得2分；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①组织措施详细，合理性、针对性强的得6分； ②组织措施有一定的可行性，基本满足项目需求，稍有欠缺的得4分； ③组织措施的合理性、针对性差，简单粗略得2分；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①方案内容全面完整，清晰合理，可行性及针对性强，计8分； ②方案内容完整，具备一定合理性及可行性，计6分； ③方案内容不够全面，合理性及可行性一般计4分； ④方案不合理，内容有欠缺且影响项目实施计2 分； ⑤未提供不计分。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①施工机械及材料投入充足、完善、合理，计6分； ②施工机械及材料投入基本完善、能满足项目需求，计4分； ③机械设备投入不足，计2分；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①网络图或进度表内容详尽、安排合理且实施性强，计5分； ②网络图或进度表内容缺失，关键节点不明确，计2分； ③未提供本项不计分。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①计划安排科学合理，措施完善，计6分； ②计划安排较为合理，措施一般，计4分； ③计划安排仅有粗略框架无关键节点，计2分；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①人员配备数量充足、分工明确、安排合理，计6分； ②人员分工安排相对合理，责任制度基本明确，计4分； ③人员分工安排欠缺，责任制度稍简单粗略得2分；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以合同复印件形式提供供应商2023年6月1日至今类似业绩，每份计2分，计满6分为止。 注：供应商需提供采购合同（含施工内容页、签字盖章页）复印件，否则业绩不予认可。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承诺及建议</w:t>
            </w:r>
          </w:p>
        </w:tc>
        <w:tc>
          <w:tcPr>
            <w:tcW w:type="dxa" w:w="2492"/>
          </w:tcPr>
          <w:p>
            <w:pPr>
              <w:pStyle w:val="null3"/>
            </w:pPr>
            <w:r>
              <w:rPr>
                <w:rFonts w:ascii="仿宋_GB2312" w:hAnsi="仿宋_GB2312" w:cs="仿宋_GB2312" w:eastAsia="仿宋_GB2312"/>
              </w:rPr>
              <w:t>完全承诺磋商文件和合同条款，并针对本项目实际需求提供实质性承诺或合理化建议。 ①服务承诺详细全面、措施及建议合理可行，计9分； ②服务承诺详细全面，无合理化建议，计6分； ③服务承诺仅有框架无具体措施，计3分； ④未提供的不计分。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