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609B24">
      <w:pPr>
        <w:spacing w:line="360" w:lineRule="auto"/>
        <w:ind w:firstLine="482" w:firstLineChars="200"/>
        <w:jc w:val="lef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本格式条款仅作为双方签订合同的参考，为阐明各方的权利和义务，经协商可增加新的条款。合同的标的、价款、付款方式、质量、履行期限等主要条款应当与招标文件和成交供应商的竞投标文件的内容一致，采购人和成交供应商不得再行订立背离合同实质性内容的其他协议。</w:t>
      </w:r>
    </w:p>
    <w:p w14:paraId="712C5F29">
      <w:pPr>
        <w:spacing w:line="360" w:lineRule="auto"/>
        <w:ind w:firstLine="482"/>
        <w:rPr>
          <w:rFonts w:hint="eastAsia" w:ascii="宋体" w:hAnsi="宋体" w:eastAsia="宋体" w:cs="宋体"/>
          <w:color w:val="000000" w:themeColor="text1"/>
          <w:sz w:val="24"/>
          <w:szCs w:val="24"/>
          <w14:textFill>
            <w14:solidFill>
              <w14:schemeClr w14:val="tx1"/>
            </w14:solidFill>
          </w14:textFill>
        </w:rPr>
      </w:pPr>
    </w:p>
    <w:p w14:paraId="4E4B92BE">
      <w:pPr>
        <w:spacing w:line="360" w:lineRule="auto"/>
        <w:ind w:firstLine="482"/>
        <w:rPr>
          <w:rFonts w:hint="eastAsia" w:ascii="宋体" w:hAnsi="宋体" w:eastAsia="宋体" w:cs="宋体"/>
          <w:color w:val="000000" w:themeColor="text1"/>
          <w:sz w:val="24"/>
          <w:szCs w:val="24"/>
          <w14:textFill>
            <w14:solidFill>
              <w14:schemeClr w14:val="tx1"/>
            </w14:solidFill>
          </w14:textFill>
        </w:rPr>
      </w:pPr>
    </w:p>
    <w:p w14:paraId="282B7F22">
      <w:pPr>
        <w:spacing w:line="360" w:lineRule="auto"/>
        <w:ind w:firstLine="482"/>
        <w:rPr>
          <w:rFonts w:hint="eastAsia" w:ascii="宋体" w:hAnsi="宋体" w:eastAsia="宋体" w:cs="宋体"/>
          <w:color w:val="000000" w:themeColor="text1"/>
          <w:sz w:val="24"/>
          <w:szCs w:val="24"/>
          <w14:textFill>
            <w14:solidFill>
              <w14:schemeClr w14:val="tx1"/>
            </w14:solidFill>
          </w14:textFill>
        </w:rPr>
      </w:pPr>
    </w:p>
    <w:p w14:paraId="2B11D5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（此合同模板仅供参考，具体以招标人提供为准）</w:t>
      </w:r>
    </w:p>
    <w:p w14:paraId="18B5C1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554B4C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3BC3B8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4EF84E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1939609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530C308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7422317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6E4B90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27E5D5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6D6C15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4A01F6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6A80F0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7E3330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val="0"/>
          <w:color w:val="000000"/>
          <w:kern w:val="0"/>
          <w:sz w:val="28"/>
          <w:szCs w:val="28"/>
          <w:lang w:val="en-US" w:eastAsia="zh-CN" w:bidi="ar"/>
        </w:rPr>
      </w:pPr>
    </w:p>
    <w:p w14:paraId="4AFE4F3B">
      <w:pPr>
        <w:pStyle w:val="2"/>
        <w:rPr>
          <w:rFonts w:hint="eastAsia" w:ascii="宋体" w:hAnsi="宋体" w:eastAsia="宋体" w:cs="宋体"/>
          <w:b w:val="0"/>
          <w:bCs w:val="0"/>
          <w:color w:val="000000"/>
          <w:kern w:val="0"/>
          <w:sz w:val="28"/>
          <w:szCs w:val="28"/>
          <w:lang w:val="en-US" w:eastAsia="zh-CN" w:bidi="ar"/>
        </w:rPr>
      </w:pPr>
    </w:p>
    <w:p w14:paraId="3DF32893">
      <w:pPr>
        <w:rPr>
          <w:rFonts w:hint="eastAsia"/>
          <w:lang w:val="en-US" w:eastAsia="zh-CN"/>
        </w:rPr>
      </w:pPr>
    </w:p>
    <w:p w14:paraId="41F8C200">
      <w:pPr>
        <w:bidi w:val="0"/>
        <w:jc w:val="center"/>
        <w:rPr>
          <w:b/>
          <w:bCs/>
          <w:sz w:val="32"/>
          <w:szCs w:val="36"/>
        </w:rPr>
      </w:pPr>
      <w:bookmarkStart w:id="0" w:name="第五章__投标文件构成及格式"/>
      <w:bookmarkEnd w:id="0"/>
      <w:r>
        <w:rPr>
          <w:rFonts w:hint="eastAsia"/>
          <w:b/>
          <w:bCs/>
          <w:sz w:val="32"/>
          <w:szCs w:val="36"/>
          <w:lang w:val="en-US" w:eastAsia="zh-CN"/>
        </w:rPr>
        <w:t>桥梁在线监测、市管桥梁结构检测</w:t>
      </w:r>
      <w:r>
        <w:rPr>
          <w:rFonts w:hint="eastAsia"/>
          <w:b/>
          <w:bCs/>
          <w:sz w:val="32"/>
          <w:szCs w:val="36"/>
        </w:rPr>
        <w:t>拟签订合同主要条款</w:t>
      </w:r>
    </w:p>
    <w:p w14:paraId="6F4055A2">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（本格式条款仅作为双方签订合同的参考，为阐明各方的权利和义务，经协商可增加新的条款。 但不得与</w:t>
      </w:r>
      <w:r>
        <w:rPr>
          <w:rFonts w:hint="eastAsia" w:asciiTheme="minorEastAsia" w:hAnsiTheme="minorEastAsia" w:cstheme="minorEastAsia"/>
          <w:color w:val="auto"/>
          <w:sz w:val="24"/>
          <w:szCs w:val="24"/>
          <w:lang w:val="en-US" w:eastAsia="zh-CN"/>
        </w:rPr>
        <w:t>采购</w:t>
      </w:r>
      <w:r>
        <w:rPr>
          <w:rFonts w:hint="eastAsia" w:asciiTheme="minorEastAsia" w:hAnsiTheme="minorEastAsia" w:eastAsiaTheme="minorEastAsia" w:cstheme="minorEastAsia"/>
          <w:color w:val="auto"/>
          <w:sz w:val="24"/>
          <w:szCs w:val="24"/>
        </w:rPr>
        <w:t>文件、</w:t>
      </w:r>
      <w:r>
        <w:rPr>
          <w:rFonts w:hint="eastAsia" w:asciiTheme="minorEastAsia" w:hAnsiTheme="minorEastAsia" w:cstheme="minorEastAsia"/>
          <w:color w:val="auto"/>
          <w:sz w:val="24"/>
          <w:szCs w:val="24"/>
          <w:lang w:val="en-US" w:eastAsia="zh-CN"/>
        </w:rPr>
        <w:t>投标</w:t>
      </w:r>
      <w:r>
        <w:rPr>
          <w:rFonts w:hint="eastAsia" w:asciiTheme="minorEastAsia" w:hAnsiTheme="minorEastAsia" w:eastAsiaTheme="minorEastAsia" w:cstheme="minorEastAsia"/>
          <w:color w:val="auto"/>
          <w:sz w:val="24"/>
          <w:szCs w:val="24"/>
        </w:rPr>
        <w:t>文件的实质性内容相背离）</w:t>
      </w:r>
    </w:p>
    <w:p w14:paraId="04EE3BBD">
      <w:pPr>
        <w:spacing w:line="360" w:lineRule="auto"/>
        <w:ind w:firstLine="480" w:firstLineChars="200"/>
        <w:rPr>
          <w:rFonts w:hint="eastAsia" w:asciiTheme="minorEastAsia" w:hAnsiTheme="minorEastAsia" w:eastAsiaTheme="minorEastAsia" w:cstheme="minorEastAsia"/>
          <w:color w:val="auto"/>
          <w:sz w:val="24"/>
          <w:szCs w:val="24"/>
        </w:rPr>
      </w:pPr>
    </w:p>
    <w:p w14:paraId="5B299172">
      <w:pPr>
        <w:spacing w:line="360" w:lineRule="auto"/>
        <w:ind w:firstLine="480" w:firstLineChars="200"/>
        <w:rPr>
          <w:rFonts w:hint="eastAsia" w:asciiTheme="minorEastAsia" w:hAnsiTheme="minorEastAsia" w:eastAsiaTheme="minorEastAsia" w:cstheme="minorEastAsia"/>
          <w:color w:val="auto"/>
          <w:sz w:val="24"/>
          <w:szCs w:val="24"/>
          <w:u w:val="single"/>
          <w:lang w:eastAsia="zh-CN"/>
        </w:rPr>
      </w:pPr>
      <w:r>
        <w:rPr>
          <w:rFonts w:hint="eastAsia" w:asciiTheme="minorEastAsia" w:hAnsiTheme="minorEastAsia" w:eastAsiaTheme="minorEastAsia" w:cstheme="minorEastAsia"/>
          <w:color w:val="auto"/>
          <w:sz w:val="24"/>
          <w:szCs w:val="24"/>
        </w:rPr>
        <w:t>甲方：</w:t>
      </w:r>
      <w:r>
        <w:rPr>
          <w:rFonts w:hint="eastAsia" w:asciiTheme="minorEastAsia" w:hAnsiTheme="minorEastAsia" w:cstheme="minorEastAsia"/>
          <w:color w:val="auto"/>
          <w:sz w:val="24"/>
          <w:szCs w:val="24"/>
          <w:u w:val="single"/>
          <w:lang w:eastAsia="zh-CN"/>
        </w:rPr>
        <w:t>西安市市政设施管理中心</w:t>
      </w:r>
    </w:p>
    <w:p w14:paraId="24F004B7">
      <w:pPr>
        <w:spacing w:line="360" w:lineRule="auto"/>
        <w:ind w:firstLine="480" w:firstLineChars="20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rPr>
        <w:t>乙方：</w:t>
      </w:r>
      <w:r>
        <w:rPr>
          <w:rFonts w:hint="eastAsia" w:asciiTheme="minorEastAsia" w:hAnsiTheme="minorEastAsia" w:eastAsiaTheme="minorEastAsia" w:cstheme="minorEastAsia"/>
          <w:color w:val="auto"/>
          <w:sz w:val="24"/>
          <w:szCs w:val="24"/>
          <w:u w:val="single"/>
        </w:rPr>
        <w:t xml:space="preserve">                           </w:t>
      </w:r>
    </w:p>
    <w:p w14:paraId="12F9BA0F">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根据《中华人民共和国政府采购法》及实施条例、《中华人民共和国</w:t>
      </w:r>
      <w:r>
        <w:rPr>
          <w:rFonts w:hint="eastAsia" w:asciiTheme="minorEastAsia" w:hAnsiTheme="minorEastAsia" w:eastAsiaTheme="minorEastAsia" w:cstheme="minorEastAsia"/>
          <w:color w:val="auto"/>
          <w:sz w:val="24"/>
          <w:szCs w:val="24"/>
          <w:lang w:eastAsia="zh-CN"/>
        </w:rPr>
        <w:t>民法典</w:t>
      </w:r>
      <w:r>
        <w:rPr>
          <w:rFonts w:hint="eastAsia" w:asciiTheme="minorEastAsia" w:hAnsiTheme="minorEastAsia" w:eastAsiaTheme="minorEastAsia" w:cstheme="minorEastAsia"/>
          <w:color w:val="auto"/>
          <w:sz w:val="24"/>
          <w:szCs w:val="24"/>
        </w:rPr>
        <w:t>》和</w:t>
      </w:r>
      <w:r>
        <w:rPr>
          <w:rFonts w:hint="eastAsia" w:asciiTheme="minorEastAsia" w:hAnsiTheme="minorEastAsia" w:cstheme="minorEastAsia"/>
          <w:color w:val="auto"/>
          <w:sz w:val="24"/>
          <w:szCs w:val="24"/>
          <w:lang w:val="en-US" w:eastAsia="zh-CN"/>
        </w:rPr>
        <w:t>采购</w:t>
      </w:r>
      <w:r>
        <w:rPr>
          <w:rFonts w:hint="eastAsia" w:asciiTheme="minorEastAsia" w:hAnsiTheme="minorEastAsia" w:eastAsiaTheme="minorEastAsia" w:cstheme="minorEastAsia"/>
          <w:color w:val="auto"/>
          <w:sz w:val="24"/>
          <w:szCs w:val="24"/>
        </w:rPr>
        <w:t>件、</w:t>
      </w:r>
      <w:r>
        <w:rPr>
          <w:rFonts w:hint="eastAsia" w:asciiTheme="minorEastAsia" w:hAnsiTheme="minorEastAsia" w:cstheme="minorEastAsia"/>
          <w:color w:val="auto"/>
          <w:sz w:val="24"/>
          <w:szCs w:val="24"/>
          <w:lang w:val="en-US" w:eastAsia="zh-CN"/>
        </w:rPr>
        <w:t>投标</w:t>
      </w:r>
      <w:r>
        <w:rPr>
          <w:rFonts w:hint="eastAsia" w:asciiTheme="minorEastAsia" w:hAnsiTheme="minorEastAsia" w:eastAsiaTheme="minorEastAsia" w:cstheme="minorEastAsia"/>
          <w:color w:val="auto"/>
          <w:sz w:val="24"/>
          <w:szCs w:val="24"/>
        </w:rPr>
        <w:t>文件等有关规定，为确保甲方采购项目的顺利实施，甲、乙双方在平等自愿原则下签订本合同，并共同遵守如下条款：</w:t>
      </w:r>
    </w:p>
    <w:p w14:paraId="61FA395E">
      <w:pPr>
        <w:spacing w:line="360" w:lineRule="auto"/>
        <w:ind w:firstLine="480" w:firstLineChars="200"/>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color w:val="auto"/>
          <w:sz w:val="24"/>
          <w:szCs w:val="24"/>
        </w:rPr>
        <w:t>一、</w:t>
      </w:r>
      <w:r>
        <w:rPr>
          <w:rFonts w:hint="eastAsia" w:asciiTheme="minorEastAsia" w:hAnsiTheme="minorEastAsia" w:eastAsiaTheme="minorEastAsia" w:cstheme="minorEastAsia"/>
          <w:b/>
          <w:bCs/>
          <w:color w:val="auto"/>
          <w:sz w:val="24"/>
          <w:szCs w:val="24"/>
        </w:rPr>
        <w:t>合同内容：</w:t>
      </w:r>
    </w:p>
    <w:p w14:paraId="60BC191E">
      <w:pPr>
        <w:pStyle w:val="6"/>
        <w:numPr>
          <w:ilvl w:val="0"/>
          <w:numId w:val="0"/>
        </w:numPr>
        <w:spacing w:line="360" w:lineRule="auto"/>
        <w:ind w:left="420" w:leftChars="0"/>
        <w:rPr>
          <w:rFonts w:hint="eastAsia" w:asciiTheme="minorEastAsia" w:hAnsiTheme="minorEastAsia" w:cstheme="minorEastAsia"/>
          <w:color w:val="auto"/>
          <w:kern w:val="0"/>
          <w:sz w:val="24"/>
          <w:szCs w:val="24"/>
          <w:highlight w:val="none"/>
          <w:u w:val="single"/>
          <w:lang w:val="en-US" w:eastAsia="zh-CN"/>
        </w:rPr>
      </w:pPr>
      <w:r>
        <w:rPr>
          <w:rFonts w:hint="eastAsia" w:asciiTheme="minorEastAsia" w:hAnsiTheme="minorEastAsia" w:eastAsiaTheme="minorEastAsia" w:cstheme="minorEastAsia"/>
          <w:color w:val="auto"/>
          <w:kern w:val="2"/>
          <w:sz w:val="24"/>
          <w:szCs w:val="24"/>
          <w:lang w:val="en-US" w:eastAsia="zh-CN" w:bidi="ar-SA"/>
        </w:rPr>
        <w:t>1</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sz w:val="24"/>
          <w:szCs w:val="24"/>
        </w:rPr>
        <w:t>采购项目名称：</w:t>
      </w:r>
      <w:r>
        <w:rPr>
          <w:rFonts w:hint="eastAsia" w:asciiTheme="minorEastAsia" w:hAnsiTheme="minorEastAsia" w:cstheme="minorEastAsia"/>
          <w:color w:val="auto"/>
          <w:kern w:val="0"/>
          <w:sz w:val="24"/>
          <w:szCs w:val="24"/>
          <w:highlight w:val="none"/>
          <w:u w:val="single"/>
          <w:lang w:val="en-US" w:eastAsia="zh-CN"/>
        </w:rPr>
        <w:t>桥梁在线监测、市管桥梁结构检测</w:t>
      </w:r>
    </w:p>
    <w:p w14:paraId="42097A5F">
      <w:pPr>
        <w:pStyle w:val="6"/>
        <w:numPr>
          <w:ilvl w:val="0"/>
          <w:numId w:val="0"/>
        </w:numPr>
        <w:spacing w:line="360" w:lineRule="auto"/>
        <w:ind w:left="420" w:leftChars="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kern w:val="2"/>
          <w:sz w:val="24"/>
          <w:szCs w:val="24"/>
          <w:lang w:val="en-US" w:eastAsia="zh-CN" w:bidi="ar-SA"/>
        </w:rPr>
        <w:t>2</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sz w:val="24"/>
          <w:szCs w:val="24"/>
        </w:rPr>
        <w:t>项目资金：</w:t>
      </w:r>
      <w:r>
        <w:rPr>
          <w:rFonts w:hint="eastAsia" w:asciiTheme="minorEastAsia" w:hAnsiTheme="minorEastAsia" w:eastAsiaTheme="minorEastAsia" w:cstheme="minorEastAsia"/>
          <w:color w:val="auto"/>
          <w:sz w:val="24"/>
          <w:szCs w:val="24"/>
          <w:u w:val="single"/>
        </w:rPr>
        <w:t>财政资金</w:t>
      </w:r>
    </w:p>
    <w:p w14:paraId="02CB4A7E">
      <w:pPr>
        <w:pStyle w:val="6"/>
        <w:numPr>
          <w:ilvl w:val="0"/>
          <w:numId w:val="0"/>
        </w:numPr>
        <w:spacing w:line="360" w:lineRule="auto"/>
        <w:ind w:left="420" w:leftChars="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kern w:val="2"/>
          <w:sz w:val="24"/>
          <w:szCs w:val="24"/>
          <w:lang w:val="en-US" w:eastAsia="zh-CN" w:bidi="ar-SA"/>
        </w:rPr>
        <w:t>3</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cstheme="minorEastAsia"/>
          <w:sz w:val="24"/>
          <w:szCs w:val="24"/>
          <w:highlight w:val="none"/>
          <w:lang w:val="en-US" w:eastAsia="zh-CN"/>
        </w:rPr>
        <w:t>合同金额</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cstheme="minorEastAsia"/>
          <w:sz w:val="24"/>
          <w:szCs w:val="24"/>
          <w:highlight w:val="none"/>
          <w:u w:val="single"/>
          <w:lang w:val="en-US" w:eastAsia="zh-CN"/>
        </w:rPr>
        <w:t>226.6</w:t>
      </w:r>
      <w:r>
        <w:rPr>
          <w:rFonts w:hint="eastAsia" w:asciiTheme="minorEastAsia" w:hAnsiTheme="minorEastAsia" w:eastAsiaTheme="minorEastAsia" w:cstheme="minorEastAsia"/>
          <w:sz w:val="24"/>
          <w:szCs w:val="24"/>
          <w:highlight w:val="none"/>
          <w:u w:val="single"/>
          <w:lang w:val="en-US" w:eastAsia="zh-CN"/>
        </w:rPr>
        <w:t xml:space="preserve"> </w:t>
      </w:r>
      <w:r>
        <w:rPr>
          <w:rFonts w:hint="eastAsia" w:asciiTheme="minorEastAsia" w:hAnsiTheme="minorEastAsia" w:eastAsiaTheme="minorEastAsia" w:cstheme="minorEastAsia"/>
          <w:sz w:val="24"/>
          <w:szCs w:val="24"/>
          <w:highlight w:val="none"/>
        </w:rPr>
        <w:t>万元</w:t>
      </w:r>
      <w:r>
        <w:rPr>
          <w:rFonts w:hint="eastAsia" w:asciiTheme="minorEastAsia" w:hAnsiTheme="minorEastAsia" w:eastAsiaTheme="minorEastAsia" w:cstheme="minorEastAsia"/>
          <w:color w:val="auto"/>
          <w:sz w:val="24"/>
          <w:szCs w:val="24"/>
        </w:rPr>
        <w:t>。</w:t>
      </w:r>
    </w:p>
    <w:p w14:paraId="336D2F75">
      <w:pPr>
        <w:pStyle w:val="6"/>
        <w:numPr>
          <w:ilvl w:val="0"/>
          <w:numId w:val="0"/>
        </w:numPr>
        <w:spacing w:line="360" w:lineRule="auto"/>
        <w:ind w:left="420" w:leftChars="0"/>
        <w:rPr>
          <w:rFonts w:hint="eastAsia" w:asciiTheme="minorEastAsia" w:hAnsiTheme="minorEastAsia" w:cstheme="minorEastAsia"/>
          <w:color w:val="auto"/>
          <w:kern w:val="0"/>
          <w:sz w:val="24"/>
          <w:szCs w:val="24"/>
          <w:highlight w:val="none"/>
          <w:u w:val="single"/>
          <w:lang w:val="en-US" w:eastAsia="zh-CN"/>
        </w:rPr>
      </w:pPr>
      <w:r>
        <w:rPr>
          <w:rFonts w:hint="eastAsia" w:asciiTheme="minorEastAsia" w:hAnsiTheme="minorEastAsia" w:eastAsiaTheme="minorEastAsia" w:cstheme="minorEastAsia"/>
          <w:color w:val="auto"/>
          <w:kern w:val="2"/>
          <w:sz w:val="24"/>
          <w:szCs w:val="24"/>
          <w:lang w:val="en-US" w:eastAsia="zh-CN" w:bidi="ar-SA"/>
        </w:rPr>
        <w:t>4</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0"/>
          <w:sz w:val="24"/>
          <w:szCs w:val="24"/>
        </w:rPr>
        <w:t>采购内容及范围：</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eastAsiaTheme="minorEastAsia" w:cstheme="minorEastAsia"/>
          <w:color w:val="auto"/>
          <w:kern w:val="0"/>
          <w:sz w:val="24"/>
          <w:szCs w:val="24"/>
          <w:lang w:val="en-US" w:eastAsia="zh-CN"/>
        </w:rPr>
        <w:t>1</w:t>
      </w:r>
      <w:r>
        <w:rPr>
          <w:rFonts w:hint="eastAsia" w:asciiTheme="minorEastAsia" w:hAnsiTheme="minorEastAsia" w:eastAsiaTheme="minorEastAsia" w:cstheme="minorEastAsia"/>
          <w:color w:val="auto"/>
          <w:kern w:val="0"/>
          <w:sz w:val="24"/>
          <w:szCs w:val="24"/>
          <w:lang w:eastAsia="zh-CN"/>
        </w:rPr>
        <w:t>）</w:t>
      </w:r>
      <w:r>
        <w:rPr>
          <w:rFonts w:hint="eastAsia" w:asciiTheme="minorEastAsia" w:hAnsiTheme="minorEastAsia" w:cstheme="minorEastAsia"/>
          <w:color w:val="auto"/>
          <w:kern w:val="0"/>
          <w:sz w:val="24"/>
          <w:szCs w:val="24"/>
          <w:highlight w:val="none"/>
          <w:u w:val="single"/>
          <w:lang w:val="en-US" w:eastAsia="zh-CN"/>
        </w:rPr>
        <w:t>市管桥梁结构检测服务范围：本项目检测包括22座桥梁隧道的结构定期检测评估，特殊检测，抗震检测评估，广运大桥服务期内监测。开展桥梁安全隐患排查及应急检测和技术服务等。编制桥梁检测报告。</w:t>
      </w:r>
    </w:p>
    <w:p w14:paraId="7BBD47C2">
      <w:pPr>
        <w:pStyle w:val="6"/>
        <w:numPr>
          <w:ilvl w:val="0"/>
          <w:numId w:val="0"/>
        </w:numPr>
        <w:spacing w:line="360" w:lineRule="auto"/>
        <w:ind w:left="420" w:leftChars="0"/>
        <w:rPr>
          <w:rFonts w:hint="eastAsia" w:asciiTheme="minorEastAsia" w:hAnsiTheme="minorEastAsia" w:cstheme="minorEastAsia"/>
          <w:color w:val="auto"/>
          <w:kern w:val="0"/>
          <w:sz w:val="24"/>
          <w:szCs w:val="24"/>
          <w:highlight w:val="none"/>
          <w:u w:val="single"/>
          <w:lang w:val="en-US" w:eastAsia="zh-CN"/>
        </w:rPr>
      </w:pPr>
      <w:r>
        <w:rPr>
          <w:rFonts w:hint="eastAsia" w:asciiTheme="minorEastAsia" w:hAnsiTheme="minorEastAsia" w:cstheme="minorEastAsia"/>
          <w:color w:val="auto"/>
          <w:kern w:val="0"/>
          <w:sz w:val="24"/>
          <w:szCs w:val="24"/>
          <w:highlight w:val="none"/>
          <w:u w:val="single"/>
          <w:lang w:val="en-US" w:eastAsia="zh-CN"/>
        </w:rPr>
        <w:t>（2）2026年桥梁在线监测服务范围：对秦汉大道灞河桥、南二环长安路立交、北三环六村堡桥、北二环朱宏路立交桥梁进行结构定期检测，通过专业检测发现桥梁病害和运行隐患，评价桥梁技术状况，并提出针对性的养护技术意见，编制桥梁检测报告。对秦汉大道灞河桥、南二环长安路立交、北三环六村堡桥、北二环朱宏路立交桥结构在线监测设备定期检查、保养；对出现的设备损坏和失效进行及时的维修和更换；协同系统软件和硬件设备的调试和运营；对监测数据的值守查看、分析、研判，定期编制监测报告；监测数据及设备异常的应急检查和处置，确保监测设备正常工作、监测数据有效、做到桥梁运行隐患“早发现、早预警、早处置”。</w:t>
      </w:r>
    </w:p>
    <w:p w14:paraId="573FE68D">
      <w:pPr>
        <w:pStyle w:val="6"/>
        <w:numPr>
          <w:ilvl w:val="0"/>
          <w:numId w:val="0"/>
        </w:numPr>
        <w:spacing w:line="360" w:lineRule="auto"/>
        <w:ind w:left="420" w:leftChars="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kern w:val="2"/>
          <w:sz w:val="24"/>
          <w:szCs w:val="24"/>
          <w:lang w:val="en-US" w:eastAsia="zh-CN" w:bidi="ar-SA"/>
        </w:rPr>
        <w:t>5</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sz w:val="24"/>
          <w:szCs w:val="24"/>
          <w:lang w:eastAsia="zh-CN"/>
        </w:rPr>
        <w:t>检测服务期要求：</w:t>
      </w:r>
      <w:r>
        <w:rPr>
          <w:rFonts w:hint="eastAsia" w:asciiTheme="minorEastAsia" w:hAnsiTheme="minorEastAsia" w:eastAsiaTheme="minorEastAsia" w:cstheme="minorEastAsia"/>
          <w:color w:val="auto"/>
          <w:sz w:val="24"/>
          <w:szCs w:val="24"/>
          <w:u w:val="single"/>
          <w:lang w:val="en-US" w:eastAsia="zh-CN"/>
        </w:rPr>
        <w:t>本项目的服务期为合同签订之日起一年内为全部服务期</w:t>
      </w:r>
      <w:r>
        <w:rPr>
          <w:rFonts w:hint="eastAsia" w:asciiTheme="minorEastAsia" w:hAnsiTheme="minorEastAsia" w:eastAsiaTheme="minorEastAsia" w:cstheme="minorEastAsia"/>
          <w:color w:val="auto"/>
          <w:sz w:val="24"/>
          <w:szCs w:val="24"/>
        </w:rPr>
        <w:t>。</w:t>
      </w:r>
    </w:p>
    <w:p w14:paraId="460FE239">
      <w:pPr>
        <w:pStyle w:val="6"/>
        <w:numPr>
          <w:ilvl w:val="0"/>
          <w:numId w:val="0"/>
        </w:numPr>
        <w:spacing w:line="360" w:lineRule="auto"/>
        <w:ind w:left="420" w:leftChars="0"/>
        <w:rPr>
          <w:rFonts w:hint="eastAsia" w:asciiTheme="minorEastAsia" w:hAnsiTheme="minorEastAsia" w:eastAsiaTheme="minorEastAsia" w:cstheme="minorEastAsia"/>
          <w:color w:val="auto"/>
          <w:sz w:val="24"/>
          <w:szCs w:val="24"/>
          <w:u w:val="single"/>
        </w:rPr>
      </w:pPr>
      <w:r>
        <w:rPr>
          <w:rFonts w:hint="eastAsia" w:asciiTheme="minorEastAsia" w:hAnsiTheme="minorEastAsia" w:eastAsiaTheme="minorEastAsia" w:cstheme="minorEastAsia"/>
          <w:color w:val="auto"/>
          <w:sz w:val="24"/>
          <w:szCs w:val="24"/>
          <w:u w:val="single"/>
        </w:rPr>
        <w:t>（1）</w:t>
      </w:r>
      <w:r>
        <w:rPr>
          <w:rFonts w:hint="eastAsia" w:asciiTheme="minorEastAsia" w:hAnsiTheme="minorEastAsia" w:cstheme="minorEastAsia"/>
          <w:color w:val="auto"/>
          <w:kern w:val="0"/>
          <w:sz w:val="24"/>
          <w:szCs w:val="24"/>
          <w:highlight w:val="none"/>
          <w:u w:val="single"/>
          <w:lang w:val="en-US" w:eastAsia="zh-CN"/>
        </w:rPr>
        <w:t>市管桥梁结构检测服务</w:t>
      </w:r>
      <w:r>
        <w:rPr>
          <w:rFonts w:hint="eastAsia" w:asciiTheme="minorEastAsia" w:hAnsiTheme="minorEastAsia" w:eastAsiaTheme="minorEastAsia" w:cstheme="minorEastAsia"/>
          <w:color w:val="auto"/>
          <w:sz w:val="24"/>
          <w:szCs w:val="24"/>
          <w:u w:val="single"/>
        </w:rPr>
        <w:t>：本次桥梁检测外业工作、数据分析等应在签订合同后60日历天内完成，结构检测报告在随后的30日历天内提交。监测报告按照频率提交，并编制年度监测总报。本项目的服务期为合同签订之日起一年内为全部服务期。服务期内除完成本次检测全部任务外，成交供应商应无条件及时提供相应的技术支持和技术服务。如采购方管理辖区内的桥梁有需要重点定期观察复测、突发桥梁事件、方案编制、技术汇报等各类技术工作时，应按甲方需求提供应急检测、评估、观察复测、技术报告等技术服务。</w:t>
      </w:r>
    </w:p>
    <w:p w14:paraId="23DB055F">
      <w:pPr>
        <w:pStyle w:val="6"/>
        <w:numPr>
          <w:ilvl w:val="0"/>
          <w:numId w:val="0"/>
        </w:numPr>
        <w:spacing w:line="360" w:lineRule="auto"/>
        <w:ind w:left="420" w:leftChars="0"/>
        <w:rPr>
          <w:rFonts w:hint="eastAsia" w:asciiTheme="minorEastAsia" w:hAnsiTheme="minorEastAsia" w:cstheme="minorEastAsia"/>
          <w:color w:val="auto"/>
          <w:sz w:val="24"/>
          <w:szCs w:val="24"/>
          <w:u w:val="single"/>
          <w:lang w:eastAsia="zh-CN"/>
        </w:rPr>
      </w:pPr>
      <w:r>
        <w:rPr>
          <w:rFonts w:hint="eastAsia" w:asciiTheme="minorEastAsia" w:hAnsiTheme="minorEastAsia" w:cstheme="minorEastAsia"/>
          <w:color w:val="auto"/>
          <w:sz w:val="24"/>
          <w:szCs w:val="24"/>
          <w:u w:val="single"/>
          <w:lang w:val="en-US" w:eastAsia="zh-CN"/>
        </w:rPr>
        <w:t>（2）在线监测</w:t>
      </w:r>
      <w:r>
        <w:rPr>
          <w:rFonts w:hint="eastAsia" w:asciiTheme="minorEastAsia" w:hAnsiTheme="minorEastAsia" w:cstheme="minorEastAsia"/>
          <w:color w:val="auto"/>
          <w:sz w:val="24"/>
          <w:szCs w:val="24"/>
          <w:u w:val="single"/>
          <w:lang w:eastAsia="zh-CN"/>
        </w:rPr>
        <w:t>服务期：合同签订后5天内开展检测、监测准备，及时开展检测、监测及运维工作。服务期内成交供应商应无条件及时提供相应的技术支持和服务。当监测平台产生预警信息、突发桥梁事件、桥梁有需要重点定期观察复测、方案编制、技术汇报等各类技术工作时，应按甲方要求的时间提供应急检查、检测、评估、观察复测、技术报告等技术服务。</w:t>
      </w:r>
    </w:p>
    <w:p w14:paraId="0500E2E3">
      <w:pPr>
        <w:pStyle w:val="6"/>
        <w:numPr>
          <w:ilvl w:val="0"/>
          <w:numId w:val="0"/>
        </w:numPr>
        <w:spacing w:line="360" w:lineRule="auto"/>
        <w:ind w:left="420" w:leftChars="0"/>
        <w:rPr>
          <w:rFonts w:hint="eastAsia" w:asciiTheme="minorEastAsia" w:hAnsiTheme="minorEastAsia" w:cstheme="minorEastAsia"/>
          <w:color w:val="auto"/>
          <w:sz w:val="24"/>
          <w:szCs w:val="24"/>
          <w:u w:val="single"/>
          <w:lang w:val="en-US" w:eastAsia="zh-CN"/>
        </w:rPr>
      </w:pPr>
      <w:r>
        <w:rPr>
          <w:rFonts w:hint="eastAsia" w:asciiTheme="minorEastAsia" w:hAnsiTheme="minorEastAsia" w:cstheme="minorEastAsia"/>
          <w:b w:val="0"/>
          <w:bCs w:val="0"/>
          <w:color w:val="auto"/>
          <w:sz w:val="24"/>
          <w:szCs w:val="24"/>
          <w:u w:val="none"/>
          <w:lang w:val="en-US" w:eastAsia="zh-CN"/>
        </w:rPr>
        <w:t>5.成果文件要求：</w:t>
      </w:r>
      <w:r>
        <w:rPr>
          <w:rFonts w:hint="eastAsia" w:asciiTheme="minorEastAsia" w:hAnsiTheme="minorEastAsia" w:cstheme="minorEastAsia"/>
          <w:color w:val="auto"/>
          <w:sz w:val="24"/>
          <w:szCs w:val="24"/>
          <w:u w:val="single"/>
          <w:lang w:val="en-US" w:eastAsia="zh-CN"/>
        </w:rPr>
        <w:t>市管桥梁结构检测成果：检测工作全部完成后应以书面文本及电子文本（书面文本3套，电子文本1套，电子文本使用U盘拷贝）形式提交。提交的内容分别有：①《桥梁结构定期检测评定报告》、《结构检算报告》、《桥梁抗震性能检测评定报告》、《广运大桥监测报告》等。②检测、监测全部原始影像资料（U盘拷贝）；③根据《城市桥梁养护技术标准》完成附录B城市桥梁资料卡的更新完善。</w:t>
      </w:r>
    </w:p>
    <w:p w14:paraId="300EA952">
      <w:pPr>
        <w:pStyle w:val="6"/>
        <w:numPr>
          <w:ilvl w:val="0"/>
          <w:numId w:val="0"/>
        </w:numPr>
        <w:spacing w:line="360" w:lineRule="auto"/>
        <w:ind w:left="420" w:leftChars="0" w:firstLine="480" w:firstLineChars="200"/>
        <w:rPr>
          <w:rFonts w:hint="eastAsia" w:asciiTheme="minorEastAsia" w:hAnsiTheme="minorEastAsia" w:cstheme="minorEastAsia"/>
          <w:color w:val="auto"/>
          <w:sz w:val="24"/>
          <w:szCs w:val="24"/>
          <w:u w:val="single"/>
          <w:lang w:val="en-US" w:eastAsia="zh-CN"/>
        </w:rPr>
      </w:pPr>
      <w:r>
        <w:rPr>
          <w:rFonts w:hint="eastAsia" w:asciiTheme="minorEastAsia" w:hAnsiTheme="minorEastAsia" w:cstheme="minorEastAsia"/>
          <w:color w:val="auto"/>
          <w:sz w:val="24"/>
          <w:szCs w:val="24"/>
          <w:u w:val="single"/>
          <w:lang w:val="en-US" w:eastAsia="zh-CN"/>
        </w:rPr>
        <w:t>其中检测报告应详细、清晰、完整地反映检测过程，报告数据真实、内容完整、结论准确，报告中的数据作为指导采购人开展有效的桥梁应急抢险及养护维修工作的科学依据。检测报告也将作为道路桥梁安全评价及因道路桥梁结构安全问题造成的事故调查的法律依据。</w:t>
      </w:r>
    </w:p>
    <w:p w14:paraId="54D492A6">
      <w:pPr>
        <w:pStyle w:val="6"/>
        <w:numPr>
          <w:ilvl w:val="0"/>
          <w:numId w:val="0"/>
        </w:numPr>
        <w:spacing w:line="360" w:lineRule="auto"/>
        <w:ind w:left="420" w:leftChars="0" w:firstLine="480" w:firstLineChars="200"/>
        <w:rPr>
          <w:rFonts w:hint="eastAsia" w:asciiTheme="minorEastAsia" w:hAnsiTheme="minorEastAsia" w:cstheme="minorEastAsia"/>
          <w:color w:val="auto"/>
          <w:sz w:val="24"/>
          <w:szCs w:val="24"/>
          <w:u w:val="single"/>
          <w:lang w:val="en-US" w:eastAsia="zh-CN"/>
        </w:rPr>
      </w:pPr>
      <w:r>
        <w:rPr>
          <w:rFonts w:hint="eastAsia" w:asciiTheme="minorEastAsia" w:hAnsiTheme="minorEastAsia" w:cstheme="minorEastAsia"/>
          <w:color w:val="auto"/>
          <w:sz w:val="24"/>
          <w:szCs w:val="24"/>
          <w:u w:val="single"/>
          <w:lang w:val="en-US" w:eastAsia="zh-CN"/>
        </w:rPr>
        <w:t xml:space="preserve">（2）2026年桥梁在线监测成果：检测工作全部完成后应以书面文本及电子文本（书面文本3套，电子文本1套，电子文本使用U盘拷贝）形式提交。提交的内容分别有：（1）《桥梁定期检测评定报告》、《结构检算报告》、《桥梁抗震性能检测评定报告》等。（2）检测全部原始影像资料（U盘拷贝）；  </w:t>
      </w:r>
    </w:p>
    <w:p w14:paraId="5014209E">
      <w:pPr>
        <w:pStyle w:val="6"/>
        <w:numPr>
          <w:ilvl w:val="0"/>
          <w:numId w:val="0"/>
        </w:numPr>
        <w:spacing w:line="360" w:lineRule="auto"/>
        <w:ind w:left="420" w:leftChars="0" w:firstLine="480" w:firstLineChars="200"/>
        <w:rPr>
          <w:rFonts w:hint="eastAsia" w:asciiTheme="minorEastAsia" w:hAnsiTheme="minorEastAsia" w:cstheme="minorEastAsia"/>
          <w:color w:val="auto"/>
          <w:sz w:val="24"/>
          <w:szCs w:val="24"/>
          <w:u w:val="single"/>
          <w:lang w:val="en-US" w:eastAsia="zh-CN"/>
        </w:rPr>
      </w:pPr>
      <w:r>
        <w:rPr>
          <w:rFonts w:hint="eastAsia" w:asciiTheme="minorEastAsia" w:hAnsiTheme="minorEastAsia" w:cstheme="minorEastAsia"/>
          <w:color w:val="auto"/>
          <w:sz w:val="24"/>
          <w:szCs w:val="24"/>
          <w:u w:val="single"/>
          <w:lang w:val="en-US" w:eastAsia="zh-CN"/>
        </w:rPr>
        <w:t>根据《城市桥梁养护技术标准》完成附录B城市桥梁资料卡的更新完善。</w:t>
      </w:r>
    </w:p>
    <w:p w14:paraId="40CD4BA8">
      <w:pPr>
        <w:pStyle w:val="6"/>
        <w:numPr>
          <w:ilvl w:val="0"/>
          <w:numId w:val="0"/>
        </w:numPr>
        <w:spacing w:line="360" w:lineRule="auto"/>
        <w:ind w:left="420" w:leftChars="0" w:firstLine="480" w:firstLineChars="200"/>
        <w:rPr>
          <w:rFonts w:hint="eastAsia" w:asciiTheme="minorEastAsia" w:hAnsiTheme="minorEastAsia" w:cstheme="minorEastAsia"/>
          <w:color w:val="auto"/>
          <w:sz w:val="24"/>
          <w:szCs w:val="24"/>
          <w:u w:val="single"/>
          <w:lang w:val="en-US" w:eastAsia="zh-CN"/>
        </w:rPr>
      </w:pPr>
      <w:r>
        <w:rPr>
          <w:rFonts w:hint="eastAsia" w:asciiTheme="minorEastAsia" w:hAnsiTheme="minorEastAsia" w:cstheme="minorEastAsia"/>
          <w:color w:val="auto"/>
          <w:sz w:val="24"/>
          <w:szCs w:val="24"/>
          <w:u w:val="single"/>
          <w:lang w:val="en-US" w:eastAsia="zh-CN"/>
        </w:rPr>
        <w:t>其中检测报告应详细、清晰、完整地反映检测过程，报告数据真实、内容完整、结论准确，报告中的数据作为指导采购人开展有效的桥梁应急抢险及养护维修工作的科学依据。检测报告也将作为道路桥梁安全评价及因道路桥梁结构安全问题造成的事故调查的法律依据。</w:t>
      </w:r>
    </w:p>
    <w:p w14:paraId="3E365D25">
      <w:pPr>
        <w:pStyle w:val="6"/>
        <w:numPr>
          <w:ilvl w:val="0"/>
          <w:numId w:val="0"/>
        </w:numPr>
        <w:spacing w:line="360" w:lineRule="auto"/>
        <w:ind w:left="420" w:leftChars="0" w:firstLine="480" w:firstLineChars="200"/>
        <w:rPr>
          <w:rFonts w:hint="eastAsia" w:asciiTheme="minorEastAsia" w:hAnsiTheme="minorEastAsia" w:cstheme="minorEastAsia"/>
          <w:color w:val="auto"/>
          <w:sz w:val="24"/>
          <w:szCs w:val="24"/>
          <w:u w:val="single"/>
          <w:lang w:val="en-US" w:eastAsia="zh-CN"/>
        </w:rPr>
      </w:pPr>
      <w:r>
        <w:rPr>
          <w:rFonts w:hint="eastAsia" w:asciiTheme="minorEastAsia" w:hAnsiTheme="minorEastAsia" w:cstheme="minorEastAsia"/>
          <w:color w:val="auto"/>
          <w:sz w:val="24"/>
          <w:szCs w:val="24"/>
          <w:u w:val="single"/>
          <w:lang w:val="en-US" w:eastAsia="zh-CN"/>
        </w:rPr>
        <w:t>（3）应按照前述检测、监测的技术及服务内容的要求提供各类报告及相关的文本材料。</w:t>
      </w:r>
    </w:p>
    <w:p w14:paraId="183F70A8">
      <w:pPr>
        <w:pStyle w:val="6"/>
        <w:numPr>
          <w:ilvl w:val="0"/>
          <w:numId w:val="0"/>
        </w:numPr>
        <w:spacing w:line="360" w:lineRule="auto"/>
        <w:ind w:left="420" w:leftChars="0" w:firstLine="480" w:firstLineChars="200"/>
        <w:rPr>
          <w:rFonts w:hint="default" w:asciiTheme="minorEastAsia" w:hAnsiTheme="minorEastAsia" w:cstheme="minorEastAsia"/>
          <w:color w:val="auto"/>
          <w:sz w:val="24"/>
          <w:szCs w:val="24"/>
          <w:u w:val="single"/>
          <w:lang w:val="en-US" w:eastAsia="zh-CN"/>
        </w:rPr>
      </w:pPr>
      <w:r>
        <w:rPr>
          <w:rFonts w:hint="eastAsia" w:asciiTheme="minorEastAsia" w:hAnsiTheme="minorEastAsia" w:cstheme="minorEastAsia"/>
          <w:color w:val="auto"/>
          <w:sz w:val="24"/>
          <w:szCs w:val="24"/>
          <w:u w:val="single"/>
          <w:lang w:val="en-US" w:eastAsia="zh-CN"/>
        </w:rPr>
        <w:t>（4）本项目成果知识产权全部归采购人所有。</w:t>
      </w:r>
    </w:p>
    <w:p w14:paraId="3C27E903">
      <w:pPr>
        <w:spacing w:line="360" w:lineRule="auto"/>
        <w:ind w:firstLine="482" w:firstLineChars="200"/>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二、检测工作量及时限：</w:t>
      </w:r>
    </w:p>
    <w:p w14:paraId="40151A1E">
      <w:pPr>
        <w:pStyle w:val="6"/>
        <w:spacing w:line="360" w:lineRule="auto"/>
        <w:ind w:left="420" w:leftChars="200" w:firstLine="480" w:firstLineChars="200"/>
        <w:rPr>
          <w:rFonts w:hint="eastAsia" w:asciiTheme="minorEastAsia" w:hAnsiTheme="minorEastAsia" w:cstheme="minorEastAsia"/>
          <w:color w:val="auto"/>
          <w:sz w:val="24"/>
          <w:szCs w:val="24"/>
          <w:u w:val="single"/>
          <w:lang w:val="en-US" w:eastAsia="zh-CN"/>
        </w:rPr>
      </w:pPr>
      <w:r>
        <w:rPr>
          <w:rFonts w:hint="eastAsia" w:asciiTheme="minorEastAsia" w:hAnsiTheme="minorEastAsia" w:cstheme="minorEastAsia"/>
          <w:color w:val="auto"/>
          <w:sz w:val="24"/>
          <w:szCs w:val="24"/>
          <w:u w:val="single"/>
          <w:lang w:val="en-US" w:eastAsia="zh-CN"/>
        </w:rPr>
        <w:t>检测工程量和具体内容详见本项目采购文件，乙方应在甲方要求的期限内完成所有检测工作和检测任务，出具检测评价报告提供给甲方。</w:t>
      </w:r>
    </w:p>
    <w:p w14:paraId="45AA4D56">
      <w:pPr>
        <w:pStyle w:val="6"/>
        <w:spacing w:line="360" w:lineRule="auto"/>
        <w:ind w:left="420" w:leftChars="200"/>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三、检测服务质量标准：</w:t>
      </w:r>
    </w:p>
    <w:p w14:paraId="163BC323">
      <w:pPr>
        <w:pStyle w:val="6"/>
        <w:spacing w:line="360" w:lineRule="auto"/>
        <w:ind w:left="420" w:left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u w:val="single"/>
        </w:rPr>
        <w:t>符合国家、陕西省、西安市以及行业等有关检测技术规范要求和标准</w:t>
      </w:r>
      <w:r>
        <w:rPr>
          <w:rFonts w:hint="eastAsia" w:asciiTheme="minorEastAsia" w:hAnsiTheme="minorEastAsia" w:eastAsiaTheme="minorEastAsia" w:cstheme="minorEastAsia"/>
          <w:color w:val="auto"/>
          <w:sz w:val="24"/>
          <w:szCs w:val="24"/>
        </w:rPr>
        <w:t>。</w:t>
      </w:r>
    </w:p>
    <w:p w14:paraId="7BAFC745">
      <w:pPr>
        <w:spacing w:line="360" w:lineRule="auto"/>
        <w:ind w:firstLine="482" w:firstLineChars="200"/>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四、检测技术标准：</w:t>
      </w:r>
    </w:p>
    <w:p w14:paraId="036D1985">
      <w:pPr>
        <w:pStyle w:val="3"/>
        <w:spacing w:line="360" w:lineRule="auto"/>
        <w:ind w:firstLineChars="200"/>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w:t>
      </w:r>
      <w:r>
        <w:rPr>
          <w:rFonts w:hint="eastAsia" w:asciiTheme="minorEastAsia" w:hAnsiTheme="minorEastAsia" w:cstheme="minorEastAsia"/>
          <w:bCs/>
          <w:color w:val="auto"/>
          <w:sz w:val="24"/>
          <w:szCs w:val="24"/>
          <w:lang w:val="en-US" w:eastAsia="zh-CN"/>
        </w:rPr>
        <w:t>一</w:t>
      </w:r>
      <w:r>
        <w:rPr>
          <w:rFonts w:hint="eastAsia" w:asciiTheme="minorEastAsia" w:hAnsiTheme="minorEastAsia" w:eastAsiaTheme="minorEastAsia" w:cstheme="minorEastAsia"/>
          <w:bCs/>
          <w:color w:val="auto"/>
          <w:sz w:val="24"/>
          <w:szCs w:val="24"/>
        </w:rPr>
        <w:t>）</w:t>
      </w:r>
      <w:r>
        <w:rPr>
          <w:rFonts w:hint="eastAsia" w:asciiTheme="minorEastAsia" w:hAnsiTheme="minorEastAsia" w:cstheme="minorEastAsia"/>
          <w:bCs/>
          <w:color w:val="auto"/>
          <w:sz w:val="24"/>
          <w:szCs w:val="24"/>
          <w:lang w:val="en-US" w:eastAsia="zh-CN"/>
        </w:rPr>
        <w:t>竞争性采购文件“服务要</w:t>
      </w:r>
      <w:r>
        <w:rPr>
          <w:rFonts w:hint="eastAsia" w:asciiTheme="minorEastAsia" w:hAnsiTheme="minorEastAsia" w:eastAsiaTheme="minorEastAsia" w:cstheme="minorEastAsia"/>
          <w:bCs/>
          <w:color w:val="auto"/>
          <w:sz w:val="24"/>
          <w:szCs w:val="24"/>
          <w:lang w:val="en-US" w:eastAsia="zh-CN"/>
        </w:rPr>
        <w:t>求”中的检测依据及标准</w:t>
      </w:r>
      <w:r>
        <w:rPr>
          <w:rFonts w:hint="eastAsia" w:asciiTheme="minorEastAsia" w:hAnsiTheme="minorEastAsia" w:cstheme="minorEastAsia"/>
          <w:bCs/>
          <w:color w:val="auto"/>
          <w:sz w:val="24"/>
          <w:szCs w:val="24"/>
          <w:lang w:val="en-US" w:eastAsia="zh-CN"/>
        </w:rPr>
        <w:t>；</w:t>
      </w:r>
    </w:p>
    <w:p w14:paraId="6CD1E3A2">
      <w:pPr>
        <w:pStyle w:val="3"/>
        <w:spacing w:line="360" w:lineRule="auto"/>
        <w:ind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cstheme="minorEastAsia"/>
          <w:bCs/>
          <w:color w:val="auto"/>
          <w:sz w:val="24"/>
          <w:szCs w:val="24"/>
          <w:lang w:eastAsia="zh-CN"/>
        </w:rPr>
        <w:t>（</w:t>
      </w:r>
      <w:r>
        <w:rPr>
          <w:rFonts w:hint="eastAsia" w:asciiTheme="minorEastAsia" w:hAnsiTheme="minorEastAsia" w:cstheme="minorEastAsia"/>
          <w:bCs/>
          <w:color w:val="auto"/>
          <w:sz w:val="24"/>
          <w:szCs w:val="24"/>
          <w:lang w:val="en-US" w:eastAsia="zh-CN"/>
        </w:rPr>
        <w:t>二</w:t>
      </w:r>
      <w:r>
        <w:rPr>
          <w:rFonts w:hint="eastAsia" w:asciiTheme="minorEastAsia" w:hAnsi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rPr>
        <w:t>其他省市或行业的相关技术标准和设计方提供的设计文件要求</w:t>
      </w:r>
      <w:r>
        <w:rPr>
          <w:rFonts w:hint="eastAsia" w:asciiTheme="minorEastAsia" w:hAnsiTheme="minorEastAsia" w:eastAsiaTheme="minorEastAsia" w:cstheme="minorEastAsia"/>
          <w:bCs/>
          <w:color w:val="auto"/>
          <w:sz w:val="24"/>
          <w:szCs w:val="24"/>
          <w:lang w:eastAsia="zh-CN"/>
        </w:rPr>
        <w:t>；</w:t>
      </w:r>
    </w:p>
    <w:p w14:paraId="3C2D1D58">
      <w:pPr>
        <w:pStyle w:val="3"/>
        <w:spacing w:line="360" w:lineRule="auto"/>
        <w:ind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cstheme="minorEastAsia"/>
          <w:bCs/>
          <w:color w:val="auto"/>
          <w:sz w:val="24"/>
          <w:szCs w:val="24"/>
          <w:lang w:val="en-US" w:eastAsia="zh-CN"/>
        </w:rPr>
        <w:t>三</w:t>
      </w:r>
      <w:r>
        <w:rPr>
          <w:rFonts w:hint="eastAsia" w:asciiTheme="minorEastAsia" w:hAnsiTheme="minorEastAsia" w:eastAsiaTheme="minorEastAsia" w:cstheme="minorEastAsia"/>
          <w:bCs/>
          <w:color w:val="auto"/>
          <w:sz w:val="24"/>
          <w:szCs w:val="24"/>
          <w:lang w:eastAsia="zh-CN"/>
        </w:rPr>
        <w:t>）甲方其他关于检测技术标准的要求。</w:t>
      </w:r>
    </w:p>
    <w:p w14:paraId="1FA68190">
      <w:pPr>
        <w:pStyle w:val="3"/>
        <w:spacing w:line="360" w:lineRule="auto"/>
        <w:ind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val="en-US" w:eastAsia="zh-CN"/>
        </w:rPr>
        <w:t xml:space="preserve"> 注：项目实施期间，各类标准规范如有更新，应按最新的标准规范执行。</w:t>
      </w:r>
    </w:p>
    <w:p w14:paraId="46304AC6">
      <w:pPr>
        <w:spacing w:line="360" w:lineRule="auto"/>
        <w:ind w:firstLine="482" w:firstLineChars="200"/>
        <w:rPr>
          <w:rFonts w:hint="eastAsia" w:asciiTheme="minorEastAsia" w:hAnsiTheme="minorEastAsia" w:eastAsiaTheme="minorEastAsia" w:cstheme="minorEastAsia"/>
          <w:b/>
          <w:bCs/>
          <w:color w:val="auto"/>
          <w:sz w:val="24"/>
          <w:szCs w:val="24"/>
        </w:rPr>
      </w:pPr>
      <w:r>
        <w:rPr>
          <w:rFonts w:hint="eastAsia" w:asciiTheme="minorEastAsia" w:hAnsiTheme="minorEastAsia" w:eastAsiaTheme="minorEastAsia" w:cstheme="minorEastAsia"/>
          <w:b/>
          <w:bCs/>
          <w:color w:val="auto"/>
          <w:sz w:val="24"/>
          <w:szCs w:val="24"/>
        </w:rPr>
        <w:t>四、合同双方责任：</w:t>
      </w:r>
    </w:p>
    <w:p w14:paraId="469B394E">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（一）甲方责任：</w:t>
      </w:r>
    </w:p>
    <w:p w14:paraId="4B07B157">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甲方负责提供需要检测的前期准备资料。</w:t>
      </w:r>
    </w:p>
    <w:p w14:paraId="76C4FEC7">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甲方要求乙方到现场进行检测，甲方应向乙方提供相关资料，做好检测的准备工作，并派有关人员做好检测的配合工作。</w:t>
      </w:r>
    </w:p>
    <w:p w14:paraId="067A9C75">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甲方应按合同约定方式及时支付检测评价费用。</w:t>
      </w:r>
    </w:p>
    <w:p w14:paraId="71A5EEC2">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（二）乙方责任：</w:t>
      </w:r>
    </w:p>
    <w:p w14:paraId="27154877">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乙方应严格按照国家有关技术规范、标准进行试验检测，对试验检测报告的质量负责。</w:t>
      </w:r>
    </w:p>
    <w:p w14:paraId="1A5E23EF">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乙方应严格按甲方规定时间分阶段提供检测评价分析报告及各种试验检测报告。</w:t>
      </w:r>
    </w:p>
    <w:p w14:paraId="77BDF54E">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乙方应对给甲方出具的试验检测数据负有保密责任。</w:t>
      </w:r>
    </w:p>
    <w:p w14:paraId="096B3E57">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4</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乙方应向甲方出具甲方所需的纸质报告份数和必要的电子版本。</w:t>
      </w:r>
    </w:p>
    <w:p w14:paraId="273C8A52">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5</w:t>
      </w:r>
      <w:r>
        <w:rPr>
          <w:rFonts w:hint="eastAsia" w:asciiTheme="minorEastAsia" w:hAnsiTheme="minorEastAsia" w:eastAsiaTheme="minorEastAsia" w:cstheme="minorEastAsia"/>
          <w:color w:val="auto"/>
          <w:sz w:val="24"/>
          <w:szCs w:val="24"/>
        </w:rPr>
        <w:t>.及时向甲方通告本项目服务范围内有关服务的重大事项，及时配合处理投诉。</w:t>
      </w:r>
    </w:p>
    <w:p w14:paraId="206C336C">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6</w:t>
      </w:r>
      <w:r>
        <w:rPr>
          <w:rFonts w:hint="eastAsia" w:asciiTheme="minorEastAsia" w:hAnsiTheme="minorEastAsia" w:eastAsiaTheme="minorEastAsia" w:cstheme="minorEastAsia"/>
          <w:color w:val="auto"/>
          <w:sz w:val="24"/>
          <w:szCs w:val="24"/>
        </w:rPr>
        <w:t>.接受项目行业管理部门及政府有关部门的指导，接受甲方的监督。</w:t>
      </w:r>
    </w:p>
    <w:p w14:paraId="39D02DBB">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lang w:val="en-US" w:eastAsia="zh-CN"/>
        </w:rPr>
        <w:t>7</w:t>
      </w:r>
      <w:r>
        <w:rPr>
          <w:rFonts w:hint="eastAsia" w:asciiTheme="minorEastAsia" w:hAnsiTheme="minorEastAsia" w:eastAsiaTheme="minorEastAsia" w:cstheme="minorEastAsia"/>
          <w:color w:val="auto"/>
          <w:sz w:val="24"/>
          <w:szCs w:val="24"/>
        </w:rPr>
        <w:t>.国家法律、法规所规定由乙方承担的其它责任。</w:t>
      </w:r>
    </w:p>
    <w:p w14:paraId="47DA909D">
      <w:pPr>
        <w:spacing w:line="360" w:lineRule="auto"/>
        <w:ind w:firstLine="482" w:firstLineChars="2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rPr>
        <w:t>五、</w:t>
      </w:r>
      <w:r>
        <w:rPr>
          <w:rFonts w:hint="eastAsia" w:asciiTheme="minorEastAsia" w:hAnsiTheme="minorEastAsia" w:eastAsiaTheme="minorEastAsia" w:cstheme="minorEastAsia"/>
          <w:b/>
          <w:bCs/>
          <w:color w:val="auto"/>
          <w:sz w:val="24"/>
          <w:szCs w:val="24"/>
          <w:highlight w:val="none"/>
        </w:rPr>
        <w:t>安全生产</w:t>
      </w:r>
    </w:p>
    <w:p w14:paraId="5369069B">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检测工作现场建立完成的安全保证体系，制订生产、安全教育制度和安全技术措施，建立项目安全定期检查制度。按照规定要求使用和设置各类安全防护、警示设施，安全防护用品和设施的质量符合要求，施工区内有危险隐患处设置醒目有效的防护设施。由于乙方自身安全生产管理措施不到位造成的安全生产事故，其责任和造成的损失由乙方承担。</w:t>
      </w:r>
    </w:p>
    <w:p w14:paraId="760254F9">
      <w:pPr>
        <w:pStyle w:val="6"/>
        <w:spacing w:line="360" w:lineRule="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cstheme="minorEastAsia"/>
          <w:b/>
          <w:bCs/>
          <w:color w:val="auto"/>
          <w:sz w:val="24"/>
          <w:szCs w:val="24"/>
          <w:highlight w:val="none"/>
          <w:lang w:val="en-US" w:eastAsia="zh-CN"/>
        </w:rPr>
        <w:t>六</w:t>
      </w:r>
      <w:r>
        <w:rPr>
          <w:rFonts w:hint="eastAsia" w:asciiTheme="minorEastAsia" w:hAnsiTheme="minorEastAsia" w:eastAsiaTheme="minorEastAsia" w:cstheme="minorEastAsia"/>
          <w:b/>
          <w:bCs/>
          <w:color w:val="auto"/>
          <w:sz w:val="24"/>
          <w:szCs w:val="24"/>
          <w:highlight w:val="none"/>
        </w:rPr>
        <w:t>、</w:t>
      </w:r>
      <w:r>
        <w:rPr>
          <w:rFonts w:hint="eastAsia" w:asciiTheme="minorEastAsia" w:hAnsiTheme="minorEastAsia" w:cstheme="minorEastAsia"/>
          <w:b/>
          <w:bCs/>
          <w:color w:val="auto"/>
          <w:sz w:val="24"/>
          <w:szCs w:val="24"/>
          <w:highlight w:val="none"/>
          <w:lang w:val="en-US" w:eastAsia="zh-CN"/>
        </w:rPr>
        <w:t>服务</w:t>
      </w:r>
      <w:r>
        <w:rPr>
          <w:rFonts w:hint="eastAsia" w:asciiTheme="minorEastAsia" w:hAnsiTheme="minorEastAsia" w:eastAsiaTheme="minorEastAsia" w:cstheme="minorEastAsia"/>
          <w:b/>
          <w:bCs/>
          <w:color w:val="auto"/>
          <w:sz w:val="24"/>
          <w:szCs w:val="24"/>
          <w:highlight w:val="none"/>
        </w:rPr>
        <w:t>费用及支付方式：</w:t>
      </w:r>
    </w:p>
    <w:p w14:paraId="2C60F991">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本项目服务总费用为人民币（大写）：</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 xml:space="preserve">元， ￥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p>
    <w:p w14:paraId="2E93E72F">
      <w:pPr>
        <w:spacing w:line="360" w:lineRule="auto"/>
        <w:ind w:firstLine="480" w:firstLineChars="200"/>
        <w:rPr>
          <w:rFonts w:hint="eastAsia"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lang w:val="en-US" w:eastAsia="zh-CN"/>
        </w:rPr>
        <w:t>1</w:t>
      </w:r>
      <w:r>
        <w:rPr>
          <w:rFonts w:hint="eastAsia" w:asciiTheme="minorEastAsia" w:hAnsiTheme="minorEastAsia" w:cstheme="minorEastAsia"/>
          <w:color w:val="auto"/>
          <w:sz w:val="24"/>
          <w:szCs w:val="24"/>
          <w:highlight w:val="none"/>
          <w:lang w:eastAsia="zh-CN"/>
        </w:rPr>
        <w:t>）合同签订后，支付预付款，乙方出具合同总价款</w:t>
      </w:r>
      <w:r>
        <w:rPr>
          <w:rFonts w:hint="eastAsia" w:asciiTheme="minorEastAsia" w:hAnsiTheme="minorEastAsia" w:cstheme="minorEastAsia"/>
          <w:color w:val="auto"/>
          <w:sz w:val="24"/>
          <w:szCs w:val="24"/>
          <w:highlight w:val="none"/>
          <w:lang w:val="en-US" w:eastAsia="zh-CN"/>
        </w:rPr>
        <w:t>5</w:t>
      </w:r>
      <w:r>
        <w:rPr>
          <w:rFonts w:hint="eastAsia" w:asciiTheme="minorEastAsia" w:hAnsiTheme="minorEastAsia" w:cstheme="minorEastAsia"/>
          <w:color w:val="auto"/>
          <w:sz w:val="24"/>
          <w:szCs w:val="24"/>
          <w:highlight w:val="none"/>
          <w:lang w:eastAsia="zh-CN"/>
        </w:rPr>
        <w:t>%的履约保函。甲方收到增值税发票后，达到付款条件起30日内，支付合同总金额的50.00%。</w:t>
      </w:r>
    </w:p>
    <w:p w14:paraId="15A4EBFD">
      <w:pPr>
        <w:spacing w:line="360" w:lineRule="auto"/>
        <w:ind w:firstLine="480" w:firstLineChars="200"/>
        <w:rPr>
          <w:rFonts w:hint="eastAsia" w:asciiTheme="minorEastAsia" w:hAnsiTheme="minorEastAsia" w:cstheme="minorEastAsia"/>
          <w:color w:val="auto"/>
          <w:sz w:val="24"/>
          <w:szCs w:val="24"/>
          <w:highlight w:val="none"/>
          <w:lang w:eastAsia="zh-CN"/>
        </w:rPr>
      </w:pP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lang w:val="en-US" w:eastAsia="zh-CN"/>
        </w:rPr>
        <w:t>2</w:t>
      </w:r>
      <w:r>
        <w:rPr>
          <w:rFonts w:hint="eastAsia" w:asciiTheme="minorEastAsia" w:hAnsiTheme="minorEastAsia" w:cstheme="minorEastAsia"/>
          <w:color w:val="auto"/>
          <w:sz w:val="24"/>
          <w:szCs w:val="24"/>
          <w:highlight w:val="none"/>
          <w:lang w:eastAsia="zh-CN"/>
        </w:rPr>
        <w:t>）完成年终验收合格后，甲方收到增值税发票后，达到付款条件起30日内，支付合同总金额的50.00%。</w:t>
      </w:r>
    </w:p>
    <w:p w14:paraId="51FDBF8B">
      <w:pPr>
        <w:spacing w:line="360" w:lineRule="auto"/>
        <w:ind w:firstLine="482" w:firstLineChars="200"/>
        <w:rPr>
          <w:rFonts w:hint="eastAsia" w:asciiTheme="minorEastAsia" w:hAnsiTheme="minorEastAsia" w:eastAsiaTheme="minorEastAsia" w:cstheme="minorEastAsia"/>
          <w:b/>
          <w:bCs/>
          <w:color w:val="auto"/>
          <w:sz w:val="24"/>
          <w:szCs w:val="24"/>
        </w:rPr>
      </w:pPr>
      <w:r>
        <w:rPr>
          <w:rFonts w:hint="eastAsia" w:asciiTheme="minorEastAsia" w:hAnsiTheme="minorEastAsia" w:cstheme="minorEastAsia"/>
          <w:b/>
          <w:bCs/>
          <w:color w:val="auto"/>
          <w:sz w:val="24"/>
          <w:szCs w:val="24"/>
          <w:lang w:val="en-US" w:eastAsia="zh-CN"/>
        </w:rPr>
        <w:t>七</w:t>
      </w:r>
      <w:r>
        <w:rPr>
          <w:rFonts w:hint="eastAsia" w:asciiTheme="minorEastAsia" w:hAnsiTheme="minorEastAsia" w:eastAsiaTheme="minorEastAsia" w:cstheme="minorEastAsia"/>
          <w:b/>
          <w:bCs/>
          <w:color w:val="auto"/>
          <w:sz w:val="24"/>
          <w:szCs w:val="24"/>
        </w:rPr>
        <w:t>、争议的解决：</w:t>
      </w:r>
    </w:p>
    <w:p w14:paraId="6C14D74C">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（一）甲方对检测结果发生争议时，可由双方共同认可的检测机构复检；若对复检结果仍有异议，可由专家论证解决。</w:t>
      </w:r>
    </w:p>
    <w:p w14:paraId="43460853">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（二）因违反或终止合同而引起的对对方的损失和损害的赔偿，双方应协商解决；如未达成一致，可提交主管部门协调；如仍未达成一致时，根据双方约定提交仲裁机构仲裁，或向人民法院提出诉讼。</w:t>
      </w:r>
    </w:p>
    <w:p w14:paraId="0F4AFCDC">
      <w:pPr>
        <w:spacing w:line="360" w:lineRule="auto"/>
        <w:ind w:firstLine="482" w:firstLineChars="200"/>
        <w:rPr>
          <w:rFonts w:hint="eastAsia" w:asciiTheme="minorEastAsia" w:hAnsiTheme="minorEastAsia" w:eastAsiaTheme="minorEastAsia" w:cstheme="minorEastAsia"/>
          <w:b/>
          <w:bCs/>
          <w:color w:val="auto"/>
          <w:sz w:val="24"/>
          <w:szCs w:val="24"/>
        </w:rPr>
      </w:pPr>
      <w:r>
        <w:rPr>
          <w:rFonts w:hint="eastAsia" w:asciiTheme="minorEastAsia" w:hAnsiTheme="minorEastAsia" w:cstheme="minorEastAsia"/>
          <w:b/>
          <w:bCs/>
          <w:color w:val="auto"/>
          <w:sz w:val="24"/>
          <w:szCs w:val="24"/>
          <w:lang w:val="en-US" w:eastAsia="zh-CN"/>
        </w:rPr>
        <w:t>八</w:t>
      </w:r>
      <w:r>
        <w:rPr>
          <w:rFonts w:hint="eastAsia" w:asciiTheme="minorEastAsia" w:hAnsiTheme="minorEastAsia" w:eastAsiaTheme="minorEastAsia" w:cstheme="minorEastAsia"/>
          <w:b/>
          <w:bCs/>
          <w:color w:val="auto"/>
          <w:sz w:val="24"/>
          <w:szCs w:val="24"/>
        </w:rPr>
        <w:t>、知识产权</w:t>
      </w:r>
    </w:p>
    <w:p w14:paraId="28155227">
      <w:pPr>
        <w:tabs>
          <w:tab w:val="left" w:pos="1440"/>
        </w:tabs>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乙方应保证所提供的服务或其任何一部分均不会侵犯任何第三方的专利权、商标权或著作权。</w:t>
      </w:r>
    </w:p>
    <w:p w14:paraId="5804900F">
      <w:pPr>
        <w:spacing w:line="360" w:lineRule="auto"/>
        <w:ind w:firstLine="482" w:firstLineChars="200"/>
        <w:rPr>
          <w:rFonts w:hint="eastAsia" w:asciiTheme="minorEastAsia" w:hAnsiTheme="minorEastAsia" w:eastAsiaTheme="minorEastAsia" w:cstheme="minorEastAsia"/>
          <w:b/>
          <w:bCs/>
          <w:color w:val="auto"/>
          <w:sz w:val="24"/>
          <w:szCs w:val="24"/>
        </w:rPr>
      </w:pPr>
      <w:r>
        <w:rPr>
          <w:rFonts w:hint="eastAsia" w:asciiTheme="minorEastAsia" w:hAnsiTheme="minorEastAsia" w:cstheme="minorEastAsia"/>
          <w:b/>
          <w:bCs/>
          <w:color w:val="auto"/>
          <w:sz w:val="24"/>
          <w:szCs w:val="24"/>
          <w:lang w:val="en-US" w:eastAsia="zh-CN"/>
        </w:rPr>
        <w:t>九</w:t>
      </w:r>
      <w:r>
        <w:rPr>
          <w:rFonts w:hint="eastAsia" w:asciiTheme="minorEastAsia" w:hAnsiTheme="minorEastAsia" w:eastAsiaTheme="minorEastAsia" w:cstheme="minorEastAsia"/>
          <w:b/>
          <w:bCs/>
          <w:color w:val="auto"/>
          <w:sz w:val="24"/>
          <w:szCs w:val="24"/>
        </w:rPr>
        <w:t>、不可抗力事件处理</w:t>
      </w:r>
    </w:p>
    <w:p w14:paraId="19F252D5">
      <w:pPr>
        <w:tabs>
          <w:tab w:val="left" w:pos="0"/>
        </w:tabs>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1.在合同有效期内，任何一方因不可抗力事件导致不能履行合同，则合同履行期可延长，其延长期与不可抗力影响期相同。</w:t>
      </w:r>
    </w:p>
    <w:p w14:paraId="7292E338">
      <w:pPr>
        <w:tabs>
          <w:tab w:val="left" w:pos="0"/>
        </w:tabs>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2.不可抗力事件发生后，应立即通知对方，并寄送有关权威机构出具的证明。</w:t>
      </w:r>
    </w:p>
    <w:p w14:paraId="02FC8668">
      <w:pPr>
        <w:tabs>
          <w:tab w:val="left" w:pos="0"/>
        </w:tabs>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3.不可抗力事件延期时间过长导致项目可能影响采购实施或者正常履约的，双方应通过友好协商，确定是否继续履行合同。</w:t>
      </w:r>
    </w:p>
    <w:p w14:paraId="095DE008">
      <w:pPr>
        <w:adjustRightInd w:val="0"/>
        <w:snapToGrid w:val="0"/>
        <w:spacing w:line="360" w:lineRule="auto"/>
        <w:ind w:firstLine="645"/>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十、合同组成</w:t>
      </w:r>
    </w:p>
    <w:p w14:paraId="7DB1D13B">
      <w:pPr>
        <w:adjustRightInd w:val="0"/>
        <w:snapToGrid w:val="0"/>
        <w:spacing w:line="360" w:lineRule="auto"/>
        <w:ind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1</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成交通知书</w:t>
      </w:r>
    </w:p>
    <w:p w14:paraId="00D641E2">
      <w:pPr>
        <w:adjustRightInd w:val="0"/>
        <w:snapToGrid w:val="0"/>
        <w:spacing w:line="360" w:lineRule="auto"/>
        <w:ind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合同文件</w:t>
      </w:r>
    </w:p>
    <w:p w14:paraId="4AAB62E0">
      <w:pPr>
        <w:adjustRightInd w:val="0"/>
        <w:snapToGrid w:val="0"/>
        <w:spacing w:line="360" w:lineRule="auto"/>
        <w:ind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国家相关规范及标准</w:t>
      </w:r>
    </w:p>
    <w:p w14:paraId="5BADBF79">
      <w:pPr>
        <w:adjustRightInd w:val="0"/>
        <w:snapToGrid w:val="0"/>
        <w:spacing w:line="360" w:lineRule="auto"/>
        <w:ind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4</w:t>
      </w:r>
      <w:r>
        <w:rPr>
          <w:rFonts w:hint="eastAsia" w:asciiTheme="minorEastAsia" w:hAnsi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rPr>
        <w:t>采购文件</w:t>
      </w:r>
    </w:p>
    <w:p w14:paraId="6AEA2E69">
      <w:pPr>
        <w:adjustRightInd w:val="0"/>
        <w:snapToGrid w:val="0"/>
        <w:spacing w:line="360" w:lineRule="auto"/>
        <w:ind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5</w:t>
      </w:r>
      <w:r>
        <w:rPr>
          <w:rFonts w:hint="eastAsia" w:asciiTheme="minorEastAsia" w:hAnsiTheme="minorEastAsia" w:cstheme="minorEastAsia"/>
          <w:color w:val="auto"/>
          <w:sz w:val="24"/>
          <w:szCs w:val="24"/>
          <w:lang w:eastAsia="zh-CN"/>
        </w:rPr>
        <w:t>.</w:t>
      </w:r>
      <w:r>
        <w:rPr>
          <w:rFonts w:hint="eastAsia" w:asciiTheme="minorEastAsia" w:hAnsiTheme="minorEastAsia" w:cstheme="minorEastAsia"/>
          <w:color w:val="auto"/>
          <w:sz w:val="24"/>
          <w:szCs w:val="24"/>
          <w:lang w:val="en-US" w:eastAsia="zh-CN"/>
        </w:rPr>
        <w:t>投标</w:t>
      </w:r>
      <w:r>
        <w:rPr>
          <w:rFonts w:hint="eastAsia" w:asciiTheme="minorEastAsia" w:hAnsiTheme="minorEastAsia" w:eastAsiaTheme="minorEastAsia" w:cstheme="minorEastAsia"/>
          <w:color w:val="auto"/>
          <w:sz w:val="24"/>
          <w:szCs w:val="24"/>
        </w:rPr>
        <w:t>文件</w:t>
      </w:r>
    </w:p>
    <w:p w14:paraId="3ADA2A22">
      <w:pPr>
        <w:snapToGrid w:val="0"/>
        <w:spacing w:line="360" w:lineRule="auto"/>
        <w:ind w:right="893" w:firstLine="482" w:firstLineChars="200"/>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十</w:t>
      </w:r>
      <w:r>
        <w:rPr>
          <w:rFonts w:hint="eastAsia" w:asciiTheme="minorEastAsia" w:hAnsiTheme="minorEastAsia" w:cstheme="minorEastAsia"/>
          <w:b/>
          <w:color w:val="auto"/>
          <w:sz w:val="24"/>
          <w:szCs w:val="24"/>
          <w:lang w:val="en-US" w:eastAsia="zh-CN"/>
        </w:rPr>
        <w:t>一</w:t>
      </w:r>
      <w:r>
        <w:rPr>
          <w:rFonts w:hint="eastAsia" w:asciiTheme="minorEastAsia" w:hAnsiTheme="minorEastAsia" w:eastAsiaTheme="minorEastAsia" w:cstheme="minorEastAsia"/>
          <w:b/>
          <w:color w:val="auto"/>
          <w:sz w:val="24"/>
          <w:szCs w:val="24"/>
        </w:rPr>
        <w:t>、违约责任</w:t>
      </w:r>
    </w:p>
    <w:p w14:paraId="117120DC">
      <w:pPr>
        <w:numPr>
          <w:ilvl w:val="0"/>
          <w:numId w:val="0"/>
        </w:numPr>
        <w:adjustRightInd w:val="0"/>
        <w:snapToGrid w:val="0"/>
        <w:spacing w:line="360" w:lineRule="auto"/>
        <w:ind w:left="645" w:leftChars="0"/>
        <w:rPr>
          <w:rFonts w:hint="eastAsia" w:asciiTheme="minorEastAsia" w:hAnsiTheme="minorEastAsia" w:eastAsiaTheme="minorEastAsia" w:cstheme="minorEastAsia"/>
          <w:color w:val="auto"/>
          <w:sz w:val="24"/>
          <w:szCs w:val="24"/>
        </w:rPr>
      </w:pPr>
      <w:r>
        <w:rPr>
          <w:rFonts w:hint="eastAsia" w:asciiTheme="minorEastAsia" w:hAnsiTheme="minorEastAsia" w:cstheme="minorEastAsia"/>
          <w:color w:val="auto"/>
          <w:sz w:val="24"/>
          <w:szCs w:val="24"/>
          <w:lang w:val="en-US" w:eastAsia="zh-CN"/>
        </w:rPr>
        <w:t>1.</w:t>
      </w:r>
      <w:r>
        <w:rPr>
          <w:rFonts w:hint="eastAsia" w:asciiTheme="minorEastAsia" w:hAnsiTheme="minorEastAsia" w:eastAsiaTheme="minorEastAsia" w:cstheme="minorEastAsia"/>
          <w:color w:val="auto"/>
          <w:sz w:val="24"/>
          <w:szCs w:val="24"/>
        </w:rPr>
        <w:t>按《</w:t>
      </w:r>
      <w:r>
        <w:rPr>
          <w:rFonts w:hint="eastAsia" w:asciiTheme="minorEastAsia" w:hAnsiTheme="minorEastAsia" w:eastAsiaTheme="minorEastAsia" w:cstheme="minorEastAsia"/>
          <w:color w:val="auto"/>
          <w:sz w:val="24"/>
          <w:szCs w:val="24"/>
          <w:lang w:val="en-US" w:eastAsia="zh-CN"/>
        </w:rPr>
        <w:t>民法典</w:t>
      </w:r>
      <w:r>
        <w:rPr>
          <w:rFonts w:hint="eastAsia" w:asciiTheme="minorEastAsia" w:hAnsiTheme="minorEastAsia" w:eastAsiaTheme="minorEastAsia" w:cstheme="minorEastAsia"/>
          <w:color w:val="auto"/>
          <w:sz w:val="24"/>
          <w:szCs w:val="24"/>
        </w:rPr>
        <w:t>》中的相关条款执</w:t>
      </w:r>
      <w:bookmarkStart w:id="1" w:name="_GoBack"/>
      <w:bookmarkEnd w:id="1"/>
      <w:r>
        <w:rPr>
          <w:rFonts w:hint="eastAsia" w:asciiTheme="minorEastAsia" w:hAnsiTheme="minorEastAsia" w:eastAsiaTheme="minorEastAsia" w:cstheme="minorEastAsia"/>
          <w:color w:val="auto"/>
          <w:sz w:val="24"/>
          <w:szCs w:val="24"/>
        </w:rPr>
        <w:t>行。</w:t>
      </w:r>
    </w:p>
    <w:p w14:paraId="1AD1442A">
      <w:pPr>
        <w:adjustRightInd w:val="0"/>
        <w:snapToGrid w:val="0"/>
        <w:spacing w:line="360" w:lineRule="auto"/>
        <w:ind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乙方履约延误</w:t>
      </w:r>
    </w:p>
    <w:p w14:paraId="6DC8671D">
      <w:pPr>
        <w:adjustRightInd w:val="0"/>
        <w:snapToGrid w:val="0"/>
        <w:spacing w:line="360" w:lineRule="auto"/>
        <w:ind w:firstLine="720" w:firstLineChars="3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2-1、如乙方事先未征得甲方同意并得到甲方的谅解而单方面延迟交付报告，将按违约终止合同。</w:t>
      </w:r>
    </w:p>
    <w:p w14:paraId="55CEFEF6">
      <w:pPr>
        <w:adjustRightInd w:val="0"/>
        <w:snapToGrid w:val="0"/>
        <w:spacing w:line="360" w:lineRule="auto"/>
        <w:ind w:firstLine="720" w:firstLineChars="3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2-2、在履行合同过程中，如果乙方遇到可能妨碍按时交付报告的情况，应及时以书面形式将拖延的事实，可能拖延的期限和理由通知甲方。甲方在收到乙方通知后，应尽快对情况进行评价，并确定是否通过修改合同，酌情延长交付时间或对乙方加收误期赔偿金。每延误一周的赔偿费按未提供服务的服务费用的百分之一（1%）计收，直至交付报告为止。误期赔偿费的最高限额为合同价格的百分之五（5%）。一旦达到误期赔偿费的最高限额，甲方可终止合同。</w:t>
      </w:r>
    </w:p>
    <w:p w14:paraId="3E4157CE">
      <w:pPr>
        <w:adjustRightInd w:val="0"/>
        <w:snapToGrid w:val="0"/>
        <w:spacing w:line="360" w:lineRule="auto"/>
        <w:ind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3</w:t>
      </w:r>
      <w:r>
        <w:rPr>
          <w:rFonts w:hint="eastAsia" w:asciiTheme="minorEastAsia" w:hAnsi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违约终止合同：未按合同要求提供服务或质量不能满足技术要求，甲方会同监督机构有权终止合同，对乙方违约行为进行追究，同时按政府采购法的有关规定进行相应的处罚。</w:t>
      </w:r>
    </w:p>
    <w:p w14:paraId="2186BF98">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（一）甲方应当履行合同中约定的义务，如有违约则应当承担违约责任，赔偿对乙方造成的损失。</w:t>
      </w:r>
    </w:p>
    <w:p w14:paraId="1561D90A">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（二）乙方应当履行合同中约定的义务，如有违约则应当承担违约责任，赔偿对甲方造成的损失。</w:t>
      </w:r>
    </w:p>
    <w:p w14:paraId="7E8DCA77">
      <w:pPr>
        <w:spacing w:line="360" w:lineRule="auto"/>
        <w:ind w:firstLine="480" w:firstLineChars="2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（三）任何一方对另一方的赔偿，仅限于因违约所造成的可以合理预见的损失，而不牵连其它方面。</w:t>
      </w:r>
    </w:p>
    <w:p w14:paraId="1AE91287">
      <w:pPr>
        <w:adjustRightInd w:val="0"/>
        <w:snapToGrid w:val="0"/>
        <w:spacing w:line="360" w:lineRule="auto"/>
        <w:ind w:firstLine="482" w:firstLineChars="200"/>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十</w:t>
      </w:r>
      <w:r>
        <w:rPr>
          <w:rFonts w:hint="eastAsia" w:asciiTheme="minorEastAsia" w:hAnsiTheme="minorEastAsia" w:cstheme="minorEastAsia"/>
          <w:b/>
          <w:color w:val="auto"/>
          <w:sz w:val="24"/>
          <w:szCs w:val="24"/>
          <w:lang w:val="en-US" w:eastAsia="zh-CN"/>
        </w:rPr>
        <w:t>二</w:t>
      </w:r>
      <w:r>
        <w:rPr>
          <w:rFonts w:hint="eastAsia" w:asciiTheme="minorEastAsia" w:hAnsiTheme="minorEastAsia" w:eastAsiaTheme="minorEastAsia" w:cstheme="minorEastAsia"/>
          <w:b/>
          <w:color w:val="auto"/>
          <w:sz w:val="24"/>
          <w:szCs w:val="24"/>
        </w:rPr>
        <w:t>、争议的解决</w:t>
      </w:r>
    </w:p>
    <w:p w14:paraId="5D1957AF">
      <w:pPr>
        <w:adjustRightInd w:val="0"/>
        <w:snapToGrid w:val="0"/>
        <w:spacing w:line="360" w:lineRule="auto"/>
        <w:ind w:firstLine="645"/>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本合同发生争议，由当事人双方协商解决；协商或调解未果时，可向采购人所在地人民法院提请诉讼。</w:t>
      </w:r>
    </w:p>
    <w:p w14:paraId="7C583B31">
      <w:pPr>
        <w:widowControl/>
        <w:autoSpaceDE w:val="0"/>
        <w:autoSpaceDN w:val="0"/>
        <w:snapToGrid w:val="0"/>
        <w:spacing w:line="360" w:lineRule="auto"/>
        <w:ind w:right="893" w:firstLine="472" w:firstLineChars="196"/>
        <w:textAlignment w:val="bottom"/>
        <w:rPr>
          <w:rFonts w:hint="eastAsia" w:asciiTheme="minorEastAsia" w:hAnsiTheme="minorEastAsia" w:eastAsiaTheme="minorEastAsia" w:cstheme="minorEastAsia"/>
          <w:b/>
          <w:color w:val="auto"/>
          <w:kern w:val="0"/>
          <w:sz w:val="24"/>
          <w:szCs w:val="24"/>
        </w:rPr>
      </w:pPr>
      <w:r>
        <w:rPr>
          <w:rFonts w:hint="eastAsia" w:asciiTheme="minorEastAsia" w:hAnsiTheme="minorEastAsia" w:eastAsiaTheme="minorEastAsia" w:cstheme="minorEastAsia"/>
          <w:b/>
          <w:color w:val="auto"/>
          <w:kern w:val="0"/>
          <w:sz w:val="24"/>
          <w:szCs w:val="24"/>
        </w:rPr>
        <w:t>十</w:t>
      </w:r>
      <w:r>
        <w:rPr>
          <w:rFonts w:hint="eastAsia" w:asciiTheme="minorEastAsia" w:hAnsiTheme="minorEastAsia" w:cstheme="minorEastAsia"/>
          <w:b/>
          <w:color w:val="auto"/>
          <w:kern w:val="0"/>
          <w:sz w:val="24"/>
          <w:szCs w:val="24"/>
          <w:lang w:val="en-US" w:eastAsia="zh-CN"/>
        </w:rPr>
        <w:t>三</w:t>
      </w:r>
      <w:r>
        <w:rPr>
          <w:rFonts w:hint="eastAsia" w:asciiTheme="minorEastAsia" w:hAnsiTheme="minorEastAsia" w:eastAsiaTheme="minorEastAsia" w:cstheme="minorEastAsia"/>
          <w:b/>
          <w:color w:val="auto"/>
          <w:kern w:val="0"/>
          <w:sz w:val="24"/>
          <w:szCs w:val="24"/>
        </w:rPr>
        <w:t>、合同生效及其它</w:t>
      </w:r>
    </w:p>
    <w:p w14:paraId="2F7CEDBF">
      <w:pPr>
        <w:widowControl/>
        <w:autoSpaceDE w:val="0"/>
        <w:autoSpaceDN w:val="0"/>
        <w:snapToGrid w:val="0"/>
        <w:spacing w:line="360" w:lineRule="auto"/>
        <w:ind w:right="-110" w:firstLine="480" w:firstLineChars="200"/>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1</w:t>
      </w:r>
      <w:r>
        <w:rPr>
          <w:rFonts w:hint="eastAsia" w:asciiTheme="minorEastAsia" w:hAnsiTheme="minorEastAsia" w:cstheme="minorEastAsia"/>
          <w:color w:val="auto"/>
          <w:kern w:val="0"/>
          <w:sz w:val="24"/>
          <w:szCs w:val="24"/>
          <w:lang w:val="en-US" w:eastAsia="zh-CN"/>
        </w:rPr>
        <w:t>.</w:t>
      </w:r>
      <w:r>
        <w:rPr>
          <w:rFonts w:hint="eastAsia" w:asciiTheme="minorEastAsia" w:hAnsiTheme="minorEastAsia" w:eastAsiaTheme="minorEastAsia" w:cstheme="minorEastAsia"/>
          <w:color w:val="auto"/>
          <w:kern w:val="0"/>
          <w:sz w:val="24"/>
          <w:szCs w:val="24"/>
        </w:rPr>
        <w:t>合同未尽事宜、由甲、乙双方协商，作为合同补充，与原合同具有同等法律效力。</w:t>
      </w:r>
    </w:p>
    <w:p w14:paraId="174D6965">
      <w:pPr>
        <w:widowControl/>
        <w:tabs>
          <w:tab w:val="left" w:pos="8391"/>
        </w:tabs>
        <w:autoSpaceDE w:val="0"/>
        <w:autoSpaceDN w:val="0"/>
        <w:snapToGrid w:val="0"/>
        <w:spacing w:line="360" w:lineRule="auto"/>
        <w:ind w:right="-69" w:firstLine="480" w:firstLineChars="200"/>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2</w:t>
      </w:r>
      <w:r>
        <w:rPr>
          <w:rFonts w:hint="eastAsia" w:asciiTheme="minorEastAsia" w:hAnsiTheme="minorEastAsia" w:cstheme="minorEastAsia"/>
          <w:color w:val="auto"/>
          <w:kern w:val="0"/>
          <w:sz w:val="24"/>
          <w:szCs w:val="24"/>
          <w:lang w:val="en-US" w:eastAsia="zh-CN"/>
        </w:rPr>
        <w:t>.</w:t>
      </w:r>
      <w:r>
        <w:rPr>
          <w:rFonts w:hint="eastAsia" w:asciiTheme="minorEastAsia" w:hAnsiTheme="minorEastAsia" w:eastAsiaTheme="minorEastAsia" w:cstheme="minorEastAsia"/>
          <w:color w:val="auto"/>
          <w:kern w:val="0"/>
          <w:sz w:val="24"/>
          <w:szCs w:val="24"/>
        </w:rPr>
        <w:t>本合同正本一式</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rPr>
        <w:t>份，甲方、乙方双方分别执</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cstheme="minorEastAsia"/>
          <w:color w:val="auto"/>
          <w:kern w:val="0"/>
          <w:sz w:val="24"/>
          <w:szCs w:val="24"/>
          <w:u w:val="single"/>
          <w:lang w:val="en-US" w:eastAsia="zh-CN"/>
        </w:rPr>
        <w:t xml:space="preserve"> </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rPr>
        <w:t>份。</w:t>
      </w:r>
    </w:p>
    <w:p w14:paraId="6F703342">
      <w:pPr>
        <w:widowControl/>
        <w:tabs>
          <w:tab w:val="left" w:pos="8391"/>
        </w:tabs>
        <w:autoSpaceDE w:val="0"/>
        <w:autoSpaceDN w:val="0"/>
        <w:snapToGrid w:val="0"/>
        <w:spacing w:line="360" w:lineRule="auto"/>
        <w:ind w:right="-69" w:firstLine="480" w:firstLineChars="200"/>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3</w:t>
      </w:r>
      <w:r>
        <w:rPr>
          <w:rFonts w:hint="eastAsia" w:asciiTheme="minorEastAsia" w:hAnsiTheme="minorEastAsia" w:cstheme="minorEastAsia"/>
          <w:color w:val="auto"/>
          <w:kern w:val="0"/>
          <w:sz w:val="24"/>
          <w:szCs w:val="24"/>
          <w:lang w:val="en-US" w:eastAsia="zh-CN"/>
        </w:rPr>
        <w:t>.</w:t>
      </w:r>
      <w:r>
        <w:rPr>
          <w:rFonts w:hint="eastAsia" w:asciiTheme="minorEastAsia" w:hAnsiTheme="minorEastAsia" w:eastAsiaTheme="minorEastAsia" w:cstheme="minorEastAsia"/>
          <w:color w:val="auto"/>
          <w:kern w:val="0"/>
          <w:sz w:val="24"/>
          <w:szCs w:val="24"/>
        </w:rPr>
        <w:t>合同经甲乙双方盖章、签字后生效，合同签订地点为</w:t>
      </w:r>
      <w:r>
        <w:rPr>
          <w:rFonts w:hint="eastAsia" w:asciiTheme="minorEastAsia" w:hAnsiTheme="minorEastAsia" w:eastAsiaTheme="minorEastAsia" w:cstheme="minorEastAsia"/>
          <w:color w:val="auto"/>
          <w:kern w:val="0"/>
          <w:sz w:val="24"/>
          <w:szCs w:val="24"/>
          <w:u w:val="single"/>
        </w:rPr>
        <w:t xml:space="preserve">   </w:t>
      </w:r>
      <w:r>
        <w:rPr>
          <w:rFonts w:hint="eastAsia" w:asciiTheme="minorEastAsia" w:hAnsiTheme="minorEastAsia" w:eastAsiaTheme="minorEastAsia" w:cstheme="minorEastAsia"/>
          <w:color w:val="auto"/>
          <w:kern w:val="0"/>
          <w:sz w:val="24"/>
          <w:szCs w:val="24"/>
        </w:rPr>
        <w:t>。</w:t>
      </w:r>
    </w:p>
    <w:p w14:paraId="6AF70B50">
      <w:pPr>
        <w:widowControl/>
        <w:tabs>
          <w:tab w:val="left" w:pos="8391"/>
        </w:tabs>
        <w:autoSpaceDE w:val="0"/>
        <w:autoSpaceDN w:val="0"/>
        <w:snapToGrid w:val="0"/>
        <w:spacing w:line="360" w:lineRule="auto"/>
        <w:ind w:right="-69" w:firstLine="480" w:firstLineChars="200"/>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4</w:t>
      </w:r>
      <w:r>
        <w:rPr>
          <w:rFonts w:hint="eastAsia" w:asciiTheme="minorEastAsia" w:hAnsiTheme="minorEastAsia" w:cstheme="minorEastAsia"/>
          <w:color w:val="auto"/>
          <w:kern w:val="0"/>
          <w:sz w:val="24"/>
          <w:szCs w:val="24"/>
          <w:lang w:val="en-US" w:eastAsia="zh-CN"/>
        </w:rPr>
        <w:t>.</w:t>
      </w:r>
      <w:r>
        <w:rPr>
          <w:rFonts w:hint="eastAsia" w:asciiTheme="minorEastAsia" w:hAnsiTheme="minorEastAsia" w:eastAsiaTheme="minorEastAsia" w:cstheme="minorEastAsia"/>
          <w:color w:val="auto"/>
          <w:kern w:val="0"/>
          <w:sz w:val="24"/>
          <w:szCs w:val="24"/>
        </w:rPr>
        <w:t>生效时间：       年  月  日至       年  月  日</w:t>
      </w:r>
    </w:p>
    <w:p w14:paraId="0AE41262">
      <w:pPr>
        <w:pStyle w:val="6"/>
        <w:rPr>
          <w:rFonts w:hint="eastAsia" w:asciiTheme="minorEastAsia" w:hAnsiTheme="minorEastAsia" w:eastAsiaTheme="minorEastAsia" w:cstheme="minorEastAsia"/>
          <w:color w:val="auto"/>
          <w:kern w:val="0"/>
          <w:sz w:val="24"/>
          <w:szCs w:val="24"/>
        </w:rPr>
      </w:pPr>
    </w:p>
    <w:p w14:paraId="220182A7">
      <w:pPr>
        <w:pStyle w:val="6"/>
        <w:rPr>
          <w:rFonts w:hint="eastAsia" w:asciiTheme="minorEastAsia" w:hAnsiTheme="minorEastAsia" w:eastAsiaTheme="minorEastAsia" w:cstheme="minorEastAsia"/>
          <w:color w:val="auto"/>
          <w:kern w:val="0"/>
          <w:sz w:val="24"/>
          <w:szCs w:val="24"/>
        </w:rPr>
      </w:pPr>
    </w:p>
    <w:p w14:paraId="34D0E972">
      <w:pPr>
        <w:pStyle w:val="6"/>
        <w:rPr>
          <w:rFonts w:hint="eastAsia" w:asciiTheme="minorEastAsia" w:hAnsiTheme="minorEastAsia" w:eastAsiaTheme="minorEastAsia" w:cstheme="minorEastAsia"/>
          <w:color w:val="auto"/>
          <w:kern w:val="0"/>
          <w:sz w:val="24"/>
          <w:szCs w:val="24"/>
        </w:rPr>
      </w:pPr>
    </w:p>
    <w:p w14:paraId="15D151A1">
      <w:pPr>
        <w:pStyle w:val="6"/>
        <w:rPr>
          <w:rFonts w:hint="eastAsia" w:asciiTheme="minorEastAsia" w:hAnsiTheme="minorEastAsia" w:eastAsiaTheme="minorEastAsia" w:cstheme="minorEastAsia"/>
          <w:color w:val="auto"/>
          <w:kern w:val="0"/>
          <w:sz w:val="24"/>
          <w:szCs w:val="24"/>
        </w:rPr>
      </w:pPr>
    </w:p>
    <w:p w14:paraId="09F30459">
      <w:pPr>
        <w:pStyle w:val="6"/>
        <w:rPr>
          <w:rFonts w:hint="eastAsia" w:asciiTheme="minorEastAsia" w:hAnsiTheme="minorEastAsia" w:eastAsiaTheme="minorEastAsia" w:cstheme="minorEastAsia"/>
          <w:color w:val="auto"/>
          <w:kern w:val="0"/>
          <w:sz w:val="24"/>
          <w:szCs w:val="24"/>
        </w:rPr>
      </w:pPr>
    </w:p>
    <w:tbl>
      <w:tblPr>
        <w:tblStyle w:val="9"/>
        <w:tblW w:w="8691" w:type="dxa"/>
        <w:jc w:val="center"/>
        <w:tblLayout w:type="fixed"/>
        <w:tblCellMar>
          <w:top w:w="0" w:type="dxa"/>
          <w:left w:w="108" w:type="dxa"/>
          <w:bottom w:w="0" w:type="dxa"/>
          <w:right w:w="108" w:type="dxa"/>
        </w:tblCellMar>
      </w:tblPr>
      <w:tblGrid>
        <w:gridCol w:w="4705"/>
        <w:gridCol w:w="3986"/>
      </w:tblGrid>
      <w:tr w14:paraId="5659025E">
        <w:tblPrEx>
          <w:tblCellMar>
            <w:top w:w="0" w:type="dxa"/>
            <w:left w:w="108" w:type="dxa"/>
            <w:bottom w:w="0" w:type="dxa"/>
            <w:right w:w="108" w:type="dxa"/>
          </w:tblCellMar>
        </w:tblPrEx>
        <w:trPr>
          <w:jc w:val="center"/>
        </w:trPr>
        <w:tc>
          <w:tcPr>
            <w:tcW w:w="4705" w:type="dxa"/>
            <w:noWrap w:val="0"/>
            <w:vAlign w:val="top"/>
          </w:tcPr>
          <w:p w14:paraId="2D32E819">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甲方名称</w:t>
            </w:r>
            <w:r>
              <w:rPr>
                <w:rFonts w:hint="eastAsia" w:asciiTheme="minorEastAsia" w:hAnsiTheme="minorEastAsia" w:eastAsiaTheme="minorEastAsia" w:cstheme="minorEastAsia"/>
                <w:color w:val="auto"/>
                <w:spacing w:val="-20"/>
                <w:kern w:val="0"/>
                <w:sz w:val="24"/>
                <w:szCs w:val="24"/>
              </w:rPr>
              <w:t>（盖章）</w:t>
            </w:r>
            <w:r>
              <w:rPr>
                <w:rFonts w:hint="eastAsia" w:asciiTheme="minorEastAsia" w:hAnsiTheme="minorEastAsia" w:eastAsiaTheme="minorEastAsia" w:cstheme="minorEastAsia"/>
                <w:color w:val="auto"/>
                <w:kern w:val="0"/>
                <w:sz w:val="24"/>
                <w:szCs w:val="24"/>
              </w:rPr>
              <w:t>:</w:t>
            </w:r>
          </w:p>
          <w:p w14:paraId="0897ABEE">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地址：</w:t>
            </w:r>
          </w:p>
          <w:p w14:paraId="30DE81BA">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eastAsia="zh-CN"/>
              </w:rPr>
              <w:t>法定</w:t>
            </w:r>
            <w:r>
              <w:rPr>
                <w:rFonts w:hint="eastAsia" w:asciiTheme="minorEastAsia" w:hAnsiTheme="minorEastAsia" w:eastAsiaTheme="minorEastAsia" w:cstheme="minorEastAsia"/>
                <w:color w:val="auto"/>
                <w:kern w:val="0"/>
                <w:sz w:val="24"/>
                <w:szCs w:val="24"/>
              </w:rPr>
              <w:t>代表</w:t>
            </w:r>
          </w:p>
          <w:p w14:paraId="3BB4A305">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eastAsia="zh-CN"/>
              </w:rPr>
              <w:t>或委托代理人</w:t>
            </w:r>
            <w:r>
              <w:rPr>
                <w:rFonts w:hint="eastAsia" w:asciiTheme="minorEastAsia" w:hAnsiTheme="minorEastAsia" w:eastAsiaTheme="minorEastAsia" w:cstheme="minorEastAsia"/>
                <w:color w:val="auto"/>
                <w:kern w:val="0"/>
                <w:sz w:val="24"/>
                <w:szCs w:val="24"/>
              </w:rPr>
              <w:t>（签字</w:t>
            </w:r>
            <w:r>
              <w:rPr>
                <w:rFonts w:hint="eastAsia" w:asciiTheme="minorEastAsia" w:hAnsiTheme="minorEastAsia" w:eastAsiaTheme="minorEastAsia" w:cstheme="minorEastAsia"/>
                <w:color w:val="auto"/>
                <w:kern w:val="0"/>
                <w:sz w:val="24"/>
                <w:szCs w:val="24"/>
                <w:lang w:eastAsia="zh-CN"/>
              </w:rPr>
              <w:t>或盖章</w:t>
            </w:r>
            <w:r>
              <w:rPr>
                <w:rFonts w:hint="eastAsia" w:asciiTheme="minorEastAsia" w:hAnsiTheme="minorEastAsia" w:eastAsiaTheme="minorEastAsia" w:cstheme="minorEastAsia"/>
                <w:color w:val="auto"/>
                <w:kern w:val="0"/>
                <w:sz w:val="24"/>
                <w:szCs w:val="24"/>
              </w:rPr>
              <w:t>）：</w:t>
            </w:r>
          </w:p>
          <w:p w14:paraId="6C83D14F">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电话：</w:t>
            </w:r>
          </w:p>
          <w:p w14:paraId="668E7037">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开户银行：</w:t>
            </w:r>
          </w:p>
          <w:p w14:paraId="7C52116E">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帐号：</w:t>
            </w:r>
          </w:p>
        </w:tc>
        <w:tc>
          <w:tcPr>
            <w:tcW w:w="3986" w:type="dxa"/>
            <w:noWrap w:val="0"/>
            <w:vAlign w:val="top"/>
          </w:tcPr>
          <w:p w14:paraId="16A4B325">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乙方名称</w:t>
            </w:r>
            <w:r>
              <w:rPr>
                <w:rFonts w:hint="eastAsia" w:asciiTheme="minorEastAsia" w:hAnsiTheme="minorEastAsia" w:eastAsiaTheme="minorEastAsia" w:cstheme="minorEastAsia"/>
                <w:color w:val="auto"/>
                <w:spacing w:val="-20"/>
                <w:kern w:val="0"/>
                <w:sz w:val="24"/>
                <w:szCs w:val="24"/>
              </w:rPr>
              <w:t>（盖章）</w:t>
            </w:r>
            <w:r>
              <w:rPr>
                <w:rFonts w:hint="eastAsia" w:asciiTheme="minorEastAsia" w:hAnsiTheme="minorEastAsia" w:eastAsiaTheme="minorEastAsia" w:cstheme="minorEastAsia"/>
                <w:color w:val="auto"/>
                <w:kern w:val="0"/>
                <w:sz w:val="24"/>
                <w:szCs w:val="24"/>
              </w:rPr>
              <w:t>:</w:t>
            </w:r>
          </w:p>
          <w:p w14:paraId="6BCA43B7">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地址：</w:t>
            </w:r>
          </w:p>
          <w:p w14:paraId="234F6574">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eastAsia="zh-CN"/>
              </w:rPr>
              <w:t>法定</w:t>
            </w:r>
            <w:r>
              <w:rPr>
                <w:rFonts w:hint="eastAsia" w:asciiTheme="minorEastAsia" w:hAnsiTheme="minorEastAsia" w:eastAsiaTheme="minorEastAsia" w:cstheme="minorEastAsia"/>
                <w:color w:val="auto"/>
                <w:kern w:val="0"/>
                <w:sz w:val="24"/>
                <w:szCs w:val="24"/>
              </w:rPr>
              <w:t>代表</w:t>
            </w:r>
          </w:p>
          <w:p w14:paraId="72AE764F">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lang w:eastAsia="zh-CN"/>
              </w:rPr>
              <w:t>或委托代理人</w:t>
            </w:r>
            <w:r>
              <w:rPr>
                <w:rFonts w:hint="eastAsia" w:asciiTheme="minorEastAsia" w:hAnsiTheme="minorEastAsia" w:eastAsiaTheme="minorEastAsia" w:cstheme="minorEastAsia"/>
                <w:color w:val="auto"/>
                <w:kern w:val="0"/>
                <w:sz w:val="24"/>
                <w:szCs w:val="24"/>
              </w:rPr>
              <w:t>（签字</w:t>
            </w:r>
            <w:r>
              <w:rPr>
                <w:rFonts w:hint="eastAsia" w:asciiTheme="minorEastAsia" w:hAnsiTheme="minorEastAsia" w:eastAsiaTheme="minorEastAsia" w:cstheme="minorEastAsia"/>
                <w:color w:val="auto"/>
                <w:kern w:val="0"/>
                <w:sz w:val="24"/>
                <w:szCs w:val="24"/>
                <w:lang w:eastAsia="zh-CN"/>
              </w:rPr>
              <w:t>或盖章</w:t>
            </w:r>
            <w:r>
              <w:rPr>
                <w:rFonts w:hint="eastAsia" w:asciiTheme="minorEastAsia" w:hAnsiTheme="minorEastAsia" w:eastAsiaTheme="minorEastAsia" w:cstheme="minorEastAsia"/>
                <w:color w:val="auto"/>
                <w:kern w:val="0"/>
                <w:sz w:val="24"/>
                <w:szCs w:val="24"/>
              </w:rPr>
              <w:t>）：</w:t>
            </w:r>
          </w:p>
          <w:p w14:paraId="5E4A1A17">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电话：</w:t>
            </w:r>
          </w:p>
          <w:p w14:paraId="23F7516D">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开户银行：</w:t>
            </w:r>
          </w:p>
          <w:p w14:paraId="2C062415">
            <w:pPr>
              <w:widowControl/>
              <w:autoSpaceDE w:val="0"/>
              <w:autoSpaceDN w:val="0"/>
              <w:snapToGrid w:val="0"/>
              <w:spacing w:line="360" w:lineRule="auto"/>
              <w:ind w:right="-154"/>
              <w:textAlignment w:val="bottom"/>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帐号：</w:t>
            </w:r>
          </w:p>
        </w:tc>
      </w:tr>
    </w:tbl>
    <w:p w14:paraId="33077B8B"/>
    <w:p w14:paraId="62B77386"/>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AC47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E9D390">
                          <w:pPr>
                            <w:pStyle w:val="6"/>
                          </w:pPr>
                          <w:r>
                            <w:fldChar w:fldCharType="begin"/>
                          </w:r>
                          <w:r>
                            <w:instrText xml:space="preserve"> PAGE  \* MERGEFORMAT </w:instrText>
                          </w:r>
                          <w:r>
                            <w:fldChar w:fldCharType="separate"/>
                          </w:r>
                          <w:r>
                            <w:t>71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6E9D390">
                    <w:pPr>
                      <w:pStyle w:val="6"/>
                    </w:pPr>
                    <w:r>
                      <w:fldChar w:fldCharType="begin"/>
                    </w:r>
                    <w:r>
                      <w:instrText xml:space="preserve"> PAGE  \* MERGEFORMAT </w:instrText>
                    </w:r>
                    <w:r>
                      <w:fldChar w:fldCharType="separate"/>
                    </w:r>
                    <w:r>
                      <w:t>71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90CB8"/>
    <w:rsid w:val="0BFC5617"/>
    <w:rsid w:val="172F4D26"/>
    <w:rsid w:val="2B267255"/>
    <w:rsid w:val="2D031F0A"/>
    <w:rsid w:val="34A71D15"/>
    <w:rsid w:val="35690D78"/>
    <w:rsid w:val="3B4678FF"/>
    <w:rsid w:val="4057639D"/>
    <w:rsid w:val="41E2613A"/>
    <w:rsid w:val="44877728"/>
    <w:rsid w:val="45244CBC"/>
    <w:rsid w:val="4B8D7117"/>
    <w:rsid w:val="5CA352AA"/>
    <w:rsid w:val="66E31E89"/>
    <w:rsid w:val="679C23B5"/>
    <w:rsid w:val="6DE210EC"/>
    <w:rsid w:val="6FEA748C"/>
    <w:rsid w:val="77A17922"/>
    <w:rsid w:val="7D782ED3"/>
    <w:rsid w:val="7E682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pPr>
      <w:widowControl/>
      <w:spacing w:before="100" w:beforeLines="100" w:after="100" w:afterLines="100"/>
      <w:jc w:val="left"/>
    </w:pPr>
    <w:rPr>
      <w:rFonts w:ascii="Calibri" w:hAnsi="Calibri" w:eastAsia="宋体" w:cs="Times New Roman"/>
      <w:kern w:val="32"/>
      <w:sz w:val="32"/>
      <w:szCs w:val="24"/>
    </w:rPr>
  </w:style>
  <w:style w:type="paragraph" w:styleId="3">
    <w:name w:val="Normal Indent"/>
    <w:basedOn w:val="1"/>
    <w:qFormat/>
    <w:uiPriority w:val="0"/>
    <w:pPr>
      <w:ind w:firstLine="200" w:firstLineChars="200"/>
    </w:pPr>
  </w:style>
  <w:style w:type="paragraph" w:styleId="4">
    <w:name w:val="annotation text"/>
    <w:basedOn w:val="1"/>
    <w:qFormat/>
    <w:uiPriority w:val="0"/>
    <w:pPr>
      <w:jc w:val="left"/>
    </w:pPr>
  </w:style>
  <w:style w:type="paragraph" w:styleId="5">
    <w:name w:val="Body Text"/>
    <w:basedOn w:val="1"/>
    <w:qFormat/>
    <w:uiPriority w:val="0"/>
    <w:pPr>
      <w:spacing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Normal (Web)"/>
    <w:basedOn w:val="1"/>
    <w:qFormat/>
    <w:uiPriority w:val="0"/>
    <w:pPr>
      <w:jc w:val="left"/>
    </w:pPr>
    <w:rPr>
      <w:rFonts w:cs="Times New Roman"/>
      <w:kern w:val="0"/>
      <w:sz w:val="24"/>
    </w:rPr>
  </w:style>
  <w:style w:type="paragraph" w:styleId="8">
    <w:name w:val="Body Text First Indent"/>
    <w:basedOn w:val="5"/>
    <w:qFormat/>
    <w:uiPriority w:val="0"/>
    <w:rPr>
      <w:rFonts w:hAnsi="宋体"/>
      <w:sz w:val="18"/>
      <w:szCs w:val="18"/>
    </w:rPr>
  </w:style>
  <w:style w:type="paragraph" w:customStyle="1" w:styleId="11">
    <w:name w:val="样式 首行缩进:  2 字符"/>
    <w:basedOn w:val="1"/>
    <w:qFormat/>
    <w:uiPriority w:val="0"/>
    <w:pPr>
      <w:spacing w:line="400" w:lineRule="exact"/>
      <w:ind w:firstLine="200" w:firstLineChars="200"/>
    </w:pPr>
    <w:rPr>
      <w:rFonts w:cs="宋体"/>
      <w:sz w:val="24"/>
    </w:rPr>
  </w:style>
  <w:style w:type="paragraph" w:customStyle="1" w:styleId="12">
    <w:name w:val="List Paragraph"/>
    <w:basedOn w:val="1"/>
    <w:qFormat/>
    <w:uiPriority w:val="34"/>
    <w:pPr>
      <w:ind w:firstLine="420" w:firstLineChars="200"/>
    </w:pPr>
    <w:rPr>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3829</Words>
  <Characters>3892</Characters>
  <Lines>0</Lines>
  <Paragraphs>0</Paragraphs>
  <TotalTime>1</TotalTime>
  <ScaleCrop>false</ScaleCrop>
  <LinksUpToDate>false</LinksUpToDate>
  <CharactersWithSpaces>3977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2026-04-20T11:01:00Z</dcterms:created>
  <dc:creator>hua'wei</dc:creator>
  <cp:lastModifiedBy>WY</cp:lastModifiedBy>
  <dcterms:modified xsi:type="dcterms:W3CDTF">2026-07-07T09:14:35Z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eyJoZGlkIjoiYWNlZDgxNjAwZTA2NmQyZWM5YmEzZGY2MWNmYjliNTEiLCJ1c2VySWQiOiIzMTg3MTM2MDUifQ==</vt:lpwstr>
  </property>
  <property fmtid="{D5CDD505-2E9C-101B-9397-08002B2CF9AE}" pid="4" name="ICV">
    <vt:lpwstr>9C973C5C73464FA38473746D07C34CF9_12</vt:lpwstr>
  </property>
</Properties>
</file>