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93653">
      <w:pPr>
        <w:numPr>
          <w:ilvl w:val="0"/>
          <w:numId w:val="1"/>
        </w:numPr>
        <w:jc w:val="center"/>
        <w:rPr>
          <w:rFonts w:hint="eastAsia" w:ascii="宋体" w:hAnsi="宋体" w:eastAsia="宋体" w:cs="宋体"/>
          <w:b/>
          <w:bCs/>
          <w:i w:val="0"/>
          <w:iCs w:val="0"/>
          <w:sz w:val="28"/>
          <w:szCs w:val="28"/>
          <w:lang w:val="en-US" w:eastAsia="zh-CN"/>
        </w:rPr>
      </w:pPr>
      <w:r>
        <w:rPr>
          <w:rFonts w:hint="eastAsia" w:ascii="宋体" w:hAnsi="宋体" w:eastAsia="宋体" w:cs="宋体"/>
          <w:b/>
          <w:bCs/>
          <w:i w:val="0"/>
          <w:iCs w:val="0"/>
          <w:sz w:val="28"/>
          <w:szCs w:val="28"/>
          <w:lang w:eastAsia="zh-CN"/>
        </w:rPr>
        <w:t>市管桥梁结构检测</w:t>
      </w:r>
      <w:r>
        <w:rPr>
          <w:rFonts w:hint="eastAsia" w:ascii="宋体" w:hAnsi="宋体" w:eastAsia="宋体" w:cs="宋体"/>
          <w:b/>
          <w:bCs/>
          <w:i w:val="0"/>
          <w:iCs w:val="0"/>
          <w:sz w:val="28"/>
          <w:szCs w:val="28"/>
          <w:lang w:val="en-US" w:eastAsia="zh-CN"/>
        </w:rPr>
        <w:t>招标内容及要求</w:t>
      </w:r>
    </w:p>
    <w:p w14:paraId="3FA9AC18">
      <w:pPr>
        <w:pStyle w:val="3"/>
        <w:numPr>
          <w:ilvl w:val="0"/>
          <w:numId w:val="0"/>
        </w:numPr>
        <w:rPr>
          <w:rFonts w:hint="default"/>
          <w:lang w:val="en-US" w:eastAsia="zh-CN"/>
        </w:rPr>
      </w:pPr>
    </w:p>
    <w:p w14:paraId="1EC65B89">
      <w:pPr>
        <w:bidi w:val="0"/>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一、检测范围和内容：</w:t>
      </w:r>
    </w:p>
    <w:p w14:paraId="3432CB24">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本项目检测包括22座桥梁隧道的结构定期检测评估，特殊检测，抗震检测评估，广运大桥服务期内监测</w:t>
      </w:r>
      <w:r>
        <w:rPr>
          <w:rFonts w:hint="eastAsia" w:ascii="宋体" w:hAnsi="宋体" w:eastAsia="宋体" w:cs="宋体"/>
          <w:color w:val="000000" w:themeColor="text1"/>
          <w:kern w:val="0"/>
          <w:sz w:val="24"/>
          <w:szCs w:val="24"/>
          <w:lang w:eastAsia="zh-CN"/>
          <w14:textFill>
            <w14:solidFill>
              <w14:schemeClr w14:val="tx1"/>
            </w14:solidFill>
          </w14:textFill>
        </w:rPr>
        <w:t>。开展</w:t>
      </w:r>
      <w:r>
        <w:rPr>
          <w:rFonts w:hint="eastAsia" w:ascii="宋体" w:hAnsi="宋体" w:eastAsia="宋体" w:cs="宋体"/>
          <w:color w:val="000000" w:themeColor="text1"/>
          <w:kern w:val="0"/>
          <w:sz w:val="24"/>
          <w:szCs w:val="24"/>
          <w14:textFill>
            <w14:solidFill>
              <w14:schemeClr w14:val="tx1"/>
            </w14:solidFill>
          </w14:textFill>
        </w:rPr>
        <w:t>桥梁安全</w:t>
      </w:r>
      <w:r>
        <w:rPr>
          <w:rFonts w:hint="eastAsia" w:ascii="宋体" w:hAnsi="宋体" w:eastAsia="宋体" w:cs="宋体"/>
          <w:color w:val="000000" w:themeColor="text1"/>
          <w:kern w:val="0"/>
          <w:sz w:val="24"/>
          <w:szCs w:val="24"/>
          <w:lang w:eastAsia="zh-CN"/>
          <w14:textFill>
            <w14:solidFill>
              <w14:schemeClr w14:val="tx1"/>
            </w14:solidFill>
          </w14:textFill>
        </w:rPr>
        <w:t>隐患</w:t>
      </w:r>
      <w:r>
        <w:rPr>
          <w:rFonts w:hint="eastAsia" w:ascii="宋体" w:hAnsi="宋体" w:eastAsia="宋体" w:cs="宋体"/>
          <w:color w:val="000000" w:themeColor="text1"/>
          <w:kern w:val="0"/>
          <w:sz w:val="24"/>
          <w:szCs w:val="24"/>
          <w14:textFill>
            <w14:solidFill>
              <w14:schemeClr w14:val="tx1"/>
            </w14:solidFill>
          </w14:textFill>
        </w:rPr>
        <w:t>排查</w:t>
      </w:r>
      <w:r>
        <w:rPr>
          <w:rFonts w:hint="eastAsia" w:ascii="宋体" w:hAnsi="宋体" w:eastAsia="宋体" w:cs="宋体"/>
          <w:color w:val="000000" w:themeColor="text1"/>
          <w:kern w:val="0"/>
          <w:sz w:val="24"/>
          <w:szCs w:val="24"/>
          <w:lang w:eastAsia="zh-CN"/>
          <w14:textFill>
            <w14:solidFill>
              <w14:schemeClr w14:val="tx1"/>
            </w14:solidFill>
          </w14:textFill>
        </w:rPr>
        <w:t>及</w:t>
      </w:r>
      <w:r>
        <w:rPr>
          <w:rFonts w:hint="eastAsia" w:ascii="宋体" w:hAnsi="宋体" w:eastAsia="宋体" w:cs="宋体"/>
          <w:color w:val="000000" w:themeColor="text1"/>
          <w:kern w:val="0"/>
          <w:sz w:val="24"/>
          <w:szCs w:val="24"/>
          <w14:textFill>
            <w14:solidFill>
              <w14:schemeClr w14:val="tx1"/>
            </w14:solidFill>
          </w14:textFill>
        </w:rPr>
        <w:t>应急检测和技术服务等。</w:t>
      </w:r>
      <w:r>
        <w:rPr>
          <w:rFonts w:hint="eastAsia" w:ascii="宋体" w:hAnsi="宋体" w:eastAsia="宋体" w:cs="宋体"/>
          <w:color w:val="000000" w:themeColor="text1"/>
          <w:kern w:val="0"/>
          <w:sz w:val="24"/>
          <w:szCs w:val="24"/>
          <w:lang w:eastAsia="zh-CN"/>
          <w14:textFill>
            <w14:solidFill>
              <w14:schemeClr w14:val="tx1"/>
            </w14:solidFill>
          </w14:textFill>
        </w:rPr>
        <w:t>编制桥梁检测报告。</w:t>
      </w:r>
    </w:p>
    <w:tbl>
      <w:tblPr>
        <w:tblStyle w:val="5"/>
        <w:tblW w:w="493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56"/>
        <w:gridCol w:w="1879"/>
        <w:gridCol w:w="754"/>
        <w:gridCol w:w="1854"/>
        <w:gridCol w:w="796"/>
        <w:gridCol w:w="2376"/>
      </w:tblGrid>
      <w:tr w14:paraId="72D961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81" w:hRule="atLeast"/>
        </w:trPr>
        <w:tc>
          <w:tcPr>
            <w:tcW w:w="449" w:type="pct"/>
            <w:vAlign w:val="center"/>
          </w:tcPr>
          <w:p w14:paraId="7D47D42E">
            <w:pPr>
              <w:pStyle w:val="8"/>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序号</w:t>
            </w:r>
          </w:p>
        </w:tc>
        <w:tc>
          <w:tcPr>
            <w:tcW w:w="1116" w:type="pct"/>
            <w:vAlign w:val="center"/>
          </w:tcPr>
          <w:p w14:paraId="520EBF5B">
            <w:pPr>
              <w:pStyle w:val="8"/>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标的名称</w:t>
            </w:r>
          </w:p>
        </w:tc>
        <w:tc>
          <w:tcPr>
            <w:tcW w:w="448" w:type="pct"/>
            <w:vAlign w:val="center"/>
          </w:tcPr>
          <w:p w14:paraId="764914C9">
            <w:pPr>
              <w:pStyle w:val="8"/>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数量</w:t>
            </w:r>
          </w:p>
        </w:tc>
        <w:tc>
          <w:tcPr>
            <w:tcW w:w="1101" w:type="pct"/>
            <w:vAlign w:val="center"/>
          </w:tcPr>
          <w:p w14:paraId="34A99FF3">
            <w:pPr>
              <w:pStyle w:val="8"/>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标的金额 （元）</w:t>
            </w:r>
          </w:p>
        </w:tc>
        <w:tc>
          <w:tcPr>
            <w:tcW w:w="473" w:type="pct"/>
            <w:vAlign w:val="center"/>
          </w:tcPr>
          <w:p w14:paraId="70F23B4E">
            <w:pPr>
              <w:pStyle w:val="8"/>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计量单位</w:t>
            </w:r>
          </w:p>
        </w:tc>
        <w:tc>
          <w:tcPr>
            <w:tcW w:w="1410" w:type="pct"/>
            <w:vAlign w:val="center"/>
          </w:tcPr>
          <w:p w14:paraId="29BAAF56">
            <w:pPr>
              <w:pStyle w:val="8"/>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桥梁数量和概况</w:t>
            </w:r>
          </w:p>
        </w:tc>
      </w:tr>
      <w:tr w14:paraId="6974F0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28" w:hRule="atLeast"/>
        </w:trPr>
        <w:tc>
          <w:tcPr>
            <w:tcW w:w="449" w:type="pct"/>
            <w:vAlign w:val="center"/>
          </w:tcPr>
          <w:p w14:paraId="39BD767B">
            <w:pPr>
              <w:pStyle w:val="8"/>
              <w:jc w:val="center"/>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1</w:t>
            </w:r>
          </w:p>
        </w:tc>
        <w:tc>
          <w:tcPr>
            <w:tcW w:w="1116" w:type="pct"/>
            <w:vAlign w:val="center"/>
          </w:tcPr>
          <w:p w14:paraId="2A4AD23F">
            <w:pPr>
              <w:pStyle w:val="8"/>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市管桥梁结构检测</w:t>
            </w:r>
          </w:p>
        </w:tc>
        <w:tc>
          <w:tcPr>
            <w:tcW w:w="448" w:type="pct"/>
            <w:vAlign w:val="center"/>
          </w:tcPr>
          <w:p w14:paraId="25425251">
            <w:pPr>
              <w:pStyle w:val="8"/>
              <w:jc w:val="center"/>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1</w:t>
            </w:r>
          </w:p>
        </w:tc>
        <w:tc>
          <w:tcPr>
            <w:tcW w:w="1101" w:type="pct"/>
            <w:vAlign w:val="center"/>
          </w:tcPr>
          <w:p w14:paraId="0BA8A484">
            <w:pPr>
              <w:pStyle w:val="8"/>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1,016,000.00</w:t>
            </w:r>
          </w:p>
        </w:tc>
        <w:tc>
          <w:tcPr>
            <w:tcW w:w="473" w:type="pct"/>
            <w:vAlign w:val="center"/>
          </w:tcPr>
          <w:p w14:paraId="2D8664FF">
            <w:pPr>
              <w:pStyle w:val="8"/>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项</w:t>
            </w:r>
          </w:p>
        </w:tc>
        <w:tc>
          <w:tcPr>
            <w:tcW w:w="1410" w:type="pct"/>
            <w:vAlign w:val="center"/>
          </w:tcPr>
          <w:p w14:paraId="7EDFC609">
            <w:pPr>
              <w:pStyle w:val="8"/>
              <w:jc w:val="center"/>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广运大桥、太华立交等22座市管桥梁的结构检测</w:t>
            </w:r>
          </w:p>
        </w:tc>
      </w:tr>
    </w:tbl>
    <w:p w14:paraId="0F2B161F">
      <w:pPr>
        <w:numPr>
          <w:ilvl w:val="0"/>
          <w:numId w:val="0"/>
        </w:numPr>
        <w:bidi w:val="0"/>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二、技术及服务要求：</w:t>
      </w:r>
    </w:p>
    <w:p w14:paraId="296FD044">
      <w:pPr>
        <w:bidi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检测总体要求</w:t>
      </w:r>
    </w:p>
    <w:p w14:paraId="23A12753">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1、结构检测与特殊检测应严格按照《城市桥梁养护技术标准》（CJJ99-2017）要求进行，规范中未明确规定且在以下条目中未提及的项目或要求应征询甲方意见协商后决定。</w:t>
      </w:r>
    </w:p>
    <w:p w14:paraId="6345FC85">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结构检测对I类桥梁的评定：非特殊结构且不含匝道的桥梁直接进行评价（BCI评分），含匝道的立交或高架划分成多个单元（按匝道、主线方向划分）分别进行评分，根据每个单元面积（悬空部分投影面积）计算权重，加权进行总评。同时得出构件评分（最低）BSI。桥梁特殊结构段进行总体评价（合格或不合格）不进行打分。</w:t>
      </w:r>
    </w:p>
    <w:p w14:paraId="496DF581">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w:t>
      </w:r>
      <w:r>
        <w:rPr>
          <w:rFonts w:hint="eastAsia" w:ascii="宋体" w:hAnsi="宋体" w:eastAsia="宋体" w:cs="宋体"/>
          <w:color w:val="000000" w:themeColor="text1"/>
          <w:kern w:val="0"/>
          <w:sz w:val="24"/>
          <w:szCs w:val="24"/>
          <w:lang w:eastAsia="zh-CN"/>
          <w14:textFill>
            <w14:solidFill>
              <w14:schemeClr w14:val="tx1"/>
            </w14:solidFill>
          </w14:textFill>
        </w:rPr>
        <w:t>进行</w:t>
      </w:r>
      <w:r>
        <w:rPr>
          <w:rFonts w:hint="eastAsia" w:ascii="宋体" w:hAnsi="宋体" w:eastAsia="宋体" w:cs="宋体"/>
          <w:color w:val="000000" w:themeColor="text1"/>
          <w:kern w:val="0"/>
          <w:sz w:val="24"/>
          <w:szCs w:val="24"/>
          <w14:textFill>
            <w14:solidFill>
              <w14:schemeClr w14:val="tx1"/>
            </w14:solidFill>
          </w14:textFill>
        </w:rPr>
        <w:t>桥梁抗震能力检测和评估</w:t>
      </w: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14:textFill>
            <w14:solidFill>
              <w14:schemeClr w14:val="tx1"/>
            </w14:solidFill>
          </w14:textFill>
        </w:rPr>
        <w:t>应依据桥梁设计、竣工以及其他调查资料，结合此次结构检测，评定桥梁抗震能力。桥梁抗震性能评定主要根据《城市桥梁抗震设计规范》（CJJ166-2011）第7章抗震验算、第11章抗震措施的内容，按照现行规范要求，选取桥梁典型联跨对桥梁抗震设施及结构的抗震能力进行检算，是否满足规范要求，得出结论并提出加固建议。</w:t>
      </w:r>
    </w:p>
    <w:p w14:paraId="2CD39975">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4、桥梁承载力评定参照《公路桥梁承载能力检测评定规程》、《城市桥梁检测与评定技术规范》内容应包含结构承载力检算、动静载试验评定结论、措施建议等。</w:t>
      </w:r>
    </w:p>
    <w:p w14:paraId="7F27702D">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5、桥梁结构检测应提出相关桥梁新、旧规范的对比以及给出相关养护意见。</w:t>
      </w:r>
    </w:p>
    <w:p w14:paraId="1657D99B">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6、人行地下通道结构检测和隧道的定期检测及技术状况评定按照《城市桥梁养护技术标准》执行。</w:t>
      </w:r>
    </w:p>
    <w:p w14:paraId="1854E980">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7、检测完成后每座桥按检测项目内容应提交《结构检测评定报告》，进行荷载试验的还应提交《桥梁荷载试验评定报告》。</w:t>
      </w:r>
    </w:p>
    <w:p w14:paraId="1EC2FC18">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8、针对每座桥所处环境在检测工作开展前应制定合理的检测组织方案及交通疏导方案，或对已有组织方案进行修改，并将有关情况报请甲方批准。</w:t>
      </w:r>
    </w:p>
    <w:p w14:paraId="5604261A">
      <w:pPr>
        <w:keepNext w:val="0"/>
        <w:keepLines w:val="0"/>
        <w:pageBreakBefore w:val="0"/>
        <w:widowControl w:val="0"/>
        <w:numPr>
          <w:ilvl w:val="0"/>
          <w:numId w:val="0"/>
        </w:numPr>
        <w:kinsoku/>
        <w:wordWrap/>
        <w:overflowPunct/>
        <w:topLinePunct w:val="0"/>
        <w:autoSpaceDE/>
        <w:autoSpaceDN/>
        <w:bidi w:val="0"/>
        <w:adjustRightIn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000000" w:themeColor="text1"/>
          <w:kern w:val="0"/>
          <w:sz w:val="24"/>
          <w:szCs w:val="24"/>
          <w14:textFill>
            <w14:solidFill>
              <w14:schemeClr w14:val="tx1"/>
            </w14:solidFill>
          </w14:textFill>
        </w:rPr>
        <w:t>9、</w:t>
      </w:r>
      <w:r>
        <w:rPr>
          <w:rFonts w:hint="eastAsia" w:ascii="宋体" w:hAnsi="宋体" w:eastAsia="宋体" w:cs="宋体"/>
          <w:color w:val="auto"/>
          <w:sz w:val="24"/>
          <w:szCs w:val="24"/>
          <w:highlight w:val="none"/>
          <w:lang w:val="en-US" w:eastAsia="zh-CN"/>
        </w:rPr>
        <w:t>应急检测和技术服务。合同签订后一年内为全部服务期，服务期内采购人负责管辖的桥梁突发事件时，在接到采购人的通知后应在2小时内到场开展应急检测、分析评估等应急抢险工作。根据桥梁状况和采购人需求提供相关技术支持服务。</w:t>
      </w:r>
    </w:p>
    <w:p w14:paraId="74063E6D">
      <w:pPr>
        <w:pStyle w:val="3"/>
        <w:keepNext w:val="0"/>
        <w:keepLines w:val="0"/>
        <w:pageBreakBefore w:val="0"/>
        <w:kinsoku/>
        <w:wordWrap/>
        <w:overflowPunct/>
        <w:topLinePunct w:val="0"/>
        <w:bidi w:val="0"/>
        <w:adjustRightInd/>
        <w:spacing w:line="560" w:lineRule="exact"/>
        <w:ind w:right="28"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0</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auto"/>
          <w:sz w:val="24"/>
          <w:szCs w:val="24"/>
          <w:highlight w:val="none"/>
          <w:lang w:val="en-US" w:eastAsia="zh-CN"/>
        </w:rPr>
        <w:t>合同签订后一年内为全部服务期，</w:t>
      </w:r>
      <w:r>
        <w:rPr>
          <w:rFonts w:hint="eastAsia" w:ascii="宋体" w:hAnsi="宋体" w:eastAsia="宋体" w:cs="宋体"/>
          <w:color w:val="000000" w:themeColor="text1"/>
          <w:sz w:val="24"/>
          <w:szCs w:val="24"/>
          <w14:textFill>
            <w14:solidFill>
              <w14:schemeClr w14:val="tx1"/>
            </w14:solidFill>
          </w14:textFill>
        </w:rPr>
        <w:t>乙方需在</w:t>
      </w:r>
      <w:r>
        <w:rPr>
          <w:rFonts w:hint="eastAsia" w:ascii="宋体" w:hAnsi="宋体" w:eastAsia="宋体" w:cs="宋体"/>
          <w:color w:val="000000" w:themeColor="text1"/>
          <w:sz w:val="24"/>
          <w:szCs w:val="24"/>
          <w:lang w:eastAsia="zh-CN"/>
          <w14:textFill>
            <w14:solidFill>
              <w14:schemeClr w14:val="tx1"/>
            </w14:solidFill>
          </w14:textFill>
        </w:rPr>
        <w:t>服务期间</w:t>
      </w:r>
      <w:r>
        <w:rPr>
          <w:rFonts w:hint="eastAsia" w:ascii="宋体" w:hAnsi="宋体" w:eastAsia="宋体" w:cs="宋体"/>
          <w:color w:val="000000" w:themeColor="text1"/>
          <w:sz w:val="24"/>
          <w:szCs w:val="24"/>
          <w14:textFill>
            <w14:solidFill>
              <w14:schemeClr w14:val="tx1"/>
            </w14:solidFill>
          </w14:textFill>
        </w:rPr>
        <w:t>的重大节假日前</w:t>
      </w:r>
      <w:r>
        <w:rPr>
          <w:rFonts w:hint="eastAsia" w:ascii="宋体" w:hAnsi="宋体" w:eastAsia="宋体" w:cs="宋体"/>
          <w:color w:val="000000" w:themeColor="text1"/>
          <w:sz w:val="24"/>
          <w:szCs w:val="24"/>
          <w:lang w:eastAsia="zh-CN"/>
          <w14:textFill>
            <w14:solidFill>
              <w14:schemeClr w14:val="tx1"/>
            </w14:solidFill>
          </w14:textFill>
        </w:rPr>
        <w:t>（劳动节、国庆节、春节）、重大活动（由甲方安排）前等时间根据采购方的要求</w:t>
      </w:r>
      <w:r>
        <w:rPr>
          <w:rFonts w:hint="eastAsia" w:ascii="宋体" w:hAnsi="宋体" w:eastAsia="宋体" w:cs="宋体"/>
          <w:color w:val="000000" w:themeColor="text1"/>
          <w:sz w:val="24"/>
          <w:szCs w:val="24"/>
          <w14:textFill>
            <w14:solidFill>
              <w14:schemeClr w14:val="tx1"/>
            </w14:solidFill>
          </w14:textFill>
        </w:rPr>
        <w:t>对合同涉及桥梁开展节前安全检查</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重大自然灾害后对合同涉及桥梁开展安全隐患排查，并及时提交检查（排查）报告。</w:t>
      </w:r>
    </w:p>
    <w:p w14:paraId="6A851709">
      <w:pPr>
        <w:pStyle w:val="3"/>
        <w:keepNext w:val="0"/>
        <w:keepLines w:val="0"/>
        <w:pageBreakBefore w:val="0"/>
        <w:kinsoku/>
        <w:wordWrap/>
        <w:overflowPunct/>
        <w:topLinePunct w:val="0"/>
        <w:bidi w:val="0"/>
        <w:adjustRightInd/>
        <w:spacing w:line="560" w:lineRule="exact"/>
        <w:ind w:right="28"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、乙方在项目开展过程中发现桥梁重大安全隐患应立即反馈给甲方，在无处理意见之前做好应急值守工作。</w:t>
      </w:r>
    </w:p>
    <w:p w14:paraId="615F85FF">
      <w:pPr>
        <w:pStyle w:val="3"/>
        <w:keepNext w:val="0"/>
        <w:keepLines w:val="0"/>
        <w:pageBreakBefore w:val="0"/>
        <w:kinsoku/>
        <w:wordWrap/>
        <w:overflowPunct/>
        <w:topLinePunct w:val="0"/>
        <w:bidi w:val="0"/>
        <w:adjustRightInd/>
        <w:spacing w:line="560" w:lineRule="exact"/>
        <w:ind w:right="28"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2、编写桥梁墩柱编码规则，经甲方审核后，采用涂刷或喷绘的方式对桥梁墩柱进行编码作业。</w:t>
      </w:r>
    </w:p>
    <w:p w14:paraId="01A502B0">
      <w:pPr>
        <w:keepNext w:val="0"/>
        <w:keepLines w:val="0"/>
        <w:pageBreakBefore w:val="0"/>
        <w:kinsoku/>
        <w:wordWrap/>
        <w:overflowPunct/>
        <w:topLinePunct w:val="0"/>
        <w:bidi w:val="0"/>
        <w:adjustRightInd/>
        <w:spacing w:line="560" w:lineRule="exact"/>
        <w:ind w:firstLine="482" w:firstLineChars="200"/>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lang w:eastAsia="zh-CN"/>
          <w14:textFill>
            <w14:solidFill>
              <w14:schemeClr w14:val="tx1"/>
            </w14:solidFill>
          </w14:textFill>
        </w:rPr>
        <w:t>（二）</w:t>
      </w:r>
      <w:r>
        <w:rPr>
          <w:rFonts w:hint="eastAsia" w:ascii="宋体" w:hAnsi="宋体" w:eastAsia="宋体" w:cs="宋体"/>
          <w:b/>
          <w:bCs/>
          <w:color w:val="000000" w:themeColor="text1"/>
          <w:kern w:val="0"/>
          <w:sz w:val="24"/>
          <w:szCs w:val="24"/>
          <w14:textFill>
            <w14:solidFill>
              <w14:schemeClr w14:val="tx1"/>
            </w14:solidFill>
          </w14:textFill>
        </w:rPr>
        <w:t>结构检测要求</w:t>
      </w:r>
    </w:p>
    <w:p w14:paraId="2D3A8002">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1、查阅历次检测报告和常规定期检测中提出的建议；</w:t>
      </w:r>
    </w:p>
    <w:p w14:paraId="24A4A867">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2、根据常规定期检测中桥梁状况评定结果，进行梁体线型、墩柱沉降及结构构件的检测；</w:t>
      </w:r>
    </w:p>
    <w:p w14:paraId="3FD3F528">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3、通过材料取样试验确认材料特性、退化的程度和退化的性质；</w:t>
      </w:r>
    </w:p>
    <w:p w14:paraId="50013250">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4、对桥梁进行结构检算，包括承载力检算、稳定性检算和刚度验算；</w:t>
      </w:r>
    </w:p>
    <w:p w14:paraId="5A7543C0">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5、分析确定退化的原因，以及对结构性能和耐久性的影响；</w:t>
      </w:r>
    </w:p>
    <w:p w14:paraId="0E591BFF">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6、对可能影响结构正常工作的构件，评价其在下一次检测之前的可能退化情况；如构件在下一次检测前可能失效，应立即报告桥梁养护管理部门；</w:t>
      </w:r>
    </w:p>
    <w:p w14:paraId="35FEB94E">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7、检测桥梁的淤积、冲刷等现象，记录水位；</w:t>
      </w:r>
    </w:p>
    <w:p w14:paraId="0BE6A82E">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8、必要时应进行荷载试验和分析评估。城市桥梁的荷载试验评估应按有关标准进行；</w:t>
      </w:r>
    </w:p>
    <w:p w14:paraId="7C5797B8">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9、通过综合检测评定，确定具有潜在退化可能或已处于退化状况的桥梁构件，提出相应的养护措施。</w:t>
      </w:r>
    </w:p>
    <w:p w14:paraId="74F996CE">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10、人行地下通道结构检测和隧道的定期检测及技术状况评定按照《城市桥梁养护技术标准》执行。结构状态评定应符合常规定期检测中的评分标准，I类养护的城市桥梁结构状态评估应按《城市桥梁养护技术标准》附录表中的缺陷进行；Ⅱ～Ⅴ类养护的城市桥梁，按《城市桥梁养护技术标准》附录中的扣分值表进行评估，并应符合本规范第4.5节的有关规定。同时填写下列相关内容：</w:t>
      </w:r>
    </w:p>
    <w:p w14:paraId="62234B62">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列出所有桥梁构件的腐蚀环境情况；</w:t>
      </w:r>
    </w:p>
    <w:p w14:paraId="77425D3E">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构件的实测缺陷类型和程度。</w:t>
      </w:r>
    </w:p>
    <w:p w14:paraId="192FC9B8">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对I类养护的城市桥梁评为不合格级的，或退化速度过快的构件，Ⅱ～Ⅴ类养护的城市桥梁结构状况评定为Ｄ级、Ｅ级的，应在结构检测记录表中记录下列相关内容：</w:t>
      </w:r>
    </w:p>
    <w:p w14:paraId="289DA27B">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构件编号；</w:t>
      </w:r>
    </w:p>
    <w:p w14:paraId="7316254A">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构件描述；</w:t>
      </w:r>
    </w:p>
    <w:p w14:paraId="37796726">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构件在结构中的位置；</w:t>
      </w:r>
    </w:p>
    <w:p w14:paraId="02208517">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缺陷描述：包括缺陷位置、程度、产生的原因和可能的退化、照片编号、所有材料试验的细节和材料在结构中的部位；</w:t>
      </w:r>
    </w:p>
    <w:p w14:paraId="6090D358">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特殊构件信息表应记录状态评定表和结构缺陷记录表中没有涵盖的信息，包括下列内容：</w:t>
      </w:r>
    </w:p>
    <w:p w14:paraId="232C66F0">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没有在评分标准中定义的构件；</w:t>
      </w:r>
    </w:p>
    <w:p w14:paraId="365D9016">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无法检测的构件，并说明不能检测的原因；</w:t>
      </w:r>
    </w:p>
    <w:p w14:paraId="257F5F12">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河道的淤积、冲刷、水位记录；</w:t>
      </w:r>
    </w:p>
    <w:p w14:paraId="3C317884">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记录材料测试和取样的位置并编号，以便试验结果的交叉参考；</w:t>
      </w:r>
    </w:p>
    <w:p w14:paraId="3811FBB3">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照片记录表中的照片应针对构件缺陷拍摄，并按顺序编号。</w:t>
      </w:r>
    </w:p>
    <w:p w14:paraId="6FC9B5C3">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结构检测内容按照《城市桥梁养护技术标准》（CJJ99-2017）中相关规定项目外，还应包含桥梁抗震设施（抗震构件和支座）的工作性能和完好程度的检查和评价内容，并在检测报告中以独立章节形式说明。桥梁承载力评定的应先对桥梁进行结构承载力检算，依据检算结论确定是否进行动、静载试验评定。</w:t>
      </w:r>
    </w:p>
    <w:p w14:paraId="32328969">
      <w:pPr>
        <w:keepNext w:val="0"/>
        <w:keepLines w:val="0"/>
        <w:pageBreakBefore w:val="0"/>
        <w:kinsoku/>
        <w:wordWrap/>
        <w:overflowPunct/>
        <w:topLinePunct w:val="0"/>
        <w:bidi w:val="0"/>
        <w:adjustRightInd/>
        <w:spacing w:line="560" w:lineRule="exact"/>
        <w:ind w:firstLine="482" w:firstLineChars="200"/>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lang w:eastAsia="zh-CN"/>
          <w14:textFill>
            <w14:solidFill>
              <w14:schemeClr w14:val="tx1"/>
            </w14:solidFill>
          </w14:textFill>
        </w:rPr>
        <w:t>（三）</w:t>
      </w:r>
      <w:r>
        <w:rPr>
          <w:rFonts w:hint="eastAsia" w:ascii="宋体" w:hAnsi="宋体" w:eastAsia="宋体" w:cs="宋体"/>
          <w:b/>
          <w:bCs/>
          <w:color w:val="000000" w:themeColor="text1"/>
          <w:kern w:val="0"/>
          <w:sz w:val="24"/>
          <w:szCs w:val="24"/>
          <w14:textFill>
            <w14:solidFill>
              <w14:schemeClr w14:val="tx1"/>
            </w14:solidFill>
          </w14:textFill>
        </w:rPr>
        <w:t>特殊检测要求</w:t>
      </w:r>
    </w:p>
    <w:p w14:paraId="04ED2DD1">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1、特殊检测应由相应资质的专业单位承担，主要检测人员应为从事桥梁专业工作5年以上经验的工程师。</w:t>
      </w:r>
    </w:p>
    <w:p w14:paraId="4CA56921">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2、特殊检测应由专业人员采用专门技术手段，并辅以现场和试验室测试等特殊手段进行详细检测和综合分析，检测结果应提交书面报告。</w:t>
      </w:r>
    </w:p>
    <w:p w14:paraId="7D903B9F">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3、实施特殊检测前，检测单位应搜集下列资料：</w:t>
      </w:r>
    </w:p>
    <w:p w14:paraId="70957461">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1）竣工资料；</w:t>
      </w:r>
    </w:p>
    <w:p w14:paraId="654E0D0D">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2）识别和鉴定桥梁结构的主要材料以及它们的强度；</w:t>
      </w:r>
    </w:p>
    <w:p w14:paraId="62A125A4">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3）特殊检测的原因，影响桥梁承载能力的因素；</w:t>
      </w:r>
    </w:p>
    <w:p w14:paraId="7BF53553">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4）历次桥梁定期检测和特殊检测报告；</w:t>
      </w:r>
    </w:p>
    <w:p w14:paraId="348622A8">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5）历次维修资料；</w:t>
      </w:r>
    </w:p>
    <w:p w14:paraId="694DD306">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6）交通量统计资料。</w:t>
      </w:r>
    </w:p>
    <w:p w14:paraId="62DAE6A3">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4、城市桥梁特殊检测应包含下列内容：</w:t>
      </w:r>
    </w:p>
    <w:p w14:paraId="331E5A88">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1）结构材料缺损状况诊断；</w:t>
      </w:r>
    </w:p>
    <w:p w14:paraId="44D14189">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2）结构整体性能、功能状况评估。</w:t>
      </w:r>
    </w:p>
    <w:p w14:paraId="40651763">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结构材料缺损状况的诊断，宜根据缺损的类型、位置和检测的要求，选择表面测量、无损检测技术和局部取试样等方法。试样宜在有代表性构件的次要部位获取。检测与评估应依照相应的试验标准进行。</w:t>
      </w:r>
    </w:p>
    <w:p w14:paraId="298D0970">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结构整体性能、功能状况评估应根据诊断的构件材料质量状况及其在结构中的实际功能，用计算分析评估结构承载能力。当计算分析评估不满足或难以确定时，用静力荷载方法鉴定结构承载能力，用动力荷载方法测定结构力学性能参数和振动参数。结构计算、荷载试验和评估应符合国家现行有关标准的规定。</w:t>
      </w:r>
    </w:p>
    <w:p w14:paraId="4794D384">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5、特殊检测报告应包括下列主要内容：</w:t>
      </w:r>
    </w:p>
    <w:p w14:paraId="5ACE5305">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1）、概述、桥梁基本情况、检测组织、时间背景和工作过程。</w:t>
      </w:r>
    </w:p>
    <w:p w14:paraId="0B162FF6">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2）、描述目前桥梁技术状况、试验与检测项目及方法、检测数据与分析结果、桥梁技术状况评价。</w:t>
      </w:r>
    </w:p>
    <w:p w14:paraId="229756A9">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3）、阐述检测部位的损坏原因及程度，评定桥梁继续使用的安全性。</w:t>
      </w:r>
    </w:p>
    <w:p w14:paraId="0CB91080">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4）、提出结构及局部构件的维修、加固或改造的建议方案，提出维护管理措施。</w:t>
      </w:r>
    </w:p>
    <w:p w14:paraId="58A79671">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5）、对特殊检测结果不满足要求的城市桥梁，在维修加固之前，应采取限载、限速或封闭交通措施，并应继续监测结构变化。</w:t>
      </w:r>
    </w:p>
    <w:p w14:paraId="3F99DA80">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特殊检测桥梁主要针对桥梁检测过程中发现的影响桥梁结构安全和运行安全的特殊病害，如空心板梁铰缝损伤检测和损伤判定、独柱墩桥梁抗倾覆验算等。主要以外观检测评定、结构检算、试验验证为主。</w:t>
      </w:r>
    </w:p>
    <w:p w14:paraId="44F7460E">
      <w:pPr>
        <w:keepNext w:val="0"/>
        <w:keepLines w:val="0"/>
        <w:pageBreakBefore w:val="0"/>
        <w:kinsoku/>
        <w:wordWrap/>
        <w:overflowPunct/>
        <w:topLinePunct w:val="0"/>
        <w:bidi w:val="0"/>
        <w:adjustRightInd/>
        <w:spacing w:line="560" w:lineRule="exact"/>
        <w:ind w:firstLine="482" w:firstLineChars="200"/>
        <w:textAlignment w:val="auto"/>
        <w:rPr>
          <w:rFonts w:hint="eastAsia" w:ascii="宋体" w:hAnsi="宋体" w:eastAsia="宋体" w:cs="宋体"/>
          <w:b/>
          <w:bCs/>
          <w:color w:val="000000" w:themeColor="text1"/>
          <w:kern w:val="0"/>
          <w:sz w:val="24"/>
          <w:szCs w:val="24"/>
          <w:lang w:eastAsia="zh-CN"/>
          <w14:textFill>
            <w14:solidFill>
              <w14:schemeClr w14:val="tx1"/>
            </w14:solidFill>
          </w14:textFill>
        </w:rPr>
      </w:pPr>
      <w:r>
        <w:rPr>
          <w:rFonts w:hint="eastAsia" w:ascii="宋体" w:hAnsi="宋体" w:eastAsia="宋体" w:cs="宋体"/>
          <w:b/>
          <w:bCs/>
          <w:color w:val="000000" w:themeColor="text1"/>
          <w:kern w:val="0"/>
          <w:sz w:val="24"/>
          <w:szCs w:val="24"/>
          <w:lang w:eastAsia="zh-CN"/>
          <w14:textFill>
            <w14:solidFill>
              <w14:schemeClr w14:val="tx1"/>
            </w14:solidFill>
          </w14:textFill>
        </w:rPr>
        <w:t>（四）</w:t>
      </w:r>
      <w:r>
        <w:rPr>
          <w:rFonts w:hint="eastAsia" w:ascii="宋体" w:hAnsi="宋体" w:eastAsia="宋体" w:cs="宋体"/>
          <w:b/>
          <w:bCs/>
          <w:color w:val="000000" w:themeColor="text1"/>
          <w:kern w:val="0"/>
          <w:sz w:val="24"/>
          <w:szCs w:val="24"/>
          <w14:textFill>
            <w14:solidFill>
              <w14:schemeClr w14:val="tx1"/>
            </w14:solidFill>
          </w14:textFill>
        </w:rPr>
        <w:t>桥梁抗震性能检测和评估</w:t>
      </w:r>
      <w:r>
        <w:rPr>
          <w:rFonts w:hint="eastAsia" w:ascii="宋体" w:hAnsi="宋体" w:eastAsia="宋体" w:cs="宋体"/>
          <w:b/>
          <w:bCs/>
          <w:color w:val="000000" w:themeColor="text1"/>
          <w:kern w:val="0"/>
          <w:sz w:val="24"/>
          <w:szCs w:val="24"/>
          <w:lang w:eastAsia="zh-CN"/>
          <w14:textFill>
            <w14:solidFill>
              <w14:schemeClr w14:val="tx1"/>
            </w14:solidFill>
          </w14:textFill>
        </w:rPr>
        <w:t>要求</w:t>
      </w:r>
    </w:p>
    <w:p w14:paraId="24962845">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桥梁抗震性能检测和评估属桥梁特殊检测的一种，要求桥梁抗震性能检测和评估报告单独成册，其章节具体内容如下：</w:t>
      </w:r>
    </w:p>
    <w:p w14:paraId="5EF7307A">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1、桥梁所处区域及对应的抗震设防烈度等级；</w:t>
      </w:r>
    </w:p>
    <w:p w14:paraId="4B31302C">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2、桥梁设计和建设时间，对应采用的抗震设计规范，根据所采用的抗震设计规范中对应的抗震措施章节核查桥梁是否满足建设时期的抗震设计规范和现行规范；</w:t>
      </w:r>
    </w:p>
    <w:p w14:paraId="27CD3C8E">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3、根据抗震规范说明桥梁抗震设防分类、桥梁抗震措施及防落梁构造情况是否满足规范要求；选取桥梁典型联跨的抗震能力进行检算，是否满足规范要求，得出结论并提出加固建议。</w:t>
      </w:r>
    </w:p>
    <w:p w14:paraId="4C44ADA0">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4、提出桥梁抗震性能评定结论，对于抗震措施不满足规范要求的桥梁提出加固处治建议。</w:t>
      </w:r>
    </w:p>
    <w:p w14:paraId="3078D37C">
      <w:pPr>
        <w:keepNext w:val="0"/>
        <w:keepLines w:val="0"/>
        <w:pageBreakBefore w:val="0"/>
        <w:kinsoku/>
        <w:wordWrap/>
        <w:overflowPunct/>
        <w:topLinePunct w:val="0"/>
        <w:bidi w:val="0"/>
        <w:adjustRightInd/>
        <w:spacing w:line="560" w:lineRule="exact"/>
        <w:ind w:firstLine="482" w:firstLineChars="200"/>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lang w:eastAsia="zh-CN"/>
          <w14:textFill>
            <w14:solidFill>
              <w14:schemeClr w14:val="tx1"/>
            </w14:solidFill>
          </w14:textFill>
        </w:rPr>
        <w:t>（五）广运大桥</w:t>
      </w:r>
      <w:r>
        <w:rPr>
          <w:rFonts w:hint="eastAsia" w:ascii="宋体" w:hAnsi="宋体" w:eastAsia="宋体" w:cs="宋体"/>
          <w:b/>
          <w:bCs/>
          <w:color w:val="000000" w:themeColor="text1"/>
          <w:kern w:val="0"/>
          <w:sz w:val="24"/>
          <w:szCs w:val="24"/>
          <w14:textFill>
            <w14:solidFill>
              <w14:schemeClr w14:val="tx1"/>
            </w14:solidFill>
          </w14:textFill>
        </w:rPr>
        <w:t>长期监测要求</w:t>
      </w:r>
    </w:p>
    <w:p w14:paraId="088B39C4">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桥梁长期监测应由专业人员采用专门技术手段，建议采用桥梁健康监测技术手段，按照一定的监测频率，对桥梁固定的位置或结构部位进行现场量测，并辅试验室测试等特殊手段进行详细检测和综合分析，形成阶段监测报告和总体监测报告。</w:t>
      </w:r>
    </w:p>
    <w:p w14:paraId="41606065">
      <w:pPr>
        <w:keepNext w:val="0"/>
        <w:keepLines w:val="0"/>
        <w:pageBreakBefore w:val="0"/>
        <w:kinsoku/>
        <w:wordWrap/>
        <w:overflowPunct/>
        <w:topLinePunct w:val="0"/>
        <w:bidi w:val="0"/>
        <w:adjustRightInd/>
        <w:spacing w:line="56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本次长期监测的</w:t>
      </w:r>
      <w:r>
        <w:rPr>
          <w:rFonts w:hint="eastAsia" w:ascii="宋体" w:hAnsi="宋体" w:eastAsia="宋体" w:cs="宋体"/>
          <w:color w:val="000000" w:themeColor="text1"/>
          <w:kern w:val="0"/>
          <w:sz w:val="24"/>
          <w:szCs w:val="24"/>
          <w:lang w:eastAsia="zh-CN"/>
          <w14:textFill>
            <w14:solidFill>
              <w14:schemeClr w14:val="tx1"/>
            </w14:solidFill>
          </w14:textFill>
        </w:rPr>
        <w:t>广运大桥必须先完成</w:t>
      </w:r>
      <w:r>
        <w:rPr>
          <w:rFonts w:hint="eastAsia" w:ascii="宋体" w:hAnsi="宋体" w:eastAsia="宋体" w:cs="宋体"/>
          <w:color w:val="000000" w:themeColor="text1"/>
          <w:kern w:val="0"/>
          <w:sz w:val="24"/>
          <w:szCs w:val="24"/>
          <w14:textFill>
            <w14:solidFill>
              <w14:schemeClr w14:val="tx1"/>
            </w14:solidFill>
          </w14:textFill>
        </w:rPr>
        <w:t>结构检测。桥梁的长期监测根据桥梁的监测目的，针对不同的桥梁结构型式和桥梁既有病害类型制定不同的监测项目和监测频率。通过在一个长期监测周期内的多次监测，分析监测数据，进一步预测结构病害的发展趋势和规模，给出结构病害整治和技术改造的建议，为桥梁的维护和管理提供实测数据和技术依据。</w:t>
      </w:r>
    </w:p>
    <w:p w14:paraId="27D885B7">
      <w:pPr>
        <w:pStyle w:val="2"/>
        <w:rPr>
          <w:rFonts w:hint="eastAsia" w:ascii="宋体" w:hAnsi="宋体" w:eastAsia="宋体" w:cs="宋体"/>
          <w:color w:val="000000" w:themeColor="text1"/>
          <w:kern w:val="0"/>
          <w:sz w:val="24"/>
          <w:szCs w:val="24"/>
          <w14:textFill>
            <w14:solidFill>
              <w14:schemeClr w14:val="tx1"/>
            </w14:solidFill>
          </w14:textFill>
        </w:rPr>
      </w:pPr>
    </w:p>
    <w:p w14:paraId="0A4774FF">
      <w:pPr>
        <w:rPr>
          <w:rFonts w:hint="eastAsia" w:ascii="宋体" w:hAnsi="宋体" w:eastAsia="宋体" w:cs="宋体"/>
          <w:color w:val="000000" w:themeColor="text1"/>
          <w:kern w:val="0"/>
          <w:sz w:val="24"/>
          <w:szCs w:val="24"/>
          <w14:textFill>
            <w14:solidFill>
              <w14:schemeClr w14:val="tx1"/>
            </w14:solidFill>
          </w14:textFill>
        </w:rPr>
      </w:pPr>
    </w:p>
    <w:p w14:paraId="50F35C99">
      <w:pPr>
        <w:pStyle w:val="2"/>
        <w:rPr>
          <w:rFonts w:hint="eastAsia" w:ascii="宋体" w:hAnsi="宋体" w:eastAsia="宋体" w:cs="宋体"/>
          <w:color w:val="000000" w:themeColor="text1"/>
          <w:kern w:val="0"/>
          <w:sz w:val="24"/>
          <w:szCs w:val="24"/>
          <w14:textFill>
            <w14:solidFill>
              <w14:schemeClr w14:val="tx1"/>
            </w14:solidFill>
          </w14:textFill>
        </w:rPr>
      </w:pPr>
    </w:p>
    <w:p w14:paraId="21C45560">
      <w:pPr>
        <w:rPr>
          <w:rFonts w:hint="eastAsia" w:ascii="宋体" w:hAnsi="宋体" w:eastAsia="宋体" w:cs="宋体"/>
          <w:color w:val="000000" w:themeColor="text1"/>
          <w:kern w:val="0"/>
          <w:sz w:val="24"/>
          <w:szCs w:val="24"/>
          <w14:textFill>
            <w14:solidFill>
              <w14:schemeClr w14:val="tx1"/>
            </w14:solidFill>
          </w14:textFill>
        </w:rPr>
      </w:pP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09"/>
        <w:gridCol w:w="7313"/>
      </w:tblGrid>
      <w:tr w14:paraId="155DF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2" w:hRule="atLeast"/>
          <w:jc w:val="center"/>
        </w:trPr>
        <w:tc>
          <w:tcPr>
            <w:tcW w:w="8961" w:type="dxa"/>
            <w:gridSpan w:val="2"/>
            <w:noWrap/>
            <w:vAlign w:val="center"/>
          </w:tcPr>
          <w:p w14:paraId="334C586B">
            <w:pPr>
              <w:keepNext w:val="0"/>
              <w:keepLines w:val="0"/>
              <w:pageBreakBefore w:val="0"/>
              <w:kinsoku/>
              <w:wordWrap/>
              <w:overflowPunct/>
              <w:topLinePunct w:val="0"/>
              <w:bidi w:val="0"/>
              <w:adjustRightInd/>
              <w:snapToGrid w:val="0"/>
              <w:spacing w:line="560" w:lineRule="exact"/>
              <w:jc w:val="center"/>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广运大桥</w:t>
            </w:r>
          </w:p>
        </w:tc>
      </w:tr>
      <w:tr w14:paraId="004533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60" w:hRule="atLeast"/>
          <w:jc w:val="center"/>
        </w:trPr>
        <w:tc>
          <w:tcPr>
            <w:tcW w:w="1263" w:type="dxa"/>
            <w:noWrap/>
            <w:vAlign w:val="center"/>
          </w:tcPr>
          <w:p w14:paraId="1631937A">
            <w:pPr>
              <w:keepNext w:val="0"/>
              <w:keepLines w:val="0"/>
              <w:pageBreakBefore w:val="0"/>
              <w:kinsoku/>
              <w:wordWrap/>
              <w:overflowPunct/>
              <w:topLinePunct w:val="0"/>
              <w:bidi w:val="0"/>
              <w:adjustRightInd/>
              <w:snapToGrid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长期监测原因</w:t>
            </w:r>
          </w:p>
        </w:tc>
        <w:tc>
          <w:tcPr>
            <w:tcW w:w="7698" w:type="dxa"/>
            <w:noWrap/>
            <w:vAlign w:val="center"/>
          </w:tcPr>
          <w:p w14:paraId="25A70019">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广运大桥为系杆钢拱桥同时其单孔跨径为60米以上的大桥。按照《公路桥梁养护管理工作制度》、《交通运输部关于进一步加强公路桥梁养护管理的若干意见》、《城市桥梁养护技术标准》要求进行。</w:t>
            </w:r>
          </w:p>
        </w:tc>
      </w:tr>
      <w:tr w14:paraId="2A2F9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8" w:hRule="atLeast"/>
          <w:jc w:val="center"/>
        </w:trPr>
        <w:tc>
          <w:tcPr>
            <w:tcW w:w="1263" w:type="dxa"/>
            <w:noWrap/>
            <w:vAlign w:val="center"/>
          </w:tcPr>
          <w:p w14:paraId="57536A51">
            <w:pPr>
              <w:keepNext w:val="0"/>
              <w:keepLines w:val="0"/>
              <w:pageBreakBefore w:val="0"/>
              <w:kinsoku/>
              <w:wordWrap/>
              <w:overflowPunct/>
              <w:topLinePunct w:val="0"/>
              <w:bidi w:val="0"/>
              <w:adjustRightInd/>
              <w:snapToGrid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监测项目</w:t>
            </w:r>
          </w:p>
        </w:tc>
        <w:tc>
          <w:tcPr>
            <w:tcW w:w="7698" w:type="dxa"/>
            <w:noWrap/>
            <w:vAlign w:val="center"/>
          </w:tcPr>
          <w:p w14:paraId="325AE1B0">
            <w:pPr>
              <w:keepNext w:val="0"/>
              <w:keepLines w:val="0"/>
              <w:pageBreakBefore w:val="0"/>
              <w:widowControl w:val="0"/>
              <w:kinsoku/>
              <w:wordWrap/>
              <w:overflowPunct/>
              <w:topLinePunct w:val="0"/>
              <w:autoSpaceDE/>
              <w:autoSpaceDN/>
              <w:bidi w:val="0"/>
              <w:adjustRightInd/>
              <w:snapToGrid w:val="0"/>
              <w:spacing w:line="520" w:lineRule="exact"/>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1、吊杆上、下锚头以及PE套管监测</w:t>
            </w:r>
          </w:p>
          <w:p w14:paraId="07EFCFC5">
            <w:pPr>
              <w:keepNext w:val="0"/>
              <w:keepLines w:val="0"/>
              <w:pageBreakBefore w:val="0"/>
              <w:widowControl w:val="0"/>
              <w:kinsoku/>
              <w:wordWrap/>
              <w:overflowPunct/>
              <w:topLinePunct w:val="0"/>
              <w:autoSpaceDE/>
              <w:autoSpaceDN/>
              <w:bidi w:val="0"/>
              <w:adjustRightInd/>
              <w:snapToGrid w:val="0"/>
              <w:spacing w:line="520" w:lineRule="exact"/>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2、桥面线形监测</w:t>
            </w:r>
          </w:p>
          <w:p w14:paraId="2AC59912">
            <w:pPr>
              <w:keepNext w:val="0"/>
              <w:keepLines w:val="0"/>
              <w:pageBreakBefore w:val="0"/>
              <w:widowControl w:val="0"/>
              <w:kinsoku/>
              <w:wordWrap/>
              <w:overflowPunct/>
              <w:topLinePunct w:val="0"/>
              <w:autoSpaceDE/>
              <w:autoSpaceDN/>
              <w:bidi w:val="0"/>
              <w:adjustRightInd/>
              <w:snapToGrid w:val="0"/>
              <w:spacing w:line="520" w:lineRule="exact"/>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3、主道桥主拱圈线形监测</w:t>
            </w:r>
          </w:p>
          <w:p w14:paraId="4D2B1F67">
            <w:pPr>
              <w:keepNext w:val="0"/>
              <w:keepLines w:val="0"/>
              <w:pageBreakBefore w:val="0"/>
              <w:widowControl w:val="0"/>
              <w:kinsoku/>
              <w:wordWrap/>
              <w:overflowPunct/>
              <w:topLinePunct w:val="0"/>
              <w:autoSpaceDE/>
              <w:autoSpaceDN/>
              <w:bidi w:val="0"/>
              <w:adjustRightInd/>
              <w:snapToGrid w:val="0"/>
              <w:spacing w:line="520" w:lineRule="exact"/>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4、吊杆索力监测</w:t>
            </w:r>
          </w:p>
          <w:p w14:paraId="5C126818">
            <w:pPr>
              <w:keepNext w:val="0"/>
              <w:keepLines w:val="0"/>
              <w:pageBreakBefore w:val="0"/>
              <w:widowControl w:val="0"/>
              <w:kinsoku/>
              <w:wordWrap/>
              <w:overflowPunct/>
              <w:topLinePunct w:val="0"/>
              <w:autoSpaceDE/>
              <w:autoSpaceDN/>
              <w:bidi w:val="0"/>
              <w:adjustRightInd/>
              <w:snapToGrid w:val="0"/>
              <w:spacing w:line="520" w:lineRule="exact"/>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5、主道桥主拱圈拱脚横桥向裂缝变化监测</w:t>
            </w:r>
          </w:p>
          <w:p w14:paraId="74B877F3">
            <w:pPr>
              <w:keepNext w:val="0"/>
              <w:keepLines w:val="0"/>
              <w:pageBreakBefore w:val="0"/>
              <w:widowControl w:val="0"/>
              <w:kinsoku/>
              <w:wordWrap/>
              <w:overflowPunct/>
              <w:topLinePunct w:val="0"/>
              <w:autoSpaceDE/>
              <w:autoSpaceDN/>
              <w:bidi w:val="0"/>
              <w:adjustRightInd/>
              <w:snapToGrid w:val="0"/>
              <w:spacing w:line="520" w:lineRule="exact"/>
              <w:ind w:firstLine="480" w:firstLineChars="200"/>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6、主桥纵横梁结合点视频监控</w:t>
            </w:r>
            <w:r>
              <w:rPr>
                <w:rFonts w:hint="eastAsia" w:ascii="宋体" w:hAnsi="宋体" w:eastAsia="宋体" w:cs="宋体"/>
                <w:color w:val="000000" w:themeColor="text1"/>
                <w:sz w:val="24"/>
                <w:szCs w:val="24"/>
                <w:lang w:eastAsia="zh-CN"/>
                <w14:textFill>
                  <w14:solidFill>
                    <w14:schemeClr w14:val="tx1"/>
                  </w14:solidFill>
                </w14:textFill>
              </w:rPr>
              <w:t>监测</w:t>
            </w:r>
          </w:p>
        </w:tc>
      </w:tr>
      <w:tr w14:paraId="1653D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0" w:hRule="atLeast"/>
          <w:jc w:val="center"/>
        </w:trPr>
        <w:tc>
          <w:tcPr>
            <w:tcW w:w="1263" w:type="dxa"/>
            <w:noWrap/>
            <w:vAlign w:val="center"/>
          </w:tcPr>
          <w:p w14:paraId="378F9A0D">
            <w:pPr>
              <w:keepNext w:val="0"/>
              <w:keepLines w:val="0"/>
              <w:pageBreakBefore w:val="0"/>
              <w:kinsoku/>
              <w:wordWrap/>
              <w:overflowPunct/>
              <w:topLinePunct w:val="0"/>
              <w:bidi w:val="0"/>
              <w:adjustRightInd/>
              <w:snapToGrid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目的</w:t>
            </w:r>
          </w:p>
        </w:tc>
        <w:tc>
          <w:tcPr>
            <w:tcW w:w="7698" w:type="dxa"/>
            <w:noWrap/>
            <w:vAlign w:val="center"/>
          </w:tcPr>
          <w:p w14:paraId="17B2DB66">
            <w:pPr>
              <w:keepNext w:val="0"/>
              <w:keepLines w:val="0"/>
              <w:pageBreakBefore w:val="0"/>
              <w:widowControl w:val="0"/>
              <w:kinsoku/>
              <w:wordWrap/>
              <w:overflowPunct/>
              <w:topLinePunct w:val="0"/>
              <w:autoSpaceDE/>
              <w:autoSpaceDN/>
              <w:bidi w:val="0"/>
              <w:adjustRightInd/>
              <w:snapToGrid w:val="0"/>
              <w:spacing w:line="52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通过对关键截面和控制点的监测，以便分析、评估缺陷及损伤对桥梁性能和承载力的影响，为桥梁维护加固提供具体的技术支持</w:t>
            </w:r>
          </w:p>
        </w:tc>
      </w:tr>
      <w:tr w14:paraId="71D265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63" w:type="dxa"/>
            <w:noWrap/>
            <w:vAlign w:val="center"/>
          </w:tcPr>
          <w:p w14:paraId="352A2A1D">
            <w:pPr>
              <w:keepNext w:val="0"/>
              <w:keepLines w:val="0"/>
              <w:pageBreakBefore w:val="0"/>
              <w:kinsoku/>
              <w:wordWrap/>
              <w:overflowPunct/>
              <w:topLinePunct w:val="0"/>
              <w:bidi w:val="0"/>
              <w:adjustRightInd/>
              <w:snapToGrid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频率</w:t>
            </w:r>
          </w:p>
        </w:tc>
        <w:tc>
          <w:tcPr>
            <w:tcW w:w="7698" w:type="dxa"/>
            <w:noWrap/>
            <w:vAlign w:val="center"/>
          </w:tcPr>
          <w:p w14:paraId="7EA45477">
            <w:pPr>
              <w:keepNext w:val="0"/>
              <w:keepLines w:val="0"/>
              <w:pageBreakBefore w:val="0"/>
              <w:widowControl w:val="0"/>
              <w:kinsoku/>
              <w:wordWrap/>
              <w:overflowPunct/>
              <w:topLinePunct w:val="0"/>
              <w:autoSpaceDE/>
              <w:autoSpaceDN/>
              <w:bidi w:val="0"/>
              <w:adjustRightInd/>
              <w:snapToGrid w:val="0"/>
              <w:spacing w:line="52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每一个年度为一个监测周期</w:t>
            </w:r>
          </w:p>
          <w:p w14:paraId="0ABF7D91">
            <w:pPr>
              <w:keepNext w:val="0"/>
              <w:keepLines w:val="0"/>
              <w:pageBreakBefore w:val="0"/>
              <w:widowControl w:val="0"/>
              <w:kinsoku/>
              <w:wordWrap/>
              <w:overflowPunct/>
              <w:topLinePunct w:val="0"/>
              <w:autoSpaceDE/>
              <w:autoSpaceDN/>
              <w:bidi w:val="0"/>
              <w:adjustRightInd/>
              <w:snapToGrid w:val="0"/>
              <w:spacing w:line="52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广运大桥主桥纵横梁结合点视频监控每月报送一次监测报告</w:t>
            </w:r>
          </w:p>
          <w:p w14:paraId="431969CD">
            <w:pPr>
              <w:keepNext w:val="0"/>
              <w:keepLines w:val="0"/>
              <w:pageBreakBefore w:val="0"/>
              <w:widowControl w:val="0"/>
              <w:kinsoku/>
              <w:wordWrap/>
              <w:overflowPunct/>
              <w:topLinePunct w:val="0"/>
              <w:autoSpaceDE/>
              <w:autoSpaceDN/>
              <w:bidi w:val="0"/>
              <w:adjustRightInd/>
              <w:snapToGrid w:val="0"/>
              <w:spacing w:line="52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其他项目每季度一次定期测量</w:t>
            </w:r>
          </w:p>
        </w:tc>
      </w:tr>
      <w:tr w14:paraId="04467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63" w:type="dxa"/>
            <w:noWrap/>
            <w:vAlign w:val="center"/>
          </w:tcPr>
          <w:p w14:paraId="59BCFD96">
            <w:pPr>
              <w:keepNext w:val="0"/>
              <w:keepLines w:val="0"/>
              <w:pageBreakBefore w:val="0"/>
              <w:kinsoku/>
              <w:wordWrap/>
              <w:overflowPunct/>
              <w:topLinePunct w:val="0"/>
              <w:bidi w:val="0"/>
              <w:adjustRightInd/>
              <w:snapToGrid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技术要求</w:t>
            </w:r>
          </w:p>
        </w:tc>
        <w:tc>
          <w:tcPr>
            <w:tcW w:w="7698" w:type="dxa"/>
            <w:noWrap/>
            <w:vAlign w:val="center"/>
          </w:tcPr>
          <w:p w14:paraId="38A01213">
            <w:pPr>
              <w:keepNext w:val="0"/>
              <w:keepLines w:val="0"/>
              <w:pageBreakBefore w:val="0"/>
              <w:widowControl w:val="0"/>
              <w:kinsoku/>
              <w:wordWrap/>
              <w:overflowPunct/>
              <w:topLinePunct w:val="0"/>
              <w:autoSpaceDE/>
              <w:autoSpaceDN/>
              <w:bidi w:val="0"/>
              <w:adjustRightInd/>
              <w:snapToGrid w:val="0"/>
              <w:spacing w:line="52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1、监测手段先进、可靠，定期监测数据详实，准确</w:t>
            </w:r>
          </w:p>
          <w:p w14:paraId="36BDB271">
            <w:pPr>
              <w:keepNext w:val="0"/>
              <w:keepLines w:val="0"/>
              <w:pageBreakBefore w:val="0"/>
              <w:widowControl w:val="0"/>
              <w:kinsoku/>
              <w:wordWrap/>
              <w:overflowPunct/>
              <w:topLinePunct w:val="0"/>
              <w:autoSpaceDE/>
              <w:autoSpaceDN/>
              <w:bidi w:val="0"/>
              <w:adjustRightInd/>
              <w:snapToGrid w:val="0"/>
              <w:spacing w:line="52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2、形成监测工作日志</w:t>
            </w:r>
          </w:p>
          <w:p w14:paraId="03678AF1">
            <w:pPr>
              <w:keepNext w:val="0"/>
              <w:keepLines w:val="0"/>
              <w:pageBreakBefore w:val="0"/>
              <w:widowControl w:val="0"/>
              <w:kinsoku/>
              <w:wordWrap/>
              <w:overflowPunct/>
              <w:topLinePunct w:val="0"/>
              <w:autoSpaceDE/>
              <w:autoSpaceDN/>
              <w:bidi w:val="0"/>
              <w:adjustRightInd/>
              <w:snapToGrid w:val="0"/>
              <w:spacing w:line="52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3、定期测量形成定期报告，按期报送</w:t>
            </w:r>
          </w:p>
          <w:p w14:paraId="28640292">
            <w:pPr>
              <w:keepNext w:val="0"/>
              <w:keepLines w:val="0"/>
              <w:pageBreakBefore w:val="0"/>
              <w:widowControl w:val="0"/>
              <w:kinsoku/>
              <w:wordWrap/>
              <w:overflowPunct/>
              <w:topLinePunct w:val="0"/>
              <w:autoSpaceDE/>
              <w:autoSpaceDN/>
              <w:bidi w:val="0"/>
              <w:adjustRightInd/>
              <w:snapToGrid w:val="0"/>
              <w:spacing w:line="52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4、一个监测周期结束后形成监测总体报告，并提交结构检测书面报告</w:t>
            </w:r>
          </w:p>
          <w:p w14:paraId="57E8B84B">
            <w:pPr>
              <w:keepNext w:val="0"/>
              <w:keepLines w:val="0"/>
              <w:pageBreakBefore w:val="0"/>
              <w:widowControl w:val="0"/>
              <w:kinsoku/>
              <w:wordWrap/>
              <w:overflowPunct/>
              <w:topLinePunct w:val="0"/>
              <w:autoSpaceDE/>
              <w:autoSpaceDN/>
              <w:bidi w:val="0"/>
              <w:adjustRightInd/>
              <w:snapToGrid w:val="0"/>
              <w:spacing w:line="52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5、监测报告中须分析桥梁的变化情况并预测桥梁病害的发展趋势和规模</w:t>
            </w:r>
          </w:p>
        </w:tc>
      </w:tr>
    </w:tbl>
    <w:p w14:paraId="7FDFE9EC">
      <w:pPr>
        <w:pStyle w:val="3"/>
        <w:keepNext w:val="0"/>
        <w:keepLines w:val="0"/>
        <w:pageBreakBefore w:val="0"/>
        <w:numPr>
          <w:ilvl w:val="0"/>
          <w:numId w:val="0"/>
        </w:numPr>
        <w:kinsoku/>
        <w:wordWrap/>
        <w:overflowPunct/>
        <w:topLinePunct w:val="0"/>
        <w:bidi w:val="0"/>
        <w:adjustRightInd/>
        <w:spacing w:line="360" w:lineRule="auto"/>
        <w:ind w:right="28" w:rightChars="0" w:firstLine="241" w:firstLineChars="100"/>
        <w:textAlignment w:val="auto"/>
        <w:rPr>
          <w:rFonts w:hint="eastAsia" w:ascii="宋体" w:hAnsi="宋体" w:eastAsia="宋体" w:cs="宋体"/>
          <w:b/>
          <w:bCs/>
          <w:color w:val="000000" w:themeColor="text1"/>
          <w:kern w:val="0"/>
          <w:sz w:val="24"/>
          <w:szCs w:val="24"/>
          <w:lang w:eastAsia="zh-CN"/>
          <w14:textFill>
            <w14:solidFill>
              <w14:schemeClr w14:val="tx1"/>
            </w14:solidFill>
          </w14:textFill>
        </w:rPr>
      </w:pPr>
    </w:p>
    <w:p w14:paraId="18517C9F">
      <w:pPr>
        <w:pStyle w:val="3"/>
        <w:keepNext w:val="0"/>
        <w:keepLines w:val="0"/>
        <w:pageBreakBefore w:val="0"/>
        <w:numPr>
          <w:ilvl w:val="0"/>
          <w:numId w:val="0"/>
        </w:numPr>
        <w:kinsoku/>
        <w:wordWrap/>
        <w:overflowPunct/>
        <w:topLinePunct w:val="0"/>
        <w:bidi w:val="0"/>
        <w:adjustRightInd/>
        <w:spacing w:line="360" w:lineRule="auto"/>
        <w:ind w:right="28" w:rightChars="0" w:firstLine="241" w:firstLineChars="100"/>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lang w:eastAsia="zh-CN"/>
          <w14:textFill>
            <w14:solidFill>
              <w14:schemeClr w14:val="tx1"/>
            </w14:solidFill>
          </w14:textFill>
        </w:rPr>
        <w:t>（</w:t>
      </w:r>
      <w:r>
        <w:rPr>
          <w:rFonts w:hint="eastAsia" w:ascii="宋体" w:hAnsi="宋体" w:eastAsia="宋体" w:cs="宋体"/>
          <w:b/>
          <w:bCs/>
          <w:color w:val="000000" w:themeColor="text1"/>
          <w:kern w:val="0"/>
          <w:sz w:val="24"/>
          <w:szCs w:val="24"/>
          <w:lang w:val="en-US" w:eastAsia="zh-CN"/>
          <w14:textFill>
            <w14:solidFill>
              <w14:schemeClr w14:val="tx1"/>
            </w14:solidFill>
          </w14:textFill>
        </w:rPr>
        <w:t>六</w:t>
      </w:r>
      <w:r>
        <w:rPr>
          <w:rFonts w:hint="eastAsia" w:ascii="宋体" w:hAnsi="宋体" w:eastAsia="宋体" w:cs="宋体"/>
          <w:b/>
          <w:bCs/>
          <w:color w:val="000000" w:themeColor="text1"/>
          <w:kern w:val="0"/>
          <w:sz w:val="24"/>
          <w:szCs w:val="24"/>
          <w:lang w:eastAsia="zh-CN"/>
          <w14:textFill>
            <w14:solidFill>
              <w14:schemeClr w14:val="tx1"/>
            </w14:solidFill>
          </w14:textFill>
        </w:rPr>
        <w:t>）</w:t>
      </w:r>
      <w:r>
        <w:rPr>
          <w:rFonts w:hint="eastAsia" w:ascii="宋体" w:hAnsi="宋体" w:eastAsia="宋体" w:cs="宋体"/>
          <w:b/>
          <w:bCs/>
          <w:color w:val="000000" w:themeColor="text1"/>
          <w:kern w:val="0"/>
          <w:sz w:val="24"/>
          <w:szCs w:val="24"/>
          <w14:textFill>
            <w14:solidFill>
              <w14:schemeClr w14:val="tx1"/>
            </w14:solidFill>
          </w14:textFill>
        </w:rPr>
        <w:t>隧道检测评估技术要求</w:t>
      </w:r>
    </w:p>
    <w:p w14:paraId="4FD062FA">
      <w:pPr>
        <w:pStyle w:val="3"/>
        <w:keepNext w:val="0"/>
        <w:keepLines w:val="0"/>
        <w:pageBreakBefore w:val="0"/>
        <w:kinsoku/>
        <w:wordWrap/>
        <w:overflowPunct/>
        <w:topLinePunct w:val="0"/>
        <w:bidi w:val="0"/>
        <w:adjustRightInd/>
        <w:spacing w:line="360" w:lineRule="auto"/>
        <w:ind w:right="28"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隧道检测评估时，对于《城市桥梁养护技术标准》（CJJ99-2017）未提到的可参照《城市隧道运维服务规范》（GBT 43991-2024）、《城市隧道检测评估技术规程》（DB50T 1094-2021）等规范执行。</w:t>
      </w:r>
    </w:p>
    <w:p w14:paraId="02BF1CF0">
      <w:pPr>
        <w:pStyle w:val="3"/>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rPr>
          <w:rFonts w:hint="eastAsia" w:ascii="国标仿宋" w:hAnsi="国标仿宋" w:eastAsia="国标仿宋" w:cs="国标仿宋"/>
          <w:b/>
          <w:bCs/>
          <w:color w:val="000000" w:themeColor="text1"/>
          <w:sz w:val="32"/>
          <w:szCs w:val="32"/>
          <w:lang w:eastAsia="zh-CN"/>
          <w14:textFill>
            <w14:solidFill>
              <w14:schemeClr w14:val="tx1"/>
            </w14:solidFill>
          </w14:textFill>
        </w:rPr>
      </w:pPr>
      <w:r>
        <w:rPr>
          <w:rFonts w:hint="eastAsia" w:ascii="国标仿宋" w:hAnsi="国标仿宋" w:eastAsia="国标仿宋" w:cs="国标仿宋"/>
          <w:b/>
          <w:bCs/>
          <w:color w:val="000000" w:themeColor="text1"/>
          <w:sz w:val="32"/>
          <w:szCs w:val="32"/>
          <w:lang w:eastAsia="zh-CN"/>
          <w14:textFill>
            <w14:solidFill>
              <w14:schemeClr w14:val="tx1"/>
            </w14:solidFill>
          </w14:textFill>
        </w:rPr>
        <w:t>检测桥梁列表</w:t>
      </w:r>
    </w:p>
    <w:tbl>
      <w:tblPr>
        <w:tblStyle w:val="5"/>
        <w:tblpPr w:leftFromText="180" w:rightFromText="180" w:vertAnchor="text" w:horzAnchor="page" w:tblpX="1428" w:tblpY="950"/>
        <w:tblOverlap w:val="never"/>
        <w:tblW w:w="9257" w:type="dxa"/>
        <w:jc w:val="center"/>
        <w:tblLayout w:type="fixed"/>
        <w:tblCellMar>
          <w:top w:w="0" w:type="dxa"/>
          <w:left w:w="108" w:type="dxa"/>
          <w:bottom w:w="0" w:type="dxa"/>
          <w:right w:w="108" w:type="dxa"/>
        </w:tblCellMar>
      </w:tblPr>
      <w:tblGrid>
        <w:gridCol w:w="635"/>
        <w:gridCol w:w="1676"/>
        <w:gridCol w:w="1324"/>
        <w:gridCol w:w="1284"/>
        <w:gridCol w:w="1284"/>
        <w:gridCol w:w="864"/>
        <w:gridCol w:w="2190"/>
      </w:tblGrid>
      <w:tr w14:paraId="6A3AC503">
        <w:tblPrEx>
          <w:tblCellMar>
            <w:top w:w="0" w:type="dxa"/>
            <w:left w:w="108" w:type="dxa"/>
            <w:bottom w:w="0" w:type="dxa"/>
            <w:right w:w="108" w:type="dxa"/>
          </w:tblCellMar>
        </w:tblPrEx>
        <w:trPr>
          <w:trHeight w:val="570" w:hRule="atLeast"/>
          <w:jc w:val="center"/>
        </w:trPr>
        <w:tc>
          <w:tcPr>
            <w:tcW w:w="635" w:type="dxa"/>
            <w:tcBorders>
              <w:top w:val="single" w:color="auto" w:sz="4" w:space="0"/>
              <w:left w:val="single" w:color="auto" w:sz="4" w:space="0"/>
              <w:bottom w:val="single" w:color="auto" w:sz="4" w:space="0"/>
              <w:right w:val="single" w:color="auto" w:sz="4" w:space="0"/>
            </w:tcBorders>
            <w:shd w:val="clear" w:color="auto" w:fill="auto"/>
            <w:vAlign w:val="center"/>
          </w:tcPr>
          <w:p w14:paraId="4F135A05">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序号</w:t>
            </w:r>
          </w:p>
        </w:tc>
        <w:tc>
          <w:tcPr>
            <w:tcW w:w="1676" w:type="dxa"/>
            <w:tcBorders>
              <w:top w:val="single" w:color="auto" w:sz="4" w:space="0"/>
              <w:left w:val="nil"/>
              <w:bottom w:val="nil"/>
              <w:right w:val="single" w:color="auto" w:sz="4" w:space="0"/>
            </w:tcBorders>
            <w:shd w:val="clear" w:color="auto" w:fill="auto"/>
            <w:vAlign w:val="center"/>
          </w:tcPr>
          <w:p w14:paraId="7D0FBCCB">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桥梁名称</w:t>
            </w:r>
          </w:p>
        </w:tc>
        <w:tc>
          <w:tcPr>
            <w:tcW w:w="1324" w:type="dxa"/>
            <w:tcBorders>
              <w:top w:val="single" w:color="auto" w:sz="4" w:space="0"/>
              <w:left w:val="nil"/>
              <w:bottom w:val="nil"/>
              <w:right w:val="single" w:color="auto" w:sz="4" w:space="0"/>
            </w:tcBorders>
            <w:shd w:val="clear" w:color="auto" w:fill="auto"/>
            <w:vAlign w:val="center"/>
          </w:tcPr>
          <w:p w14:paraId="770FD02A">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桥梁位置</w:t>
            </w:r>
          </w:p>
        </w:tc>
        <w:tc>
          <w:tcPr>
            <w:tcW w:w="1284" w:type="dxa"/>
            <w:tcBorders>
              <w:top w:val="single" w:color="auto" w:sz="4" w:space="0"/>
              <w:left w:val="nil"/>
              <w:bottom w:val="nil"/>
              <w:right w:val="single" w:color="auto" w:sz="4" w:space="0"/>
            </w:tcBorders>
            <w:shd w:val="clear" w:color="auto" w:fill="auto"/>
            <w:vAlign w:val="center"/>
          </w:tcPr>
          <w:p w14:paraId="6EE7D101">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检测项目</w:t>
            </w:r>
          </w:p>
        </w:tc>
        <w:tc>
          <w:tcPr>
            <w:tcW w:w="1284" w:type="dxa"/>
            <w:tcBorders>
              <w:top w:val="single" w:color="auto" w:sz="4" w:space="0"/>
              <w:left w:val="nil"/>
              <w:bottom w:val="nil"/>
              <w:right w:val="single" w:color="auto" w:sz="4" w:space="0"/>
            </w:tcBorders>
            <w:shd w:val="clear" w:color="auto" w:fill="auto"/>
            <w:vAlign w:val="center"/>
          </w:tcPr>
          <w:p w14:paraId="46FE13A8">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桥梁面积/㎡</w:t>
            </w:r>
          </w:p>
        </w:tc>
        <w:tc>
          <w:tcPr>
            <w:tcW w:w="864" w:type="dxa"/>
            <w:tcBorders>
              <w:top w:val="single" w:color="auto" w:sz="4" w:space="0"/>
              <w:left w:val="nil"/>
              <w:bottom w:val="nil"/>
              <w:right w:val="single" w:color="auto" w:sz="4" w:space="0"/>
            </w:tcBorders>
            <w:shd w:val="clear" w:color="auto" w:fill="auto"/>
            <w:vAlign w:val="center"/>
          </w:tcPr>
          <w:p w14:paraId="7554D531">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类别</w:t>
            </w:r>
          </w:p>
        </w:tc>
        <w:tc>
          <w:tcPr>
            <w:tcW w:w="2190" w:type="dxa"/>
            <w:tcBorders>
              <w:top w:val="single" w:color="auto" w:sz="4" w:space="0"/>
              <w:left w:val="nil"/>
              <w:bottom w:val="nil"/>
              <w:right w:val="single" w:color="auto" w:sz="4" w:space="0"/>
            </w:tcBorders>
            <w:shd w:val="clear" w:color="auto" w:fill="auto"/>
            <w:vAlign w:val="center"/>
          </w:tcPr>
          <w:p w14:paraId="029DC7B5">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检测依据</w:t>
            </w:r>
          </w:p>
        </w:tc>
      </w:tr>
      <w:tr w14:paraId="19E57C65">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548BC43C">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w:t>
            </w:r>
          </w:p>
        </w:tc>
        <w:tc>
          <w:tcPr>
            <w:tcW w:w="1676" w:type="dxa"/>
            <w:tcBorders>
              <w:top w:val="single" w:color="auto" w:sz="4" w:space="0"/>
              <w:left w:val="single" w:color="auto" w:sz="4" w:space="0"/>
              <w:bottom w:val="single" w:color="auto" w:sz="4" w:space="0"/>
              <w:right w:val="single" w:color="auto" w:sz="4" w:space="0"/>
            </w:tcBorders>
            <w:shd w:val="clear" w:color="auto" w:fill="auto"/>
            <w:vAlign w:val="center"/>
          </w:tcPr>
          <w:p w14:paraId="0ABAAA18">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广运大桥</w:t>
            </w:r>
          </w:p>
        </w:tc>
        <w:tc>
          <w:tcPr>
            <w:tcW w:w="1324" w:type="dxa"/>
            <w:tcBorders>
              <w:top w:val="single" w:color="auto" w:sz="4" w:space="0"/>
              <w:left w:val="nil"/>
              <w:bottom w:val="single" w:color="auto" w:sz="4" w:space="0"/>
              <w:right w:val="single" w:color="auto" w:sz="4" w:space="0"/>
            </w:tcBorders>
            <w:shd w:val="clear" w:color="auto" w:fill="auto"/>
            <w:vAlign w:val="center"/>
          </w:tcPr>
          <w:p w14:paraId="02B1DF6C">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东三环</w:t>
            </w:r>
          </w:p>
        </w:tc>
        <w:tc>
          <w:tcPr>
            <w:tcW w:w="1284" w:type="dxa"/>
            <w:tcBorders>
              <w:top w:val="single" w:color="auto" w:sz="4" w:space="0"/>
              <w:left w:val="nil"/>
              <w:bottom w:val="single" w:color="auto" w:sz="4" w:space="0"/>
              <w:right w:val="single" w:color="auto" w:sz="4" w:space="0"/>
            </w:tcBorders>
            <w:shd w:val="clear" w:color="auto" w:fill="auto"/>
            <w:vAlign w:val="center"/>
          </w:tcPr>
          <w:p w14:paraId="49879AB4">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结构检测/长期监测</w:t>
            </w:r>
          </w:p>
        </w:tc>
        <w:tc>
          <w:tcPr>
            <w:tcW w:w="1284" w:type="dxa"/>
            <w:tcBorders>
              <w:top w:val="single" w:color="auto" w:sz="4" w:space="0"/>
              <w:left w:val="nil"/>
              <w:bottom w:val="single" w:color="auto" w:sz="4" w:space="0"/>
              <w:right w:val="single" w:color="auto" w:sz="4" w:space="0"/>
            </w:tcBorders>
            <w:shd w:val="clear" w:color="auto" w:fill="auto"/>
            <w:vAlign w:val="center"/>
          </w:tcPr>
          <w:p w14:paraId="20725CE7">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49734</w:t>
            </w:r>
          </w:p>
        </w:tc>
        <w:tc>
          <w:tcPr>
            <w:tcW w:w="864" w:type="dxa"/>
            <w:tcBorders>
              <w:top w:val="single" w:color="auto" w:sz="4" w:space="0"/>
              <w:left w:val="nil"/>
              <w:bottom w:val="single" w:color="auto" w:sz="4" w:space="0"/>
              <w:right w:val="single" w:color="auto" w:sz="4" w:space="0"/>
            </w:tcBorders>
            <w:shd w:val="clear" w:color="auto" w:fill="auto"/>
            <w:vAlign w:val="center"/>
          </w:tcPr>
          <w:p w14:paraId="0F38D463">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Ⅰ类Ⅰ等</w:t>
            </w:r>
          </w:p>
        </w:tc>
        <w:tc>
          <w:tcPr>
            <w:tcW w:w="2190" w:type="dxa"/>
            <w:tcBorders>
              <w:top w:val="single" w:color="auto" w:sz="4" w:space="0"/>
              <w:left w:val="nil"/>
              <w:bottom w:val="single" w:color="auto" w:sz="4" w:space="0"/>
              <w:right w:val="single" w:color="auto" w:sz="4" w:space="0"/>
            </w:tcBorders>
            <w:shd w:val="clear" w:color="auto" w:fill="auto"/>
            <w:vAlign w:val="center"/>
          </w:tcPr>
          <w:p w14:paraId="1F0A7FC8">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城市桥梁养护技术标准4.3.12</w:t>
            </w:r>
          </w:p>
        </w:tc>
      </w:tr>
      <w:tr w14:paraId="4405FF05">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0A14B280">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2</w:t>
            </w:r>
          </w:p>
        </w:tc>
        <w:tc>
          <w:tcPr>
            <w:tcW w:w="1676" w:type="dxa"/>
            <w:tcBorders>
              <w:top w:val="nil"/>
              <w:left w:val="single" w:color="auto" w:sz="4" w:space="0"/>
              <w:bottom w:val="single" w:color="auto" w:sz="4" w:space="0"/>
              <w:right w:val="single" w:color="auto" w:sz="4" w:space="0"/>
            </w:tcBorders>
            <w:shd w:val="clear" w:color="auto" w:fill="auto"/>
            <w:vAlign w:val="center"/>
          </w:tcPr>
          <w:p w14:paraId="152C5552">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太华立交</w:t>
            </w:r>
          </w:p>
        </w:tc>
        <w:tc>
          <w:tcPr>
            <w:tcW w:w="1324" w:type="dxa"/>
            <w:tcBorders>
              <w:top w:val="nil"/>
              <w:left w:val="nil"/>
              <w:bottom w:val="single" w:color="auto" w:sz="4" w:space="0"/>
              <w:right w:val="single" w:color="auto" w:sz="4" w:space="0"/>
            </w:tcBorders>
            <w:shd w:val="clear" w:color="auto" w:fill="auto"/>
            <w:vAlign w:val="center"/>
          </w:tcPr>
          <w:p w14:paraId="1EC56F97">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环北路</w:t>
            </w:r>
          </w:p>
        </w:tc>
        <w:tc>
          <w:tcPr>
            <w:tcW w:w="1284" w:type="dxa"/>
            <w:tcBorders>
              <w:top w:val="nil"/>
              <w:left w:val="nil"/>
              <w:bottom w:val="single" w:color="auto" w:sz="4" w:space="0"/>
              <w:right w:val="single" w:color="auto" w:sz="4" w:space="0"/>
            </w:tcBorders>
            <w:shd w:val="clear" w:color="auto" w:fill="auto"/>
            <w:vAlign w:val="center"/>
          </w:tcPr>
          <w:p w14:paraId="2F24AABF">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2ED65D83">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10143.4</w:t>
            </w:r>
          </w:p>
        </w:tc>
        <w:tc>
          <w:tcPr>
            <w:tcW w:w="864" w:type="dxa"/>
            <w:tcBorders>
              <w:top w:val="nil"/>
              <w:left w:val="nil"/>
              <w:bottom w:val="single" w:color="auto" w:sz="4" w:space="0"/>
              <w:right w:val="single" w:color="auto" w:sz="4" w:space="0"/>
            </w:tcBorders>
            <w:shd w:val="clear" w:color="auto" w:fill="auto"/>
            <w:vAlign w:val="center"/>
          </w:tcPr>
          <w:p w14:paraId="62A7A499">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Ⅱ类Ⅰ等</w:t>
            </w:r>
          </w:p>
        </w:tc>
        <w:tc>
          <w:tcPr>
            <w:tcW w:w="2190" w:type="dxa"/>
            <w:tcBorders>
              <w:top w:val="nil"/>
              <w:left w:val="nil"/>
              <w:bottom w:val="single" w:color="auto" w:sz="4" w:space="0"/>
              <w:right w:val="single" w:color="auto" w:sz="4" w:space="0"/>
            </w:tcBorders>
            <w:shd w:val="clear" w:color="auto" w:fill="auto"/>
            <w:vAlign w:val="center"/>
          </w:tcPr>
          <w:p w14:paraId="6264DAA8">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城市桥梁养护技术标准4.3.1</w:t>
            </w:r>
          </w:p>
        </w:tc>
      </w:tr>
      <w:tr w14:paraId="09AA2E41">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73E49E5F">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3</w:t>
            </w:r>
          </w:p>
        </w:tc>
        <w:tc>
          <w:tcPr>
            <w:tcW w:w="1676" w:type="dxa"/>
            <w:tcBorders>
              <w:top w:val="nil"/>
              <w:left w:val="single" w:color="auto" w:sz="4" w:space="0"/>
              <w:bottom w:val="single" w:color="auto" w:sz="4" w:space="0"/>
              <w:right w:val="single" w:color="auto" w:sz="4" w:space="0"/>
            </w:tcBorders>
            <w:shd w:val="clear" w:color="auto" w:fill="auto"/>
            <w:vAlign w:val="center"/>
          </w:tcPr>
          <w:p w14:paraId="115EE477">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环城北路隧道</w:t>
            </w:r>
          </w:p>
        </w:tc>
        <w:tc>
          <w:tcPr>
            <w:tcW w:w="1324" w:type="dxa"/>
            <w:tcBorders>
              <w:top w:val="nil"/>
              <w:left w:val="nil"/>
              <w:bottom w:val="single" w:color="auto" w:sz="4" w:space="0"/>
              <w:right w:val="single" w:color="auto" w:sz="4" w:space="0"/>
            </w:tcBorders>
            <w:shd w:val="clear" w:color="auto" w:fill="auto"/>
            <w:vAlign w:val="center"/>
          </w:tcPr>
          <w:p w14:paraId="591DE3E5">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环北路</w:t>
            </w:r>
          </w:p>
        </w:tc>
        <w:tc>
          <w:tcPr>
            <w:tcW w:w="1284" w:type="dxa"/>
            <w:tcBorders>
              <w:top w:val="nil"/>
              <w:left w:val="nil"/>
              <w:bottom w:val="single" w:color="auto" w:sz="4" w:space="0"/>
              <w:right w:val="single" w:color="auto" w:sz="4" w:space="0"/>
            </w:tcBorders>
            <w:shd w:val="clear" w:color="auto" w:fill="auto"/>
            <w:vAlign w:val="center"/>
          </w:tcPr>
          <w:p w14:paraId="7E93EEED">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75505D15">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11559.6</w:t>
            </w:r>
          </w:p>
        </w:tc>
        <w:tc>
          <w:tcPr>
            <w:tcW w:w="864" w:type="dxa"/>
            <w:tcBorders>
              <w:top w:val="nil"/>
              <w:left w:val="nil"/>
              <w:bottom w:val="single" w:color="auto" w:sz="4" w:space="0"/>
              <w:right w:val="single" w:color="auto" w:sz="4" w:space="0"/>
            </w:tcBorders>
            <w:shd w:val="clear" w:color="auto" w:fill="auto"/>
            <w:vAlign w:val="center"/>
          </w:tcPr>
          <w:p w14:paraId="6918093F">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Ⅲ类Ⅰ等</w:t>
            </w:r>
          </w:p>
        </w:tc>
        <w:tc>
          <w:tcPr>
            <w:tcW w:w="2190" w:type="dxa"/>
            <w:tcBorders>
              <w:top w:val="nil"/>
              <w:left w:val="nil"/>
              <w:bottom w:val="single" w:color="auto" w:sz="4" w:space="0"/>
              <w:right w:val="single" w:color="auto" w:sz="4" w:space="0"/>
            </w:tcBorders>
            <w:shd w:val="clear" w:color="auto" w:fill="auto"/>
            <w:vAlign w:val="center"/>
          </w:tcPr>
          <w:p w14:paraId="7F3D63E9">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城市桥梁养护技术标准9.0.3</w:t>
            </w:r>
          </w:p>
        </w:tc>
      </w:tr>
      <w:tr w14:paraId="3F4C511E">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537928A1">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4</w:t>
            </w:r>
          </w:p>
        </w:tc>
        <w:tc>
          <w:tcPr>
            <w:tcW w:w="1676" w:type="dxa"/>
            <w:tcBorders>
              <w:top w:val="nil"/>
              <w:left w:val="single" w:color="auto" w:sz="4" w:space="0"/>
              <w:bottom w:val="single" w:color="auto" w:sz="4" w:space="0"/>
              <w:right w:val="single" w:color="auto" w:sz="4" w:space="0"/>
            </w:tcBorders>
            <w:shd w:val="clear" w:color="auto" w:fill="auto"/>
            <w:vAlign w:val="center"/>
          </w:tcPr>
          <w:p w14:paraId="0CFFA78A">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星火路隧道</w:t>
            </w:r>
          </w:p>
        </w:tc>
        <w:tc>
          <w:tcPr>
            <w:tcW w:w="1324" w:type="dxa"/>
            <w:tcBorders>
              <w:top w:val="nil"/>
              <w:left w:val="nil"/>
              <w:bottom w:val="single" w:color="auto" w:sz="4" w:space="0"/>
              <w:right w:val="single" w:color="auto" w:sz="4" w:space="0"/>
            </w:tcBorders>
            <w:shd w:val="clear" w:color="auto" w:fill="auto"/>
            <w:vAlign w:val="center"/>
          </w:tcPr>
          <w:p w14:paraId="2890C33B">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环北路</w:t>
            </w:r>
          </w:p>
        </w:tc>
        <w:tc>
          <w:tcPr>
            <w:tcW w:w="1284" w:type="dxa"/>
            <w:tcBorders>
              <w:top w:val="nil"/>
              <w:left w:val="nil"/>
              <w:bottom w:val="single" w:color="auto" w:sz="4" w:space="0"/>
              <w:right w:val="single" w:color="auto" w:sz="4" w:space="0"/>
            </w:tcBorders>
            <w:shd w:val="clear" w:color="auto" w:fill="auto"/>
            <w:vAlign w:val="center"/>
          </w:tcPr>
          <w:p w14:paraId="6E002AB3">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64090E2D">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9200</w:t>
            </w:r>
          </w:p>
        </w:tc>
        <w:tc>
          <w:tcPr>
            <w:tcW w:w="864" w:type="dxa"/>
            <w:tcBorders>
              <w:top w:val="nil"/>
              <w:left w:val="nil"/>
              <w:bottom w:val="single" w:color="auto" w:sz="4" w:space="0"/>
              <w:right w:val="single" w:color="auto" w:sz="4" w:space="0"/>
            </w:tcBorders>
            <w:shd w:val="clear" w:color="auto" w:fill="auto"/>
            <w:vAlign w:val="center"/>
          </w:tcPr>
          <w:p w14:paraId="320B6881">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Ⅲ类Ⅰ等</w:t>
            </w:r>
          </w:p>
        </w:tc>
        <w:tc>
          <w:tcPr>
            <w:tcW w:w="2190" w:type="dxa"/>
            <w:tcBorders>
              <w:top w:val="nil"/>
              <w:left w:val="nil"/>
              <w:bottom w:val="single" w:color="auto" w:sz="4" w:space="0"/>
              <w:right w:val="single" w:color="auto" w:sz="4" w:space="0"/>
            </w:tcBorders>
            <w:shd w:val="clear" w:color="auto" w:fill="auto"/>
            <w:vAlign w:val="center"/>
          </w:tcPr>
          <w:p w14:paraId="3A61A3C6">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城市桥梁养护技术标准9.0.3</w:t>
            </w:r>
          </w:p>
        </w:tc>
      </w:tr>
      <w:tr w14:paraId="1E605112">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461E0D45">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5</w:t>
            </w:r>
          </w:p>
        </w:tc>
        <w:tc>
          <w:tcPr>
            <w:tcW w:w="1676" w:type="dxa"/>
            <w:tcBorders>
              <w:top w:val="nil"/>
              <w:left w:val="single" w:color="auto" w:sz="4" w:space="0"/>
              <w:bottom w:val="single" w:color="auto" w:sz="4" w:space="0"/>
              <w:right w:val="single" w:color="auto" w:sz="4" w:space="0"/>
            </w:tcBorders>
            <w:shd w:val="clear" w:color="auto" w:fill="auto"/>
            <w:vAlign w:val="center"/>
          </w:tcPr>
          <w:p w14:paraId="0BEA8027">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金花隧道</w:t>
            </w:r>
          </w:p>
        </w:tc>
        <w:tc>
          <w:tcPr>
            <w:tcW w:w="1324" w:type="dxa"/>
            <w:tcBorders>
              <w:top w:val="nil"/>
              <w:left w:val="nil"/>
              <w:bottom w:val="single" w:color="auto" w:sz="4" w:space="0"/>
              <w:right w:val="single" w:color="auto" w:sz="4" w:space="0"/>
            </w:tcBorders>
            <w:shd w:val="clear" w:color="auto" w:fill="auto"/>
            <w:vAlign w:val="center"/>
          </w:tcPr>
          <w:p w14:paraId="44203D83">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东二环</w:t>
            </w:r>
          </w:p>
        </w:tc>
        <w:tc>
          <w:tcPr>
            <w:tcW w:w="1284" w:type="dxa"/>
            <w:tcBorders>
              <w:top w:val="nil"/>
              <w:left w:val="nil"/>
              <w:bottom w:val="single" w:color="auto" w:sz="4" w:space="0"/>
              <w:right w:val="single" w:color="auto" w:sz="4" w:space="0"/>
            </w:tcBorders>
            <w:shd w:val="clear" w:color="auto" w:fill="auto"/>
            <w:vAlign w:val="center"/>
          </w:tcPr>
          <w:p w14:paraId="0ACECF27">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0309681F">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18376.5</w:t>
            </w:r>
          </w:p>
        </w:tc>
        <w:tc>
          <w:tcPr>
            <w:tcW w:w="864" w:type="dxa"/>
            <w:tcBorders>
              <w:top w:val="nil"/>
              <w:left w:val="nil"/>
              <w:bottom w:val="single" w:color="auto" w:sz="4" w:space="0"/>
              <w:right w:val="single" w:color="auto" w:sz="4" w:space="0"/>
            </w:tcBorders>
            <w:shd w:val="clear" w:color="auto" w:fill="auto"/>
            <w:vAlign w:val="center"/>
          </w:tcPr>
          <w:p w14:paraId="02508F32">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II类Ⅰ等</w:t>
            </w:r>
          </w:p>
        </w:tc>
        <w:tc>
          <w:tcPr>
            <w:tcW w:w="2190" w:type="dxa"/>
            <w:tcBorders>
              <w:top w:val="nil"/>
              <w:left w:val="nil"/>
              <w:bottom w:val="single" w:color="auto" w:sz="4" w:space="0"/>
              <w:right w:val="single" w:color="auto" w:sz="4" w:space="0"/>
            </w:tcBorders>
            <w:shd w:val="clear" w:color="auto" w:fill="auto"/>
            <w:vAlign w:val="center"/>
          </w:tcPr>
          <w:p w14:paraId="4AF5128F">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城市桥梁养护技术标准9.0.3</w:t>
            </w:r>
          </w:p>
        </w:tc>
      </w:tr>
      <w:tr w14:paraId="68F31182">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550DED23">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6</w:t>
            </w:r>
          </w:p>
        </w:tc>
        <w:tc>
          <w:tcPr>
            <w:tcW w:w="1676" w:type="dxa"/>
            <w:tcBorders>
              <w:top w:val="nil"/>
              <w:left w:val="single" w:color="auto" w:sz="4" w:space="0"/>
              <w:bottom w:val="single" w:color="auto" w:sz="4" w:space="0"/>
              <w:right w:val="single" w:color="auto" w:sz="4" w:space="0"/>
            </w:tcBorders>
            <w:shd w:val="clear" w:color="auto" w:fill="auto"/>
            <w:vAlign w:val="center"/>
          </w:tcPr>
          <w:p w14:paraId="1003BB69">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含光门-朱雀门隧道</w:t>
            </w:r>
          </w:p>
        </w:tc>
        <w:tc>
          <w:tcPr>
            <w:tcW w:w="1324" w:type="dxa"/>
            <w:tcBorders>
              <w:top w:val="nil"/>
              <w:left w:val="nil"/>
              <w:bottom w:val="single" w:color="auto" w:sz="4" w:space="0"/>
              <w:right w:val="single" w:color="auto" w:sz="4" w:space="0"/>
            </w:tcBorders>
            <w:shd w:val="clear" w:color="auto" w:fill="auto"/>
            <w:vAlign w:val="center"/>
          </w:tcPr>
          <w:p w14:paraId="760ABDEB">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环南路</w:t>
            </w:r>
          </w:p>
        </w:tc>
        <w:tc>
          <w:tcPr>
            <w:tcW w:w="1284" w:type="dxa"/>
            <w:tcBorders>
              <w:top w:val="nil"/>
              <w:left w:val="nil"/>
              <w:bottom w:val="single" w:color="auto" w:sz="4" w:space="0"/>
              <w:right w:val="single" w:color="auto" w:sz="4" w:space="0"/>
            </w:tcBorders>
            <w:shd w:val="clear" w:color="auto" w:fill="auto"/>
            <w:vAlign w:val="center"/>
          </w:tcPr>
          <w:p w14:paraId="7AFEA6C2">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7534885B">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14730</w:t>
            </w:r>
          </w:p>
        </w:tc>
        <w:tc>
          <w:tcPr>
            <w:tcW w:w="864" w:type="dxa"/>
            <w:tcBorders>
              <w:top w:val="nil"/>
              <w:left w:val="nil"/>
              <w:bottom w:val="single" w:color="auto" w:sz="4" w:space="0"/>
              <w:right w:val="single" w:color="auto" w:sz="4" w:space="0"/>
            </w:tcBorders>
            <w:shd w:val="clear" w:color="auto" w:fill="auto"/>
            <w:vAlign w:val="center"/>
          </w:tcPr>
          <w:p w14:paraId="4B04A936">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Ⅱ类Ⅰ等</w:t>
            </w:r>
          </w:p>
        </w:tc>
        <w:tc>
          <w:tcPr>
            <w:tcW w:w="2190" w:type="dxa"/>
            <w:tcBorders>
              <w:top w:val="nil"/>
              <w:left w:val="nil"/>
              <w:bottom w:val="single" w:color="auto" w:sz="4" w:space="0"/>
              <w:right w:val="single" w:color="auto" w:sz="4" w:space="0"/>
            </w:tcBorders>
            <w:shd w:val="clear" w:color="auto" w:fill="auto"/>
            <w:vAlign w:val="center"/>
          </w:tcPr>
          <w:p w14:paraId="5169C5E3">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城市桥梁养护技术标准9.0.3</w:t>
            </w:r>
          </w:p>
        </w:tc>
      </w:tr>
      <w:tr w14:paraId="677188DB">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5339355B">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7</w:t>
            </w:r>
          </w:p>
        </w:tc>
        <w:tc>
          <w:tcPr>
            <w:tcW w:w="1676" w:type="dxa"/>
            <w:tcBorders>
              <w:top w:val="nil"/>
              <w:left w:val="single" w:color="auto" w:sz="4" w:space="0"/>
              <w:bottom w:val="single" w:color="auto" w:sz="4" w:space="0"/>
              <w:right w:val="single" w:color="auto" w:sz="4" w:space="0"/>
            </w:tcBorders>
            <w:shd w:val="clear" w:color="auto" w:fill="auto"/>
            <w:vAlign w:val="center"/>
          </w:tcPr>
          <w:p w14:paraId="190CA9A7">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永宁门隧道</w:t>
            </w:r>
          </w:p>
        </w:tc>
        <w:tc>
          <w:tcPr>
            <w:tcW w:w="1324" w:type="dxa"/>
            <w:tcBorders>
              <w:top w:val="nil"/>
              <w:left w:val="nil"/>
              <w:bottom w:val="single" w:color="auto" w:sz="4" w:space="0"/>
              <w:right w:val="single" w:color="auto" w:sz="4" w:space="0"/>
            </w:tcBorders>
            <w:shd w:val="clear" w:color="auto" w:fill="auto"/>
            <w:vAlign w:val="center"/>
          </w:tcPr>
          <w:p w14:paraId="661247C0">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环南路</w:t>
            </w:r>
          </w:p>
        </w:tc>
        <w:tc>
          <w:tcPr>
            <w:tcW w:w="1284" w:type="dxa"/>
            <w:tcBorders>
              <w:top w:val="nil"/>
              <w:left w:val="nil"/>
              <w:bottom w:val="single" w:color="auto" w:sz="4" w:space="0"/>
              <w:right w:val="single" w:color="auto" w:sz="4" w:space="0"/>
            </w:tcBorders>
            <w:shd w:val="clear" w:color="auto" w:fill="auto"/>
            <w:vAlign w:val="center"/>
          </w:tcPr>
          <w:p w14:paraId="72A2D634">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363434DB">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8590.4</w:t>
            </w:r>
          </w:p>
        </w:tc>
        <w:tc>
          <w:tcPr>
            <w:tcW w:w="864" w:type="dxa"/>
            <w:tcBorders>
              <w:top w:val="nil"/>
              <w:left w:val="nil"/>
              <w:bottom w:val="single" w:color="auto" w:sz="4" w:space="0"/>
              <w:right w:val="single" w:color="auto" w:sz="4" w:space="0"/>
            </w:tcBorders>
            <w:shd w:val="clear" w:color="auto" w:fill="auto"/>
            <w:vAlign w:val="center"/>
          </w:tcPr>
          <w:p w14:paraId="53FF03DB">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Ⅱ类Ⅰ等</w:t>
            </w:r>
          </w:p>
        </w:tc>
        <w:tc>
          <w:tcPr>
            <w:tcW w:w="2190" w:type="dxa"/>
            <w:tcBorders>
              <w:top w:val="nil"/>
              <w:left w:val="nil"/>
              <w:bottom w:val="single" w:color="auto" w:sz="4" w:space="0"/>
              <w:right w:val="single" w:color="auto" w:sz="4" w:space="0"/>
            </w:tcBorders>
            <w:shd w:val="clear" w:color="auto" w:fill="auto"/>
            <w:vAlign w:val="center"/>
          </w:tcPr>
          <w:p w14:paraId="4DEB4891">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城市桥梁养护技术标准9.0.3</w:t>
            </w:r>
          </w:p>
        </w:tc>
      </w:tr>
      <w:tr w14:paraId="1A045283">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4FDF0882">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8</w:t>
            </w:r>
          </w:p>
        </w:tc>
        <w:tc>
          <w:tcPr>
            <w:tcW w:w="1676" w:type="dxa"/>
            <w:tcBorders>
              <w:top w:val="nil"/>
              <w:left w:val="single" w:color="auto" w:sz="4" w:space="0"/>
              <w:bottom w:val="single" w:color="auto" w:sz="4" w:space="0"/>
              <w:right w:val="single" w:color="auto" w:sz="4" w:space="0"/>
            </w:tcBorders>
            <w:shd w:val="clear" w:color="auto" w:fill="auto"/>
            <w:vAlign w:val="center"/>
          </w:tcPr>
          <w:p w14:paraId="2C1CC399">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文昌门-和平门隧道</w:t>
            </w:r>
          </w:p>
        </w:tc>
        <w:tc>
          <w:tcPr>
            <w:tcW w:w="1324" w:type="dxa"/>
            <w:tcBorders>
              <w:top w:val="nil"/>
              <w:left w:val="nil"/>
              <w:bottom w:val="single" w:color="auto" w:sz="4" w:space="0"/>
              <w:right w:val="single" w:color="auto" w:sz="4" w:space="0"/>
            </w:tcBorders>
            <w:shd w:val="clear" w:color="auto" w:fill="auto"/>
            <w:vAlign w:val="center"/>
          </w:tcPr>
          <w:p w14:paraId="5732361B">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环南路</w:t>
            </w:r>
          </w:p>
        </w:tc>
        <w:tc>
          <w:tcPr>
            <w:tcW w:w="1284" w:type="dxa"/>
            <w:tcBorders>
              <w:top w:val="nil"/>
              <w:left w:val="nil"/>
              <w:bottom w:val="single" w:color="auto" w:sz="4" w:space="0"/>
              <w:right w:val="single" w:color="auto" w:sz="4" w:space="0"/>
            </w:tcBorders>
            <w:shd w:val="clear" w:color="auto" w:fill="auto"/>
            <w:vAlign w:val="center"/>
          </w:tcPr>
          <w:p w14:paraId="63F70D95">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3B4D8CCA">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18440</w:t>
            </w:r>
          </w:p>
        </w:tc>
        <w:tc>
          <w:tcPr>
            <w:tcW w:w="864" w:type="dxa"/>
            <w:tcBorders>
              <w:top w:val="nil"/>
              <w:left w:val="nil"/>
              <w:bottom w:val="single" w:color="auto" w:sz="4" w:space="0"/>
              <w:right w:val="single" w:color="auto" w:sz="4" w:space="0"/>
            </w:tcBorders>
            <w:shd w:val="clear" w:color="auto" w:fill="auto"/>
            <w:vAlign w:val="center"/>
          </w:tcPr>
          <w:p w14:paraId="68ADDCF7">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Ⅱ类Ⅰ等</w:t>
            </w:r>
          </w:p>
        </w:tc>
        <w:tc>
          <w:tcPr>
            <w:tcW w:w="2190" w:type="dxa"/>
            <w:tcBorders>
              <w:top w:val="nil"/>
              <w:left w:val="nil"/>
              <w:bottom w:val="single" w:color="auto" w:sz="4" w:space="0"/>
              <w:right w:val="single" w:color="auto" w:sz="4" w:space="0"/>
            </w:tcBorders>
            <w:shd w:val="clear" w:color="auto" w:fill="auto"/>
            <w:vAlign w:val="center"/>
          </w:tcPr>
          <w:p w14:paraId="4089B32A">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城市桥梁养护技术标准9.0.3</w:t>
            </w:r>
          </w:p>
        </w:tc>
      </w:tr>
      <w:tr w14:paraId="65BC9B1B">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67B7B496">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9</w:t>
            </w:r>
          </w:p>
        </w:tc>
        <w:tc>
          <w:tcPr>
            <w:tcW w:w="1676" w:type="dxa"/>
            <w:tcBorders>
              <w:top w:val="nil"/>
              <w:left w:val="single" w:color="auto" w:sz="4" w:space="0"/>
              <w:bottom w:val="single" w:color="auto" w:sz="4" w:space="0"/>
              <w:right w:val="single" w:color="auto" w:sz="4" w:space="0"/>
            </w:tcBorders>
            <w:shd w:val="clear" w:color="auto" w:fill="auto"/>
            <w:vAlign w:val="center"/>
          </w:tcPr>
          <w:p w14:paraId="00107009">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红庙坡隧道</w:t>
            </w:r>
          </w:p>
        </w:tc>
        <w:tc>
          <w:tcPr>
            <w:tcW w:w="1324" w:type="dxa"/>
            <w:tcBorders>
              <w:top w:val="nil"/>
              <w:left w:val="nil"/>
              <w:bottom w:val="single" w:color="auto" w:sz="4" w:space="0"/>
              <w:right w:val="single" w:color="auto" w:sz="4" w:space="0"/>
            </w:tcBorders>
            <w:shd w:val="clear" w:color="auto" w:fill="auto"/>
            <w:vAlign w:val="center"/>
          </w:tcPr>
          <w:p w14:paraId="66895CC3">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星火路</w:t>
            </w:r>
          </w:p>
        </w:tc>
        <w:tc>
          <w:tcPr>
            <w:tcW w:w="1284" w:type="dxa"/>
            <w:tcBorders>
              <w:top w:val="nil"/>
              <w:left w:val="nil"/>
              <w:bottom w:val="single" w:color="auto" w:sz="4" w:space="0"/>
              <w:right w:val="single" w:color="auto" w:sz="4" w:space="0"/>
            </w:tcBorders>
            <w:shd w:val="clear" w:color="auto" w:fill="auto"/>
            <w:vAlign w:val="center"/>
          </w:tcPr>
          <w:p w14:paraId="3EA83553">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51383873">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2137.5</w:t>
            </w:r>
          </w:p>
        </w:tc>
        <w:tc>
          <w:tcPr>
            <w:tcW w:w="864" w:type="dxa"/>
            <w:tcBorders>
              <w:top w:val="nil"/>
              <w:left w:val="nil"/>
              <w:bottom w:val="single" w:color="auto" w:sz="4" w:space="0"/>
              <w:right w:val="single" w:color="auto" w:sz="4" w:space="0"/>
            </w:tcBorders>
            <w:shd w:val="clear" w:color="auto" w:fill="auto"/>
            <w:vAlign w:val="center"/>
          </w:tcPr>
          <w:p w14:paraId="293EEDF6">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Ⅲ类Ⅰ等</w:t>
            </w:r>
          </w:p>
        </w:tc>
        <w:tc>
          <w:tcPr>
            <w:tcW w:w="2190" w:type="dxa"/>
            <w:tcBorders>
              <w:top w:val="nil"/>
              <w:left w:val="nil"/>
              <w:bottom w:val="single" w:color="auto" w:sz="4" w:space="0"/>
              <w:right w:val="single" w:color="auto" w:sz="4" w:space="0"/>
            </w:tcBorders>
            <w:shd w:val="clear" w:color="auto" w:fill="auto"/>
            <w:vAlign w:val="center"/>
          </w:tcPr>
          <w:p w14:paraId="2C0DEA64">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城市桥梁养护技术标准9.0.3</w:t>
            </w:r>
          </w:p>
        </w:tc>
      </w:tr>
      <w:tr w14:paraId="4748998B">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3981F4E6">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10</w:t>
            </w:r>
          </w:p>
        </w:tc>
        <w:tc>
          <w:tcPr>
            <w:tcW w:w="1676" w:type="dxa"/>
            <w:tcBorders>
              <w:top w:val="nil"/>
              <w:left w:val="single" w:color="auto" w:sz="4" w:space="0"/>
              <w:bottom w:val="single" w:color="auto" w:sz="4" w:space="0"/>
              <w:right w:val="single" w:color="auto" w:sz="4" w:space="0"/>
            </w:tcBorders>
            <w:shd w:val="clear" w:color="auto" w:fill="auto"/>
            <w:vAlign w:val="center"/>
          </w:tcPr>
          <w:p w14:paraId="22E4351E">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韩森东路浐河桥</w:t>
            </w:r>
          </w:p>
        </w:tc>
        <w:tc>
          <w:tcPr>
            <w:tcW w:w="1324" w:type="dxa"/>
            <w:tcBorders>
              <w:top w:val="nil"/>
              <w:left w:val="nil"/>
              <w:bottom w:val="single" w:color="auto" w:sz="4" w:space="0"/>
              <w:right w:val="single" w:color="auto" w:sz="4" w:space="0"/>
            </w:tcBorders>
            <w:shd w:val="clear" w:color="auto" w:fill="auto"/>
            <w:vAlign w:val="center"/>
          </w:tcPr>
          <w:p w14:paraId="6EF79D84">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韩森路</w:t>
            </w:r>
          </w:p>
        </w:tc>
        <w:tc>
          <w:tcPr>
            <w:tcW w:w="1284" w:type="dxa"/>
            <w:tcBorders>
              <w:top w:val="nil"/>
              <w:left w:val="nil"/>
              <w:bottom w:val="single" w:color="auto" w:sz="4" w:space="0"/>
              <w:right w:val="single" w:color="auto" w:sz="4" w:space="0"/>
            </w:tcBorders>
            <w:shd w:val="clear" w:color="auto" w:fill="auto"/>
            <w:vAlign w:val="center"/>
          </w:tcPr>
          <w:p w14:paraId="7E43AF5D">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752FFAFF">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3780</w:t>
            </w:r>
          </w:p>
        </w:tc>
        <w:tc>
          <w:tcPr>
            <w:tcW w:w="864" w:type="dxa"/>
            <w:tcBorders>
              <w:top w:val="nil"/>
              <w:left w:val="nil"/>
              <w:bottom w:val="single" w:color="auto" w:sz="4" w:space="0"/>
              <w:right w:val="single" w:color="auto" w:sz="4" w:space="0"/>
            </w:tcBorders>
            <w:shd w:val="clear" w:color="auto" w:fill="auto"/>
            <w:vAlign w:val="center"/>
          </w:tcPr>
          <w:p w14:paraId="57BD36E6">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Ⅳ类Ⅱ等</w:t>
            </w:r>
          </w:p>
        </w:tc>
        <w:tc>
          <w:tcPr>
            <w:tcW w:w="2190" w:type="dxa"/>
            <w:tcBorders>
              <w:top w:val="nil"/>
              <w:left w:val="nil"/>
              <w:bottom w:val="single" w:color="auto" w:sz="4" w:space="0"/>
              <w:right w:val="single" w:color="auto" w:sz="4" w:space="0"/>
            </w:tcBorders>
            <w:shd w:val="clear" w:color="auto" w:fill="auto"/>
            <w:vAlign w:val="center"/>
          </w:tcPr>
          <w:p w14:paraId="3377A969">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城市桥梁养护技术标准4.3.1</w:t>
            </w:r>
          </w:p>
        </w:tc>
      </w:tr>
      <w:tr w14:paraId="0EC11E40">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1B0B82D5">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11</w:t>
            </w:r>
          </w:p>
        </w:tc>
        <w:tc>
          <w:tcPr>
            <w:tcW w:w="1676" w:type="dxa"/>
            <w:tcBorders>
              <w:top w:val="nil"/>
              <w:left w:val="single" w:color="auto" w:sz="4" w:space="0"/>
              <w:bottom w:val="single" w:color="auto" w:sz="4" w:space="0"/>
              <w:right w:val="single" w:color="auto" w:sz="4" w:space="0"/>
            </w:tcBorders>
            <w:shd w:val="clear" w:color="auto" w:fill="auto"/>
            <w:vAlign w:val="center"/>
          </w:tcPr>
          <w:p w14:paraId="1DF69C27">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太华路立交</w:t>
            </w:r>
          </w:p>
        </w:tc>
        <w:tc>
          <w:tcPr>
            <w:tcW w:w="1324" w:type="dxa"/>
            <w:tcBorders>
              <w:top w:val="nil"/>
              <w:left w:val="nil"/>
              <w:bottom w:val="single" w:color="auto" w:sz="4" w:space="0"/>
              <w:right w:val="single" w:color="auto" w:sz="4" w:space="0"/>
            </w:tcBorders>
            <w:shd w:val="clear" w:color="auto" w:fill="auto"/>
            <w:vAlign w:val="center"/>
          </w:tcPr>
          <w:p w14:paraId="2669C9D8">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北二环</w:t>
            </w:r>
          </w:p>
        </w:tc>
        <w:tc>
          <w:tcPr>
            <w:tcW w:w="1284" w:type="dxa"/>
            <w:tcBorders>
              <w:top w:val="nil"/>
              <w:left w:val="nil"/>
              <w:bottom w:val="single" w:color="auto" w:sz="4" w:space="0"/>
              <w:right w:val="single" w:color="auto" w:sz="4" w:space="0"/>
            </w:tcBorders>
            <w:shd w:val="clear" w:color="auto" w:fill="auto"/>
            <w:vAlign w:val="center"/>
          </w:tcPr>
          <w:p w14:paraId="00F0C99D">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43D3CF04">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7664</w:t>
            </w:r>
          </w:p>
        </w:tc>
        <w:tc>
          <w:tcPr>
            <w:tcW w:w="864" w:type="dxa"/>
            <w:tcBorders>
              <w:top w:val="nil"/>
              <w:left w:val="nil"/>
              <w:bottom w:val="single" w:color="auto" w:sz="4" w:space="0"/>
              <w:right w:val="single" w:color="auto" w:sz="4" w:space="0"/>
            </w:tcBorders>
            <w:shd w:val="clear" w:color="auto" w:fill="auto"/>
            <w:vAlign w:val="center"/>
          </w:tcPr>
          <w:p w14:paraId="6C79A969">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Ⅱ类Ⅰ等</w:t>
            </w:r>
          </w:p>
        </w:tc>
        <w:tc>
          <w:tcPr>
            <w:tcW w:w="2190" w:type="dxa"/>
            <w:tcBorders>
              <w:top w:val="nil"/>
              <w:left w:val="nil"/>
              <w:bottom w:val="single" w:color="auto" w:sz="4" w:space="0"/>
              <w:right w:val="single" w:color="auto" w:sz="4" w:space="0"/>
            </w:tcBorders>
            <w:shd w:val="clear" w:color="auto" w:fill="auto"/>
            <w:vAlign w:val="center"/>
          </w:tcPr>
          <w:p w14:paraId="45D9AFA0">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城市桥梁养护技术标准4.3.1</w:t>
            </w:r>
          </w:p>
        </w:tc>
      </w:tr>
      <w:tr w14:paraId="237183C8">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5D85A1F7">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12</w:t>
            </w:r>
          </w:p>
        </w:tc>
        <w:tc>
          <w:tcPr>
            <w:tcW w:w="1676" w:type="dxa"/>
            <w:tcBorders>
              <w:top w:val="nil"/>
              <w:left w:val="single" w:color="auto" w:sz="4" w:space="0"/>
              <w:bottom w:val="single" w:color="auto" w:sz="4" w:space="0"/>
              <w:right w:val="single" w:color="auto" w:sz="4" w:space="0"/>
            </w:tcBorders>
            <w:shd w:val="clear" w:color="auto" w:fill="auto"/>
            <w:vAlign w:val="center"/>
          </w:tcPr>
          <w:p w14:paraId="280CD75A">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明光路桥</w:t>
            </w:r>
          </w:p>
        </w:tc>
        <w:tc>
          <w:tcPr>
            <w:tcW w:w="1324" w:type="dxa"/>
            <w:tcBorders>
              <w:top w:val="nil"/>
              <w:left w:val="nil"/>
              <w:bottom w:val="single" w:color="auto" w:sz="4" w:space="0"/>
              <w:right w:val="single" w:color="auto" w:sz="4" w:space="0"/>
            </w:tcBorders>
            <w:shd w:val="clear" w:color="auto" w:fill="auto"/>
            <w:vAlign w:val="center"/>
          </w:tcPr>
          <w:p w14:paraId="59AB273C">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北二环（明光路）</w:t>
            </w:r>
          </w:p>
        </w:tc>
        <w:tc>
          <w:tcPr>
            <w:tcW w:w="1284" w:type="dxa"/>
            <w:tcBorders>
              <w:top w:val="nil"/>
              <w:left w:val="nil"/>
              <w:bottom w:val="single" w:color="auto" w:sz="4" w:space="0"/>
              <w:right w:val="single" w:color="auto" w:sz="4" w:space="0"/>
            </w:tcBorders>
            <w:shd w:val="clear" w:color="auto" w:fill="auto"/>
            <w:vAlign w:val="center"/>
          </w:tcPr>
          <w:p w14:paraId="6C753BCE">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77E6BFFC">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7875</w:t>
            </w:r>
          </w:p>
        </w:tc>
        <w:tc>
          <w:tcPr>
            <w:tcW w:w="864" w:type="dxa"/>
            <w:tcBorders>
              <w:top w:val="nil"/>
              <w:left w:val="nil"/>
              <w:bottom w:val="single" w:color="auto" w:sz="4" w:space="0"/>
              <w:right w:val="single" w:color="auto" w:sz="4" w:space="0"/>
            </w:tcBorders>
            <w:shd w:val="clear" w:color="auto" w:fill="auto"/>
            <w:vAlign w:val="center"/>
          </w:tcPr>
          <w:p w14:paraId="30D2430E">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Ⅱ类Ⅰ等</w:t>
            </w:r>
          </w:p>
        </w:tc>
        <w:tc>
          <w:tcPr>
            <w:tcW w:w="2190" w:type="dxa"/>
            <w:tcBorders>
              <w:top w:val="nil"/>
              <w:left w:val="nil"/>
              <w:bottom w:val="single" w:color="auto" w:sz="4" w:space="0"/>
              <w:right w:val="single" w:color="auto" w:sz="4" w:space="0"/>
            </w:tcBorders>
            <w:shd w:val="clear" w:color="auto" w:fill="auto"/>
            <w:vAlign w:val="center"/>
          </w:tcPr>
          <w:p w14:paraId="50EBB65C">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城市桥梁养护技术标准4.3.1</w:t>
            </w:r>
          </w:p>
        </w:tc>
      </w:tr>
      <w:tr w14:paraId="4C672496">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0792D99E">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13</w:t>
            </w:r>
          </w:p>
        </w:tc>
        <w:tc>
          <w:tcPr>
            <w:tcW w:w="1676" w:type="dxa"/>
            <w:tcBorders>
              <w:top w:val="nil"/>
              <w:left w:val="single" w:color="auto" w:sz="4" w:space="0"/>
              <w:bottom w:val="single" w:color="auto" w:sz="4" w:space="0"/>
              <w:right w:val="single" w:color="auto" w:sz="4" w:space="0"/>
            </w:tcBorders>
            <w:shd w:val="clear" w:color="auto" w:fill="auto"/>
            <w:vAlign w:val="center"/>
          </w:tcPr>
          <w:p w14:paraId="61B9ACF7">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朱宏路凤城四路立交</w:t>
            </w:r>
          </w:p>
        </w:tc>
        <w:tc>
          <w:tcPr>
            <w:tcW w:w="1324" w:type="dxa"/>
            <w:tcBorders>
              <w:top w:val="nil"/>
              <w:left w:val="nil"/>
              <w:bottom w:val="single" w:color="auto" w:sz="4" w:space="0"/>
              <w:right w:val="single" w:color="auto" w:sz="4" w:space="0"/>
            </w:tcBorders>
            <w:shd w:val="clear" w:color="auto" w:fill="auto"/>
            <w:vAlign w:val="center"/>
          </w:tcPr>
          <w:p w14:paraId="0AD375A6">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朱宏路</w:t>
            </w:r>
          </w:p>
        </w:tc>
        <w:tc>
          <w:tcPr>
            <w:tcW w:w="1284" w:type="dxa"/>
            <w:tcBorders>
              <w:top w:val="nil"/>
              <w:left w:val="nil"/>
              <w:bottom w:val="single" w:color="auto" w:sz="4" w:space="0"/>
              <w:right w:val="single" w:color="auto" w:sz="4" w:space="0"/>
            </w:tcBorders>
            <w:shd w:val="clear" w:color="auto" w:fill="auto"/>
            <w:vAlign w:val="center"/>
          </w:tcPr>
          <w:p w14:paraId="19B2F362">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528CB6B6">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14268.37</w:t>
            </w:r>
          </w:p>
        </w:tc>
        <w:tc>
          <w:tcPr>
            <w:tcW w:w="864" w:type="dxa"/>
            <w:tcBorders>
              <w:top w:val="nil"/>
              <w:left w:val="nil"/>
              <w:bottom w:val="single" w:color="auto" w:sz="4" w:space="0"/>
              <w:right w:val="single" w:color="auto" w:sz="4" w:space="0"/>
            </w:tcBorders>
            <w:shd w:val="clear" w:color="auto" w:fill="auto"/>
            <w:vAlign w:val="center"/>
          </w:tcPr>
          <w:p w14:paraId="00DEF754">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Ⅱ类Ⅰ等</w:t>
            </w:r>
          </w:p>
        </w:tc>
        <w:tc>
          <w:tcPr>
            <w:tcW w:w="2190" w:type="dxa"/>
            <w:tcBorders>
              <w:top w:val="nil"/>
              <w:left w:val="nil"/>
              <w:bottom w:val="single" w:color="auto" w:sz="4" w:space="0"/>
              <w:right w:val="single" w:color="auto" w:sz="4" w:space="0"/>
            </w:tcBorders>
            <w:shd w:val="clear" w:color="auto" w:fill="auto"/>
            <w:vAlign w:val="center"/>
          </w:tcPr>
          <w:p w14:paraId="2B1ED9C0">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城市桥梁养护技术标准4.3.1</w:t>
            </w:r>
          </w:p>
        </w:tc>
      </w:tr>
      <w:tr w14:paraId="290C82CD">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13CF7A41">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14</w:t>
            </w:r>
          </w:p>
        </w:tc>
        <w:tc>
          <w:tcPr>
            <w:tcW w:w="1676" w:type="dxa"/>
            <w:tcBorders>
              <w:top w:val="nil"/>
              <w:left w:val="single" w:color="auto" w:sz="4" w:space="0"/>
              <w:bottom w:val="single" w:color="auto" w:sz="4" w:space="0"/>
              <w:right w:val="single" w:color="auto" w:sz="4" w:space="0"/>
            </w:tcBorders>
            <w:shd w:val="clear" w:color="auto" w:fill="auto"/>
            <w:vAlign w:val="center"/>
          </w:tcPr>
          <w:p w14:paraId="423C5E46">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韩森东路跨三环桥</w:t>
            </w:r>
          </w:p>
        </w:tc>
        <w:tc>
          <w:tcPr>
            <w:tcW w:w="1324" w:type="dxa"/>
            <w:tcBorders>
              <w:top w:val="nil"/>
              <w:left w:val="nil"/>
              <w:bottom w:val="single" w:color="auto" w:sz="4" w:space="0"/>
              <w:right w:val="single" w:color="auto" w:sz="4" w:space="0"/>
            </w:tcBorders>
            <w:shd w:val="clear" w:color="auto" w:fill="auto"/>
            <w:vAlign w:val="center"/>
          </w:tcPr>
          <w:p w14:paraId="211CAB67">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韩森东路</w:t>
            </w:r>
          </w:p>
        </w:tc>
        <w:tc>
          <w:tcPr>
            <w:tcW w:w="1284" w:type="dxa"/>
            <w:tcBorders>
              <w:top w:val="nil"/>
              <w:left w:val="nil"/>
              <w:bottom w:val="single" w:color="auto" w:sz="4" w:space="0"/>
              <w:right w:val="single" w:color="auto" w:sz="4" w:space="0"/>
            </w:tcBorders>
            <w:shd w:val="clear" w:color="auto" w:fill="auto"/>
            <w:vAlign w:val="center"/>
          </w:tcPr>
          <w:p w14:paraId="534E1CAC">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6ACCEFEA">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9838.51</w:t>
            </w:r>
          </w:p>
        </w:tc>
        <w:tc>
          <w:tcPr>
            <w:tcW w:w="864" w:type="dxa"/>
            <w:tcBorders>
              <w:top w:val="nil"/>
              <w:left w:val="nil"/>
              <w:bottom w:val="single" w:color="auto" w:sz="4" w:space="0"/>
              <w:right w:val="single" w:color="auto" w:sz="4" w:space="0"/>
            </w:tcBorders>
            <w:shd w:val="clear" w:color="auto" w:fill="auto"/>
            <w:vAlign w:val="center"/>
          </w:tcPr>
          <w:p w14:paraId="681D307D">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Ⅱ类Ⅰ等</w:t>
            </w:r>
          </w:p>
        </w:tc>
        <w:tc>
          <w:tcPr>
            <w:tcW w:w="2190" w:type="dxa"/>
            <w:tcBorders>
              <w:top w:val="nil"/>
              <w:left w:val="nil"/>
              <w:bottom w:val="single" w:color="auto" w:sz="4" w:space="0"/>
              <w:right w:val="single" w:color="auto" w:sz="4" w:space="0"/>
            </w:tcBorders>
            <w:shd w:val="clear" w:color="auto" w:fill="auto"/>
            <w:vAlign w:val="center"/>
          </w:tcPr>
          <w:p w14:paraId="0E73AC29">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城市桥梁养护技术标准4.3.1</w:t>
            </w:r>
          </w:p>
        </w:tc>
      </w:tr>
      <w:tr w14:paraId="2F2E4027">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7BF6B477">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15</w:t>
            </w:r>
          </w:p>
        </w:tc>
        <w:tc>
          <w:tcPr>
            <w:tcW w:w="1676" w:type="dxa"/>
            <w:tcBorders>
              <w:top w:val="nil"/>
              <w:left w:val="single" w:color="auto" w:sz="4" w:space="0"/>
              <w:bottom w:val="single" w:color="auto" w:sz="4" w:space="0"/>
              <w:right w:val="single" w:color="auto" w:sz="4" w:space="0"/>
            </w:tcBorders>
            <w:shd w:val="clear" w:color="auto" w:fill="auto"/>
            <w:vAlign w:val="center"/>
          </w:tcPr>
          <w:p w14:paraId="092AFD65">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红旗专用线桥</w:t>
            </w:r>
          </w:p>
        </w:tc>
        <w:tc>
          <w:tcPr>
            <w:tcW w:w="1324" w:type="dxa"/>
            <w:tcBorders>
              <w:top w:val="nil"/>
              <w:left w:val="nil"/>
              <w:bottom w:val="single" w:color="auto" w:sz="4" w:space="0"/>
              <w:right w:val="single" w:color="auto" w:sz="4" w:space="0"/>
            </w:tcBorders>
            <w:shd w:val="clear" w:color="auto" w:fill="auto"/>
            <w:vAlign w:val="center"/>
          </w:tcPr>
          <w:p w14:paraId="5A029828">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北二环</w:t>
            </w:r>
          </w:p>
        </w:tc>
        <w:tc>
          <w:tcPr>
            <w:tcW w:w="1284" w:type="dxa"/>
            <w:tcBorders>
              <w:top w:val="nil"/>
              <w:left w:val="nil"/>
              <w:bottom w:val="single" w:color="auto" w:sz="4" w:space="0"/>
              <w:right w:val="single" w:color="auto" w:sz="4" w:space="0"/>
            </w:tcBorders>
            <w:shd w:val="clear" w:color="auto" w:fill="auto"/>
            <w:vAlign w:val="center"/>
          </w:tcPr>
          <w:p w14:paraId="42F74994">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6AA9FCFF">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376.8</w:t>
            </w:r>
          </w:p>
        </w:tc>
        <w:tc>
          <w:tcPr>
            <w:tcW w:w="864" w:type="dxa"/>
            <w:tcBorders>
              <w:top w:val="nil"/>
              <w:left w:val="nil"/>
              <w:bottom w:val="single" w:color="auto" w:sz="4" w:space="0"/>
              <w:right w:val="single" w:color="auto" w:sz="4" w:space="0"/>
            </w:tcBorders>
            <w:shd w:val="clear" w:color="auto" w:fill="auto"/>
            <w:vAlign w:val="center"/>
          </w:tcPr>
          <w:p w14:paraId="0E383C30">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Ⅲ类Ⅰ等</w:t>
            </w:r>
          </w:p>
        </w:tc>
        <w:tc>
          <w:tcPr>
            <w:tcW w:w="2190" w:type="dxa"/>
            <w:tcBorders>
              <w:top w:val="nil"/>
              <w:left w:val="nil"/>
              <w:bottom w:val="single" w:color="auto" w:sz="4" w:space="0"/>
              <w:right w:val="single" w:color="auto" w:sz="4" w:space="0"/>
            </w:tcBorders>
            <w:shd w:val="clear" w:color="auto" w:fill="auto"/>
            <w:vAlign w:val="center"/>
          </w:tcPr>
          <w:p w14:paraId="2DAEFC21">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城市桥梁养护技术标准4.3.1</w:t>
            </w:r>
          </w:p>
        </w:tc>
      </w:tr>
      <w:tr w14:paraId="74CBDC4F">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38D2C4C7">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16</w:t>
            </w:r>
          </w:p>
        </w:tc>
        <w:tc>
          <w:tcPr>
            <w:tcW w:w="1676" w:type="dxa"/>
            <w:tcBorders>
              <w:top w:val="nil"/>
              <w:left w:val="single" w:color="auto" w:sz="4" w:space="0"/>
              <w:bottom w:val="single" w:color="auto" w:sz="4" w:space="0"/>
              <w:right w:val="single" w:color="auto" w:sz="4" w:space="0"/>
            </w:tcBorders>
            <w:shd w:val="clear" w:color="auto" w:fill="auto"/>
            <w:vAlign w:val="center"/>
          </w:tcPr>
          <w:p w14:paraId="4D744B34">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红旗立交</w:t>
            </w:r>
          </w:p>
        </w:tc>
        <w:tc>
          <w:tcPr>
            <w:tcW w:w="1324" w:type="dxa"/>
            <w:tcBorders>
              <w:top w:val="nil"/>
              <w:left w:val="nil"/>
              <w:bottom w:val="single" w:color="auto" w:sz="4" w:space="0"/>
              <w:right w:val="single" w:color="auto" w:sz="4" w:space="0"/>
            </w:tcBorders>
            <w:shd w:val="clear" w:color="auto" w:fill="auto"/>
            <w:vAlign w:val="center"/>
          </w:tcPr>
          <w:p w14:paraId="58B71C4A">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北二环</w:t>
            </w:r>
          </w:p>
        </w:tc>
        <w:tc>
          <w:tcPr>
            <w:tcW w:w="1284" w:type="dxa"/>
            <w:tcBorders>
              <w:top w:val="nil"/>
              <w:left w:val="nil"/>
              <w:bottom w:val="single" w:color="auto" w:sz="4" w:space="0"/>
              <w:right w:val="single" w:color="auto" w:sz="4" w:space="0"/>
            </w:tcBorders>
            <w:shd w:val="clear" w:color="auto" w:fill="auto"/>
            <w:vAlign w:val="center"/>
          </w:tcPr>
          <w:p w14:paraId="71234DC0">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0DB5B596">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909</w:t>
            </w:r>
          </w:p>
        </w:tc>
        <w:tc>
          <w:tcPr>
            <w:tcW w:w="864" w:type="dxa"/>
            <w:tcBorders>
              <w:top w:val="nil"/>
              <w:left w:val="nil"/>
              <w:bottom w:val="single" w:color="auto" w:sz="4" w:space="0"/>
              <w:right w:val="single" w:color="auto" w:sz="4" w:space="0"/>
            </w:tcBorders>
            <w:shd w:val="clear" w:color="auto" w:fill="auto"/>
            <w:vAlign w:val="center"/>
          </w:tcPr>
          <w:p w14:paraId="06B6B8DA">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Ⅲ类Ⅰ等</w:t>
            </w:r>
          </w:p>
        </w:tc>
        <w:tc>
          <w:tcPr>
            <w:tcW w:w="2190" w:type="dxa"/>
            <w:tcBorders>
              <w:top w:val="nil"/>
              <w:left w:val="nil"/>
              <w:bottom w:val="single" w:color="auto" w:sz="4" w:space="0"/>
              <w:right w:val="single" w:color="auto" w:sz="4" w:space="0"/>
            </w:tcBorders>
            <w:shd w:val="clear" w:color="auto" w:fill="auto"/>
            <w:vAlign w:val="center"/>
          </w:tcPr>
          <w:p w14:paraId="3EB8B4A2">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城市桥梁养护技术标准4.3.1</w:t>
            </w:r>
          </w:p>
        </w:tc>
      </w:tr>
      <w:tr w14:paraId="79B0CD97">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28429F1C">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17</w:t>
            </w:r>
          </w:p>
        </w:tc>
        <w:tc>
          <w:tcPr>
            <w:tcW w:w="1676" w:type="dxa"/>
            <w:tcBorders>
              <w:top w:val="nil"/>
              <w:left w:val="single" w:color="auto" w:sz="4" w:space="0"/>
              <w:bottom w:val="single" w:color="auto" w:sz="4" w:space="0"/>
              <w:right w:val="single" w:color="auto" w:sz="4" w:space="0"/>
            </w:tcBorders>
            <w:shd w:val="clear" w:color="auto" w:fill="auto"/>
            <w:vAlign w:val="center"/>
          </w:tcPr>
          <w:p w14:paraId="3C450CAA">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文景立交</w:t>
            </w:r>
          </w:p>
        </w:tc>
        <w:tc>
          <w:tcPr>
            <w:tcW w:w="1324" w:type="dxa"/>
            <w:tcBorders>
              <w:top w:val="nil"/>
              <w:left w:val="nil"/>
              <w:bottom w:val="single" w:color="auto" w:sz="4" w:space="0"/>
              <w:right w:val="single" w:color="auto" w:sz="4" w:space="0"/>
            </w:tcBorders>
            <w:shd w:val="clear" w:color="auto" w:fill="auto"/>
            <w:vAlign w:val="center"/>
          </w:tcPr>
          <w:p w14:paraId="67E7AB39">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北二环</w:t>
            </w:r>
          </w:p>
        </w:tc>
        <w:tc>
          <w:tcPr>
            <w:tcW w:w="1284" w:type="dxa"/>
            <w:tcBorders>
              <w:top w:val="nil"/>
              <w:left w:val="nil"/>
              <w:bottom w:val="single" w:color="auto" w:sz="4" w:space="0"/>
              <w:right w:val="single" w:color="auto" w:sz="4" w:space="0"/>
            </w:tcBorders>
            <w:shd w:val="clear" w:color="auto" w:fill="auto"/>
            <w:vAlign w:val="center"/>
          </w:tcPr>
          <w:p w14:paraId="60DD5D13">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2F103465">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3630</w:t>
            </w:r>
          </w:p>
        </w:tc>
        <w:tc>
          <w:tcPr>
            <w:tcW w:w="864" w:type="dxa"/>
            <w:tcBorders>
              <w:top w:val="nil"/>
              <w:left w:val="nil"/>
              <w:bottom w:val="single" w:color="auto" w:sz="4" w:space="0"/>
              <w:right w:val="single" w:color="auto" w:sz="4" w:space="0"/>
            </w:tcBorders>
            <w:shd w:val="clear" w:color="auto" w:fill="auto"/>
            <w:vAlign w:val="center"/>
          </w:tcPr>
          <w:p w14:paraId="4547112E">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Ⅱ类Ⅰ等</w:t>
            </w:r>
          </w:p>
        </w:tc>
        <w:tc>
          <w:tcPr>
            <w:tcW w:w="2190" w:type="dxa"/>
            <w:tcBorders>
              <w:top w:val="nil"/>
              <w:left w:val="nil"/>
              <w:bottom w:val="single" w:color="auto" w:sz="4" w:space="0"/>
              <w:right w:val="single" w:color="auto" w:sz="4" w:space="0"/>
            </w:tcBorders>
            <w:shd w:val="clear" w:color="auto" w:fill="auto"/>
            <w:vAlign w:val="center"/>
          </w:tcPr>
          <w:p w14:paraId="2FA7BAA2">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城市桥梁养护技术标准4.3.1</w:t>
            </w:r>
          </w:p>
        </w:tc>
      </w:tr>
      <w:tr w14:paraId="692F828E">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0871090C">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18</w:t>
            </w:r>
          </w:p>
        </w:tc>
        <w:tc>
          <w:tcPr>
            <w:tcW w:w="1676" w:type="dxa"/>
            <w:tcBorders>
              <w:top w:val="nil"/>
              <w:left w:val="single" w:color="auto" w:sz="4" w:space="0"/>
              <w:bottom w:val="single" w:color="auto" w:sz="4" w:space="0"/>
              <w:right w:val="single" w:color="auto" w:sz="4" w:space="0"/>
            </w:tcBorders>
            <w:shd w:val="clear" w:color="auto" w:fill="auto"/>
            <w:vAlign w:val="center"/>
          </w:tcPr>
          <w:p w14:paraId="532CD2AC">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 xml:space="preserve">三桥跨皂河1号桥 </w:t>
            </w:r>
          </w:p>
        </w:tc>
        <w:tc>
          <w:tcPr>
            <w:tcW w:w="1324" w:type="dxa"/>
            <w:tcBorders>
              <w:top w:val="nil"/>
              <w:left w:val="nil"/>
              <w:bottom w:val="single" w:color="auto" w:sz="4" w:space="0"/>
              <w:right w:val="single" w:color="auto" w:sz="4" w:space="0"/>
            </w:tcBorders>
            <w:shd w:val="clear" w:color="auto" w:fill="auto"/>
            <w:vAlign w:val="center"/>
          </w:tcPr>
          <w:p w14:paraId="476F8161">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三桥立交东</w:t>
            </w:r>
          </w:p>
        </w:tc>
        <w:tc>
          <w:tcPr>
            <w:tcW w:w="1284" w:type="dxa"/>
            <w:tcBorders>
              <w:top w:val="nil"/>
              <w:left w:val="nil"/>
              <w:bottom w:val="single" w:color="auto" w:sz="4" w:space="0"/>
              <w:right w:val="single" w:color="auto" w:sz="4" w:space="0"/>
            </w:tcBorders>
            <w:shd w:val="clear" w:color="auto" w:fill="auto"/>
            <w:vAlign w:val="center"/>
          </w:tcPr>
          <w:p w14:paraId="39CE7F57">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6C893651">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758</w:t>
            </w:r>
          </w:p>
        </w:tc>
        <w:tc>
          <w:tcPr>
            <w:tcW w:w="864" w:type="dxa"/>
            <w:tcBorders>
              <w:top w:val="nil"/>
              <w:left w:val="nil"/>
              <w:bottom w:val="single" w:color="auto" w:sz="4" w:space="0"/>
              <w:right w:val="single" w:color="auto" w:sz="4" w:space="0"/>
            </w:tcBorders>
            <w:shd w:val="clear" w:color="auto" w:fill="auto"/>
            <w:vAlign w:val="center"/>
          </w:tcPr>
          <w:p w14:paraId="05C31023">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Ⅳ类Ⅲ等</w:t>
            </w:r>
          </w:p>
        </w:tc>
        <w:tc>
          <w:tcPr>
            <w:tcW w:w="2190" w:type="dxa"/>
            <w:tcBorders>
              <w:top w:val="nil"/>
              <w:left w:val="nil"/>
              <w:bottom w:val="single" w:color="auto" w:sz="4" w:space="0"/>
              <w:right w:val="single" w:color="auto" w:sz="4" w:space="0"/>
            </w:tcBorders>
            <w:shd w:val="clear" w:color="auto" w:fill="auto"/>
            <w:vAlign w:val="center"/>
          </w:tcPr>
          <w:p w14:paraId="1BA265B4">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城市桥梁养护技术标准4.3.1</w:t>
            </w:r>
          </w:p>
        </w:tc>
      </w:tr>
      <w:tr w14:paraId="34AD722D">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579D39A9">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19</w:t>
            </w:r>
          </w:p>
        </w:tc>
        <w:tc>
          <w:tcPr>
            <w:tcW w:w="1676" w:type="dxa"/>
            <w:tcBorders>
              <w:top w:val="nil"/>
              <w:left w:val="single" w:color="auto" w:sz="4" w:space="0"/>
              <w:bottom w:val="single" w:color="auto" w:sz="4" w:space="0"/>
              <w:right w:val="single" w:color="auto" w:sz="4" w:space="0"/>
            </w:tcBorders>
            <w:shd w:val="clear" w:color="auto" w:fill="auto"/>
            <w:vAlign w:val="center"/>
          </w:tcPr>
          <w:p w14:paraId="48AF80D1">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 xml:space="preserve">三桥跨皂河2号桥 </w:t>
            </w:r>
          </w:p>
        </w:tc>
        <w:tc>
          <w:tcPr>
            <w:tcW w:w="1324" w:type="dxa"/>
            <w:tcBorders>
              <w:top w:val="nil"/>
              <w:left w:val="nil"/>
              <w:bottom w:val="single" w:color="auto" w:sz="4" w:space="0"/>
              <w:right w:val="single" w:color="auto" w:sz="4" w:space="0"/>
            </w:tcBorders>
            <w:shd w:val="clear" w:color="auto" w:fill="auto"/>
            <w:vAlign w:val="center"/>
          </w:tcPr>
          <w:p w14:paraId="7262AFED">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三桥立交东</w:t>
            </w:r>
          </w:p>
        </w:tc>
        <w:tc>
          <w:tcPr>
            <w:tcW w:w="1284" w:type="dxa"/>
            <w:tcBorders>
              <w:top w:val="nil"/>
              <w:left w:val="nil"/>
              <w:bottom w:val="single" w:color="auto" w:sz="4" w:space="0"/>
              <w:right w:val="single" w:color="auto" w:sz="4" w:space="0"/>
            </w:tcBorders>
            <w:shd w:val="clear" w:color="auto" w:fill="auto"/>
            <w:vAlign w:val="center"/>
          </w:tcPr>
          <w:p w14:paraId="5EE11AB5">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5295BFD8">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801</w:t>
            </w:r>
          </w:p>
        </w:tc>
        <w:tc>
          <w:tcPr>
            <w:tcW w:w="864" w:type="dxa"/>
            <w:tcBorders>
              <w:top w:val="nil"/>
              <w:left w:val="nil"/>
              <w:bottom w:val="single" w:color="auto" w:sz="4" w:space="0"/>
              <w:right w:val="single" w:color="auto" w:sz="4" w:space="0"/>
            </w:tcBorders>
            <w:shd w:val="clear" w:color="auto" w:fill="auto"/>
            <w:vAlign w:val="center"/>
          </w:tcPr>
          <w:p w14:paraId="201B80C7">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Ⅳ类Ⅲ等</w:t>
            </w:r>
          </w:p>
        </w:tc>
        <w:tc>
          <w:tcPr>
            <w:tcW w:w="2190" w:type="dxa"/>
            <w:tcBorders>
              <w:top w:val="nil"/>
              <w:left w:val="nil"/>
              <w:bottom w:val="single" w:color="auto" w:sz="4" w:space="0"/>
              <w:right w:val="single" w:color="auto" w:sz="4" w:space="0"/>
            </w:tcBorders>
            <w:shd w:val="clear" w:color="auto" w:fill="auto"/>
            <w:vAlign w:val="center"/>
          </w:tcPr>
          <w:p w14:paraId="29743D58">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城市桥梁养护技术标准4.3.1</w:t>
            </w:r>
          </w:p>
        </w:tc>
      </w:tr>
      <w:tr w14:paraId="31D86209">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63439640">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20</w:t>
            </w:r>
          </w:p>
        </w:tc>
        <w:tc>
          <w:tcPr>
            <w:tcW w:w="1676" w:type="dxa"/>
            <w:tcBorders>
              <w:top w:val="nil"/>
              <w:left w:val="single" w:color="auto" w:sz="4" w:space="0"/>
              <w:bottom w:val="single" w:color="auto" w:sz="4" w:space="0"/>
              <w:right w:val="single" w:color="auto" w:sz="4" w:space="0"/>
            </w:tcBorders>
            <w:shd w:val="clear" w:color="auto" w:fill="auto"/>
            <w:vAlign w:val="center"/>
          </w:tcPr>
          <w:p w14:paraId="46AB33B9">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三桥跨皂河3号桥</w:t>
            </w:r>
          </w:p>
        </w:tc>
        <w:tc>
          <w:tcPr>
            <w:tcW w:w="1324" w:type="dxa"/>
            <w:tcBorders>
              <w:top w:val="nil"/>
              <w:left w:val="nil"/>
              <w:bottom w:val="single" w:color="auto" w:sz="4" w:space="0"/>
              <w:right w:val="single" w:color="auto" w:sz="4" w:space="0"/>
            </w:tcBorders>
            <w:shd w:val="clear" w:color="auto" w:fill="auto"/>
            <w:vAlign w:val="center"/>
          </w:tcPr>
          <w:p w14:paraId="7B0BDF28">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三桥立交东</w:t>
            </w:r>
          </w:p>
        </w:tc>
        <w:tc>
          <w:tcPr>
            <w:tcW w:w="1284" w:type="dxa"/>
            <w:tcBorders>
              <w:top w:val="nil"/>
              <w:left w:val="nil"/>
              <w:bottom w:val="single" w:color="auto" w:sz="4" w:space="0"/>
              <w:right w:val="single" w:color="auto" w:sz="4" w:space="0"/>
            </w:tcBorders>
            <w:shd w:val="clear" w:color="auto" w:fill="auto"/>
            <w:vAlign w:val="center"/>
          </w:tcPr>
          <w:p w14:paraId="014BDE8F">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02113052">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615.6</w:t>
            </w:r>
          </w:p>
        </w:tc>
        <w:tc>
          <w:tcPr>
            <w:tcW w:w="864" w:type="dxa"/>
            <w:tcBorders>
              <w:top w:val="nil"/>
              <w:left w:val="nil"/>
              <w:bottom w:val="single" w:color="auto" w:sz="4" w:space="0"/>
              <w:right w:val="single" w:color="auto" w:sz="4" w:space="0"/>
            </w:tcBorders>
            <w:shd w:val="clear" w:color="auto" w:fill="auto"/>
            <w:vAlign w:val="center"/>
          </w:tcPr>
          <w:p w14:paraId="54E9CEEC">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Ⅲ类Ⅰ等</w:t>
            </w:r>
          </w:p>
        </w:tc>
        <w:tc>
          <w:tcPr>
            <w:tcW w:w="2190" w:type="dxa"/>
            <w:tcBorders>
              <w:top w:val="nil"/>
              <w:left w:val="nil"/>
              <w:bottom w:val="single" w:color="auto" w:sz="4" w:space="0"/>
              <w:right w:val="single" w:color="auto" w:sz="4" w:space="0"/>
            </w:tcBorders>
            <w:shd w:val="clear" w:color="auto" w:fill="auto"/>
            <w:vAlign w:val="center"/>
          </w:tcPr>
          <w:p w14:paraId="574B4BA0">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城市桥梁养护技术标准4.3.1</w:t>
            </w:r>
          </w:p>
        </w:tc>
      </w:tr>
      <w:tr w14:paraId="1CE56A50">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7486A6E0">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21</w:t>
            </w:r>
          </w:p>
        </w:tc>
        <w:tc>
          <w:tcPr>
            <w:tcW w:w="1676" w:type="dxa"/>
            <w:tcBorders>
              <w:top w:val="nil"/>
              <w:left w:val="single" w:color="auto" w:sz="4" w:space="0"/>
              <w:bottom w:val="single" w:color="auto" w:sz="4" w:space="0"/>
              <w:right w:val="single" w:color="auto" w:sz="4" w:space="0"/>
            </w:tcBorders>
            <w:shd w:val="clear" w:color="auto" w:fill="auto"/>
            <w:vAlign w:val="center"/>
          </w:tcPr>
          <w:p w14:paraId="5730C71E">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三桥跨皂河4号桥</w:t>
            </w:r>
          </w:p>
        </w:tc>
        <w:tc>
          <w:tcPr>
            <w:tcW w:w="1324" w:type="dxa"/>
            <w:tcBorders>
              <w:top w:val="nil"/>
              <w:left w:val="nil"/>
              <w:bottom w:val="single" w:color="auto" w:sz="4" w:space="0"/>
              <w:right w:val="single" w:color="auto" w:sz="4" w:space="0"/>
            </w:tcBorders>
            <w:shd w:val="clear" w:color="auto" w:fill="auto"/>
            <w:vAlign w:val="center"/>
          </w:tcPr>
          <w:p w14:paraId="08A0F807">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三桥立交东</w:t>
            </w:r>
          </w:p>
        </w:tc>
        <w:tc>
          <w:tcPr>
            <w:tcW w:w="1284" w:type="dxa"/>
            <w:tcBorders>
              <w:top w:val="nil"/>
              <w:left w:val="nil"/>
              <w:bottom w:val="single" w:color="auto" w:sz="4" w:space="0"/>
              <w:right w:val="single" w:color="auto" w:sz="4" w:space="0"/>
            </w:tcBorders>
            <w:shd w:val="clear" w:color="auto" w:fill="auto"/>
            <w:vAlign w:val="center"/>
          </w:tcPr>
          <w:p w14:paraId="0F4F2CB1">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4BA4DD0D">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615.6</w:t>
            </w:r>
          </w:p>
        </w:tc>
        <w:tc>
          <w:tcPr>
            <w:tcW w:w="864" w:type="dxa"/>
            <w:tcBorders>
              <w:top w:val="nil"/>
              <w:left w:val="nil"/>
              <w:bottom w:val="single" w:color="auto" w:sz="4" w:space="0"/>
              <w:right w:val="single" w:color="auto" w:sz="4" w:space="0"/>
            </w:tcBorders>
            <w:shd w:val="clear" w:color="auto" w:fill="auto"/>
            <w:vAlign w:val="center"/>
          </w:tcPr>
          <w:p w14:paraId="4882FA98">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Ⅲ类Ⅰ等</w:t>
            </w:r>
          </w:p>
        </w:tc>
        <w:tc>
          <w:tcPr>
            <w:tcW w:w="2190" w:type="dxa"/>
            <w:tcBorders>
              <w:top w:val="nil"/>
              <w:left w:val="nil"/>
              <w:bottom w:val="single" w:color="auto" w:sz="4" w:space="0"/>
              <w:right w:val="single" w:color="auto" w:sz="4" w:space="0"/>
            </w:tcBorders>
            <w:shd w:val="clear" w:color="auto" w:fill="auto"/>
            <w:vAlign w:val="center"/>
          </w:tcPr>
          <w:p w14:paraId="372556CF">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城市桥梁养护技术标准4.3.1</w:t>
            </w:r>
          </w:p>
        </w:tc>
      </w:tr>
      <w:tr w14:paraId="0F60F693">
        <w:tblPrEx>
          <w:tblCellMar>
            <w:top w:w="0" w:type="dxa"/>
            <w:left w:w="108" w:type="dxa"/>
            <w:bottom w:w="0" w:type="dxa"/>
            <w:right w:w="108" w:type="dxa"/>
          </w:tblCellMar>
        </w:tblPrEx>
        <w:trPr>
          <w:trHeight w:val="720" w:hRule="atLeast"/>
          <w:jc w:val="center"/>
        </w:trPr>
        <w:tc>
          <w:tcPr>
            <w:tcW w:w="635" w:type="dxa"/>
            <w:tcBorders>
              <w:top w:val="nil"/>
              <w:left w:val="single" w:color="000000" w:sz="4" w:space="0"/>
              <w:bottom w:val="single" w:color="000000" w:sz="4" w:space="0"/>
              <w:right w:val="nil"/>
            </w:tcBorders>
            <w:shd w:val="clear" w:color="auto" w:fill="auto"/>
            <w:noWrap/>
            <w:vAlign w:val="center"/>
          </w:tcPr>
          <w:p w14:paraId="76BE0FD4">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22</w:t>
            </w:r>
          </w:p>
        </w:tc>
        <w:tc>
          <w:tcPr>
            <w:tcW w:w="1676" w:type="dxa"/>
            <w:tcBorders>
              <w:top w:val="nil"/>
              <w:left w:val="single" w:color="auto" w:sz="4" w:space="0"/>
              <w:bottom w:val="single" w:color="auto" w:sz="4" w:space="0"/>
              <w:right w:val="single" w:color="auto" w:sz="4" w:space="0"/>
            </w:tcBorders>
            <w:shd w:val="clear" w:color="auto" w:fill="auto"/>
            <w:vAlign w:val="center"/>
          </w:tcPr>
          <w:p w14:paraId="6A2F0FB9">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三桥跨皂河5号桥</w:t>
            </w:r>
          </w:p>
        </w:tc>
        <w:tc>
          <w:tcPr>
            <w:tcW w:w="1324" w:type="dxa"/>
            <w:tcBorders>
              <w:top w:val="nil"/>
              <w:left w:val="nil"/>
              <w:bottom w:val="single" w:color="auto" w:sz="4" w:space="0"/>
              <w:right w:val="single" w:color="auto" w:sz="4" w:space="0"/>
            </w:tcBorders>
            <w:shd w:val="clear" w:color="auto" w:fill="auto"/>
            <w:vAlign w:val="center"/>
          </w:tcPr>
          <w:p w14:paraId="74C0EFB3">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三桥立交东</w:t>
            </w:r>
          </w:p>
        </w:tc>
        <w:tc>
          <w:tcPr>
            <w:tcW w:w="1284" w:type="dxa"/>
            <w:tcBorders>
              <w:top w:val="nil"/>
              <w:left w:val="nil"/>
              <w:bottom w:val="single" w:color="auto" w:sz="4" w:space="0"/>
              <w:right w:val="single" w:color="auto" w:sz="4" w:space="0"/>
            </w:tcBorders>
            <w:shd w:val="clear" w:color="auto" w:fill="auto"/>
            <w:vAlign w:val="center"/>
          </w:tcPr>
          <w:p w14:paraId="43E1589A">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结构检测</w:t>
            </w:r>
          </w:p>
        </w:tc>
        <w:tc>
          <w:tcPr>
            <w:tcW w:w="1284" w:type="dxa"/>
            <w:tcBorders>
              <w:top w:val="nil"/>
              <w:left w:val="nil"/>
              <w:bottom w:val="single" w:color="auto" w:sz="4" w:space="0"/>
              <w:right w:val="single" w:color="auto" w:sz="4" w:space="0"/>
            </w:tcBorders>
            <w:shd w:val="clear" w:color="auto" w:fill="auto"/>
            <w:vAlign w:val="center"/>
          </w:tcPr>
          <w:p w14:paraId="3B318516">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649.7</w:t>
            </w:r>
          </w:p>
        </w:tc>
        <w:tc>
          <w:tcPr>
            <w:tcW w:w="864" w:type="dxa"/>
            <w:tcBorders>
              <w:top w:val="nil"/>
              <w:left w:val="nil"/>
              <w:bottom w:val="single" w:color="auto" w:sz="4" w:space="0"/>
              <w:right w:val="single" w:color="auto" w:sz="4" w:space="0"/>
            </w:tcBorders>
            <w:shd w:val="clear" w:color="auto" w:fill="auto"/>
            <w:vAlign w:val="center"/>
          </w:tcPr>
          <w:p w14:paraId="716F3FBE">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Ⅳ类Ⅲ等</w:t>
            </w:r>
          </w:p>
        </w:tc>
        <w:tc>
          <w:tcPr>
            <w:tcW w:w="2190" w:type="dxa"/>
            <w:tcBorders>
              <w:top w:val="nil"/>
              <w:left w:val="nil"/>
              <w:bottom w:val="single" w:color="auto" w:sz="4" w:space="0"/>
              <w:right w:val="single" w:color="auto" w:sz="4" w:space="0"/>
            </w:tcBorders>
            <w:shd w:val="clear" w:color="auto" w:fill="auto"/>
            <w:vAlign w:val="center"/>
          </w:tcPr>
          <w:p w14:paraId="2E411F05">
            <w:pPr>
              <w:widowControl/>
              <w:wordWrap/>
              <w:topLinePunct w:val="0"/>
              <w:spacing w:line="240" w:lineRule="auto"/>
              <w:jc w:val="center"/>
              <w:rPr>
                <w:rFonts w:hint="eastAsia" w:ascii="宋体" w:hAnsi="宋体" w:eastAsia="宋体" w:cs="宋体"/>
                <w:color w:val="000000" w:themeColor="text1"/>
                <w:kern w:val="0"/>
                <w:sz w:val="24"/>
                <w:szCs w:val="24"/>
                <w:lang w:bidi="mn-Mong-CN"/>
                <w14:textFill>
                  <w14:solidFill>
                    <w14:schemeClr w14:val="tx1"/>
                  </w14:solidFill>
                </w14:textFill>
              </w:rPr>
            </w:pPr>
            <w:r>
              <w:rPr>
                <w:rFonts w:hint="eastAsia" w:ascii="宋体" w:hAnsi="宋体" w:eastAsia="宋体" w:cs="宋体"/>
                <w:color w:val="000000" w:themeColor="text1"/>
                <w:kern w:val="0"/>
                <w:sz w:val="24"/>
                <w:szCs w:val="24"/>
                <w:lang w:bidi="mn-Mong-CN"/>
                <w14:textFill>
                  <w14:solidFill>
                    <w14:schemeClr w14:val="tx1"/>
                  </w14:solidFill>
                </w14:textFill>
              </w:rPr>
              <w:t>城市桥梁养护技术标准4.3.1</w:t>
            </w:r>
          </w:p>
        </w:tc>
      </w:tr>
    </w:tbl>
    <w:p w14:paraId="310FCFF0">
      <w:pPr>
        <w:bidi w:val="0"/>
        <w:spacing w:line="360" w:lineRule="auto"/>
        <w:rPr>
          <w:rFonts w:hint="eastAsia" w:ascii="宋体" w:hAnsi="宋体" w:eastAsia="宋体" w:cs="宋体"/>
          <w:b/>
          <w:bCs/>
          <w:sz w:val="24"/>
          <w:szCs w:val="24"/>
          <w:lang w:val="en-US" w:eastAsia="zh-CN"/>
        </w:rPr>
      </w:pPr>
    </w:p>
    <w:p w14:paraId="1571642D">
      <w:pPr>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三、资质、人员、设备要求</w:t>
      </w:r>
    </w:p>
    <w:p w14:paraId="633BD688">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lang w:val="en-US" w:eastAsia="zh-CN"/>
        </w:rPr>
        <w:t>1、检测单位应具备：</w:t>
      </w:r>
      <w:r>
        <w:rPr>
          <w:rFonts w:hint="eastAsia" w:ascii="宋体" w:hAnsi="宋体" w:eastAsia="宋体" w:cs="宋体"/>
          <w:sz w:val="24"/>
          <w:szCs w:val="24"/>
          <w:highlight w:val="none"/>
        </w:rPr>
        <w:t>交通运输部主管部门颁发的公路工程甲级资质或桥梁隧道工程专项试验检测机构资质</w:t>
      </w:r>
      <w:r>
        <w:rPr>
          <w:rFonts w:hint="eastAsia" w:ascii="宋体" w:hAnsi="宋体" w:eastAsia="宋体" w:cs="宋体"/>
          <w:sz w:val="24"/>
          <w:szCs w:val="24"/>
          <w:highlight w:val="none"/>
          <w:lang w:eastAsia="zh-CN"/>
        </w:rPr>
        <w:t>。</w:t>
      </w:r>
    </w:p>
    <w:p w14:paraId="0075B5B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000000"/>
          <w:sz w:val="24"/>
          <w:szCs w:val="24"/>
          <w:highlight w:val="none"/>
          <w:lang w:val="en-US" w:eastAsia="zh-CN"/>
        </w:rPr>
        <w:t>2、监测和检测工作应配备：项目负责人应具备</w:t>
      </w:r>
      <w:r>
        <w:rPr>
          <w:rFonts w:hint="eastAsia" w:ascii="宋体" w:hAnsi="宋体" w:eastAsia="宋体" w:cs="宋体"/>
          <w:color w:val="auto"/>
          <w:sz w:val="24"/>
          <w:szCs w:val="24"/>
        </w:rPr>
        <w:t>桥梁专业的高级职称，同时须具有交通运输部颁发的桥梁试验检测工程师资格证书；检测技术人员应具备桥梁/隧道相关专业学历和工作经验并具备中级及以上职称资格和具有公路水运工程试验检测工程师资格证书；安全员应具备安全管理工作相关资格；</w:t>
      </w:r>
    </w:p>
    <w:p w14:paraId="4C23CF5B">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3、为保证检测工作顺利实施，供应商应配备各类完成工作必备的车辆、仪器、设备、工具。检测车辆设备均应按要求定期审验、检验、校准等。</w:t>
      </w:r>
    </w:p>
    <w:p w14:paraId="6B84F36B">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4、在投标文件中明确的人员在检测过程中不得擅自更换，如确需更换应提前5个工作日书面通知采购人，经过采购人同意后方可更换，更换后人员的资历经验等不得低于更换前水平。</w:t>
      </w:r>
    </w:p>
    <w:p w14:paraId="0DC32640">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检测期间本项目投入人员需全部到场方可开展检测工作。采购人在项目实施过程中随时检测现场人员到岗情况，如有缺岗，采购人有权对成交供应商采取处罚或停工整改措施，情节严重且拒不整改的可终止合同，造成的相应损失，由成交供应商承担。</w:t>
      </w:r>
    </w:p>
    <w:p w14:paraId="4BA934DD">
      <w:pPr>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四、工期、服务成果、验收及服务要求</w:t>
      </w:r>
    </w:p>
    <w:p w14:paraId="6C8F49BB">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1、工期：本次桥梁检测外业工作、</w:t>
      </w:r>
      <w:r>
        <w:rPr>
          <w:rFonts w:hint="eastAsia" w:ascii="宋体" w:hAnsi="宋体" w:eastAsia="宋体" w:cs="宋体"/>
          <w:color w:val="000000" w:themeColor="text1"/>
          <w:kern w:val="0"/>
          <w:sz w:val="24"/>
          <w:szCs w:val="24"/>
          <w14:textFill>
            <w14:solidFill>
              <w14:schemeClr w14:val="tx1"/>
            </w14:solidFill>
          </w14:textFill>
        </w:rPr>
        <w:t>数据分析</w:t>
      </w:r>
      <w:r>
        <w:rPr>
          <w:rFonts w:hint="eastAsia" w:ascii="宋体" w:hAnsi="宋体" w:eastAsia="宋体" w:cs="宋体"/>
          <w:color w:val="000000" w:themeColor="text1"/>
          <w:kern w:val="0"/>
          <w:sz w:val="24"/>
          <w:szCs w:val="24"/>
          <w:lang w:eastAsia="zh-CN"/>
          <w14:textFill>
            <w14:solidFill>
              <w14:schemeClr w14:val="tx1"/>
            </w14:solidFill>
          </w14:textFill>
        </w:rPr>
        <w:t>等</w:t>
      </w:r>
      <w:r>
        <w:rPr>
          <w:rFonts w:hint="eastAsia" w:ascii="宋体" w:hAnsi="宋体" w:eastAsia="宋体" w:cs="宋体"/>
          <w:color w:val="auto"/>
          <w:sz w:val="24"/>
          <w:szCs w:val="24"/>
          <w:highlight w:val="none"/>
          <w:lang w:val="en-US" w:eastAsia="zh-CN"/>
        </w:rPr>
        <w:t>应在签订合同后60日历天内完成，</w:t>
      </w:r>
      <w:r>
        <w:rPr>
          <w:rFonts w:hint="eastAsia" w:ascii="宋体" w:hAnsi="宋体" w:eastAsia="宋体" w:cs="宋体"/>
          <w:color w:val="000000" w:themeColor="text1"/>
          <w:kern w:val="0"/>
          <w:sz w:val="24"/>
          <w:szCs w:val="24"/>
          <w14:textFill>
            <w14:solidFill>
              <w14:schemeClr w14:val="tx1"/>
            </w14:solidFill>
          </w14:textFill>
        </w:rPr>
        <w:t>结构检测报告在随后的30</w:t>
      </w:r>
      <w:r>
        <w:rPr>
          <w:rFonts w:hint="eastAsia" w:ascii="宋体" w:hAnsi="宋体" w:eastAsia="宋体" w:cs="宋体"/>
          <w:color w:val="000000" w:themeColor="text1"/>
          <w:kern w:val="0"/>
          <w:sz w:val="24"/>
          <w:szCs w:val="24"/>
          <w:lang w:eastAsia="zh-CN"/>
          <w14:textFill>
            <w14:solidFill>
              <w14:schemeClr w14:val="tx1"/>
            </w14:solidFill>
          </w14:textFill>
        </w:rPr>
        <w:t>日历天</w:t>
      </w:r>
      <w:r>
        <w:rPr>
          <w:rFonts w:hint="eastAsia" w:ascii="宋体" w:hAnsi="宋体" w:eastAsia="宋体" w:cs="宋体"/>
          <w:color w:val="000000" w:themeColor="text1"/>
          <w:kern w:val="0"/>
          <w:sz w:val="24"/>
          <w:szCs w:val="24"/>
          <w14:textFill>
            <w14:solidFill>
              <w14:schemeClr w14:val="tx1"/>
            </w14:solidFill>
          </w14:textFill>
        </w:rPr>
        <w:t>内提交</w:t>
      </w: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14:textFill>
            <w14:solidFill>
              <w14:schemeClr w14:val="tx1"/>
            </w14:solidFill>
          </w14:textFill>
        </w:rPr>
        <w:t>监测报告按照频率提交，并编制年度监测总报。</w:t>
      </w:r>
    </w:p>
    <w:p w14:paraId="6DA1C8AC">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2、检测成果：检测工作全部完成后应以书面文本及电子文本（书面文本3</w:t>
      </w:r>
      <w:r>
        <w:rPr>
          <w:rFonts w:hint="eastAsia" w:ascii="宋体" w:hAnsi="宋体" w:eastAsia="宋体" w:cs="宋体"/>
          <w:color w:val="000000" w:themeColor="text1"/>
          <w:sz w:val="24"/>
          <w:szCs w:val="24"/>
          <w:highlight w:val="none"/>
          <w:lang w:val="en-US" w:eastAsia="zh-CN"/>
          <w14:textFill>
            <w14:solidFill>
              <w14:schemeClr w14:val="tx1"/>
            </w14:solidFill>
          </w14:textFill>
        </w:rPr>
        <w:t>套，电子文本1套</w:t>
      </w:r>
      <w:r>
        <w:rPr>
          <w:rFonts w:hint="eastAsia" w:ascii="宋体" w:hAnsi="宋体" w:eastAsia="宋体" w:cs="宋体"/>
          <w:color w:val="auto"/>
          <w:sz w:val="24"/>
          <w:szCs w:val="24"/>
          <w:highlight w:val="none"/>
          <w:lang w:val="en-US" w:eastAsia="zh-CN"/>
        </w:rPr>
        <w:t>，电子文本使用U盘拷贝）形式提交。提交的内容分别有：（1）《桥梁结构定期检测评定报告》、《结构检算报告》、《桥梁抗震性能检测评定报告》、《广运大桥监测报告》等。（2）检测、监测全部原始影像资料（U盘拷贝）；（3）根据《城市桥梁养护技术标准》完成附录B城市桥梁资料卡的更新完善。</w:t>
      </w:r>
    </w:p>
    <w:p w14:paraId="47BD2CF3">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中检测报告应详细、清晰、完整地反映检测过程，报告数据真实、内容完整、结论准确，报告中的数据作为指导采购人开展有效的桥梁应急抢险及养护维修工作的科学依据。检测报告也将作为道路桥梁安全评价及因道路桥梁结构安全问题造成的事故调查的法律依据。</w:t>
      </w:r>
    </w:p>
    <w:p w14:paraId="3AC107D4">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3、本项目检测成果知识产权全部归采购人所有。</w:t>
      </w:r>
    </w:p>
    <w:p w14:paraId="5A9DA726">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项目验收：检测项目的竣工验收采取专家评审验收的形式进行，以最终评审结论确定。检测项目完成后，采购人组织行业内相关专家组成验收小组（专家评审费用由成交商承担）对本次检测成果进行专项评审。</w:t>
      </w:r>
    </w:p>
    <w:p w14:paraId="56BCB6A0">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验收主要针对检测内容、前期资料收集整理、病害定位、病害核查、病害成因分析、检测结论和建议、风险等级评定、报告内容格式、后期服务内容等方面对本次检测的全面性、真实性、有效性、科学性、规范性、检测成果资料完整性等进行全面评审。对验收评审不符合要求的，应按照评审专家及采购人的意见进行整改完善后，重新组织验收。</w:t>
      </w:r>
    </w:p>
    <w:p w14:paraId="584F99AB">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5、项目服务：</w:t>
      </w:r>
      <w:r>
        <w:rPr>
          <w:rFonts w:hint="eastAsia" w:ascii="宋体" w:hAnsi="宋体" w:eastAsia="宋体" w:cs="宋体"/>
          <w:b/>
          <w:bCs/>
          <w:color w:val="auto"/>
          <w:sz w:val="24"/>
          <w:szCs w:val="24"/>
          <w:highlight w:val="none"/>
          <w:lang w:val="en-US" w:eastAsia="zh-CN"/>
        </w:rPr>
        <w:t>本项目的服务期为合同签订之日起一年内为全部服务期</w:t>
      </w:r>
      <w:r>
        <w:rPr>
          <w:rFonts w:hint="eastAsia" w:ascii="宋体" w:hAnsi="宋体" w:eastAsia="宋体" w:cs="宋体"/>
          <w:color w:val="auto"/>
          <w:sz w:val="24"/>
          <w:szCs w:val="24"/>
          <w:highlight w:val="none"/>
          <w:lang w:val="en-US" w:eastAsia="zh-CN"/>
        </w:rPr>
        <w:t>。服务期内除完成本次检测全部任务外，成交供应商应无条件及时提供相应的技术支持和技术服务。如采购方管理辖区内的桥梁有需要重点定期观察复测、突发桥梁事件、方案编制、技术汇报等各类技术工作时，应按甲方需求提供应急检测、评估、观察复测、技术报告等技术服务。</w:t>
      </w:r>
    </w:p>
    <w:p w14:paraId="4CE95B98">
      <w:pPr>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五、安全与交通组织</w:t>
      </w:r>
    </w:p>
    <w:p w14:paraId="27B3FC72">
      <w:pPr>
        <w:bidi w:val="0"/>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（一）安全保障措施</w:t>
      </w:r>
    </w:p>
    <w:p w14:paraId="055CFDAD">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检查期间应按照外业作业相关规范采取必要的安全警示和安全防护措施；高空作业采用高空升降车辆设备的应确保车辆设备审验合格并在有效期内，操作人员具备相应的特种设备操作资格；搭设脚手架的应执行脚手架现行的国家规范和标准；高空作业应配备双人监护。</w:t>
      </w:r>
    </w:p>
    <w:p w14:paraId="2725D764">
      <w:pPr>
        <w:bidi w:val="0"/>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（二）交通组织</w:t>
      </w:r>
    </w:p>
    <w:p w14:paraId="2E08660B">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应按照交通管理部门的规定提前与交管部门沟通协调报备并取得同意许可；如需封闭交通的采用“分车道临时封闭”模式，避开早晚高峰时段；复杂路段（如匝道、交叉口）配备交通协管员配合指挥疏导。</w:t>
      </w:r>
    </w:p>
    <w:p w14:paraId="7DDC9FC0">
      <w:pPr>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六、其他要求</w:t>
      </w:r>
    </w:p>
    <w:p w14:paraId="098A91E1">
      <w:pPr>
        <w:bidi w:val="0"/>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（一）报价</w:t>
      </w:r>
    </w:p>
    <w:p w14:paraId="77733E80">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报价费用包含完成本次项目全部内容要求及工期的成本、利润、税金、开办费、技术措施费、组织措施费、交通安全措施费、各类机械进出场费、钻探费、风险费、复测费、竣工验收、政策性文件规定费用、技术规范要求的费用等所需的全部费用。采购人不再支付其他费用。</w:t>
      </w:r>
    </w:p>
    <w:p w14:paraId="525D0DFC">
      <w:pPr>
        <w:bidi w:val="0"/>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（二）踏勘</w:t>
      </w:r>
    </w:p>
    <w:p w14:paraId="627A23EE">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本次项目不组织集中现场踏勘，各报名供应商应根据采购文件标明的内容要求自行对项目检测、检查的范围、内容和现场及环境进行踏勘，确保对项目工作内容、工作范围、场地环境等现状清楚明确。</w:t>
      </w:r>
    </w:p>
    <w:p w14:paraId="0C8F7E71">
      <w:pPr>
        <w:bidi w:val="0"/>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（三）安全文明</w:t>
      </w:r>
    </w:p>
    <w:p w14:paraId="5ADC468E">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成交供应商应根据本项目的现场特点，按照国家相关法律法规和规范，加强现场安全管理、文明施工。现场工作开展前必须由项目负责人组织针对本项目的全方面安全知识培训和安全技术交底，准备充足的安全警示和安全防护设施。发生各类安全生产事故并造成不良后果和各类损失由供应商承担。</w:t>
      </w:r>
    </w:p>
    <w:p w14:paraId="5B970BD1">
      <w:pPr>
        <w:rPr>
          <w:rFonts w:hint="eastAsia"/>
          <w:lang w:val="en-US" w:eastAsia="zh-CN"/>
        </w:rPr>
      </w:pPr>
    </w:p>
    <w:p w14:paraId="5061EB00">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pacing w:val="-1"/>
          <w:sz w:val="24"/>
          <w:szCs w:val="24"/>
          <w:highlight w:val="none"/>
        </w:rPr>
      </w:pPr>
    </w:p>
    <w:p w14:paraId="3BE24B50">
      <w:pPr>
        <w:pStyle w:val="3"/>
        <w:rPr>
          <w:rFonts w:hint="eastAsia" w:ascii="宋体" w:hAnsi="宋体" w:eastAsia="宋体" w:cs="宋体"/>
          <w:spacing w:val="-1"/>
          <w:sz w:val="24"/>
          <w:szCs w:val="24"/>
          <w:highlight w:val="none"/>
        </w:rPr>
      </w:pPr>
    </w:p>
    <w:p w14:paraId="5ED9122A">
      <w:pPr>
        <w:pStyle w:val="3"/>
        <w:rPr>
          <w:rFonts w:hint="eastAsia" w:ascii="宋体" w:hAnsi="宋体" w:eastAsia="宋体" w:cs="宋体"/>
          <w:spacing w:val="-1"/>
          <w:sz w:val="24"/>
          <w:szCs w:val="24"/>
          <w:highlight w:val="none"/>
        </w:rPr>
      </w:pPr>
    </w:p>
    <w:p w14:paraId="659F7910">
      <w:pPr>
        <w:pStyle w:val="3"/>
        <w:rPr>
          <w:rFonts w:hint="eastAsia" w:ascii="宋体" w:hAnsi="宋体" w:eastAsia="宋体" w:cs="宋体"/>
          <w:spacing w:val="-1"/>
          <w:sz w:val="24"/>
          <w:szCs w:val="24"/>
          <w:highlight w:val="none"/>
        </w:rPr>
      </w:pPr>
    </w:p>
    <w:p w14:paraId="0C3D55EE">
      <w:pPr>
        <w:pStyle w:val="3"/>
        <w:rPr>
          <w:rFonts w:hint="eastAsia" w:ascii="宋体" w:hAnsi="宋体" w:eastAsia="宋体" w:cs="宋体"/>
          <w:spacing w:val="-1"/>
          <w:sz w:val="24"/>
          <w:szCs w:val="24"/>
          <w:highlight w:val="none"/>
        </w:rPr>
      </w:pPr>
    </w:p>
    <w:p w14:paraId="66CCFADF">
      <w:pPr>
        <w:pStyle w:val="3"/>
        <w:rPr>
          <w:rFonts w:hint="eastAsia" w:ascii="宋体" w:hAnsi="宋体" w:eastAsia="宋体" w:cs="宋体"/>
          <w:spacing w:val="-1"/>
          <w:sz w:val="24"/>
          <w:szCs w:val="24"/>
          <w:highlight w:val="none"/>
        </w:rPr>
      </w:pPr>
    </w:p>
    <w:p w14:paraId="517F8A24">
      <w:pPr>
        <w:pStyle w:val="3"/>
        <w:rPr>
          <w:rFonts w:hint="eastAsia" w:ascii="宋体" w:hAnsi="宋体" w:eastAsia="宋体" w:cs="宋体"/>
          <w:spacing w:val="-1"/>
          <w:sz w:val="24"/>
          <w:szCs w:val="24"/>
          <w:highlight w:val="none"/>
        </w:rPr>
      </w:pPr>
    </w:p>
    <w:p w14:paraId="1E9A0EB9">
      <w:pPr>
        <w:pStyle w:val="3"/>
        <w:rPr>
          <w:rFonts w:hint="eastAsia" w:ascii="宋体" w:hAnsi="宋体" w:eastAsia="宋体" w:cs="宋体"/>
          <w:spacing w:val="-1"/>
          <w:sz w:val="24"/>
          <w:szCs w:val="24"/>
          <w:highlight w:val="none"/>
        </w:rPr>
      </w:pPr>
    </w:p>
    <w:p w14:paraId="7EE2BFF8">
      <w:pPr>
        <w:pStyle w:val="3"/>
        <w:rPr>
          <w:rFonts w:hint="eastAsia" w:ascii="宋体" w:hAnsi="宋体" w:eastAsia="宋体" w:cs="宋体"/>
          <w:spacing w:val="-1"/>
          <w:sz w:val="24"/>
          <w:szCs w:val="24"/>
          <w:highlight w:val="none"/>
        </w:rPr>
      </w:pPr>
    </w:p>
    <w:p w14:paraId="25488C43">
      <w:pPr>
        <w:pStyle w:val="3"/>
        <w:rPr>
          <w:rFonts w:hint="eastAsia" w:ascii="宋体" w:hAnsi="宋体" w:eastAsia="宋体" w:cs="宋体"/>
          <w:spacing w:val="-1"/>
          <w:sz w:val="24"/>
          <w:szCs w:val="24"/>
          <w:highlight w:val="none"/>
        </w:rPr>
      </w:pPr>
    </w:p>
    <w:p w14:paraId="556FFB90">
      <w:pPr>
        <w:pStyle w:val="3"/>
        <w:rPr>
          <w:rFonts w:hint="eastAsia" w:ascii="宋体" w:hAnsi="宋体" w:eastAsia="宋体" w:cs="宋体"/>
          <w:spacing w:val="-1"/>
          <w:sz w:val="24"/>
          <w:szCs w:val="24"/>
          <w:highlight w:val="none"/>
        </w:rPr>
      </w:pPr>
    </w:p>
    <w:p w14:paraId="5DB92ADA">
      <w:pPr>
        <w:bidi w:val="0"/>
        <w:spacing w:line="48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第二部分2026年</w:t>
      </w:r>
      <w:r>
        <w:rPr>
          <w:rFonts w:hint="eastAsia" w:ascii="宋体" w:hAnsi="宋体" w:eastAsia="宋体" w:cs="宋体"/>
          <w:b/>
          <w:bCs/>
          <w:sz w:val="28"/>
          <w:szCs w:val="28"/>
          <w:lang w:eastAsia="zh-CN"/>
        </w:rPr>
        <w:t>桥梁</w:t>
      </w:r>
      <w:r>
        <w:rPr>
          <w:rFonts w:hint="eastAsia" w:ascii="宋体" w:hAnsi="宋体" w:eastAsia="宋体" w:cs="宋体"/>
          <w:b/>
          <w:bCs/>
          <w:sz w:val="28"/>
          <w:szCs w:val="28"/>
          <w:lang w:val="en-US" w:eastAsia="zh-CN"/>
        </w:rPr>
        <w:t>在线监测服务招标内容及要求</w:t>
      </w:r>
    </w:p>
    <w:p w14:paraId="195208E4">
      <w:pPr>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一、项目范围和服务内容：</w:t>
      </w:r>
    </w:p>
    <w:p w14:paraId="4814A976">
      <w:pPr>
        <w:spacing w:line="360" w:lineRule="auto"/>
        <w:ind w:firstLine="482" w:firstLineChars="200"/>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（一）项目范围</w:t>
      </w:r>
      <w:r>
        <w:rPr>
          <w:rFonts w:hint="eastAsia" w:ascii="宋体" w:hAnsi="宋体" w:eastAsia="宋体" w:cs="宋体"/>
          <w:color w:val="000000" w:themeColor="text1"/>
          <w:kern w:val="2"/>
          <w:sz w:val="24"/>
          <w:szCs w:val="24"/>
          <w:lang w:val="en-US" w:eastAsia="zh-CN" w:bidi="ar-SA"/>
          <w14:textFill>
            <w14:solidFill>
              <w14:schemeClr w14:val="tx1"/>
            </w14:solidFill>
          </w14:textFill>
        </w:rPr>
        <w:t>：</w:t>
      </w:r>
    </w:p>
    <w:p w14:paraId="3BBAE785">
      <w:pPr>
        <w:spacing w:line="360" w:lineRule="auto"/>
        <w:ind w:firstLine="480" w:firstLineChars="200"/>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城市桥梁在线监测系统覆盖的4座桥梁。秦汉大道灞河桥、南二环长安路立交桥、北三环六村堡桥、北二环朱宏路立交桥。</w:t>
      </w:r>
    </w:p>
    <w:tbl>
      <w:tblPr>
        <w:tblStyle w:val="5"/>
        <w:tblW w:w="5161"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90"/>
        <w:gridCol w:w="1219"/>
        <w:gridCol w:w="590"/>
        <w:gridCol w:w="1782"/>
        <w:gridCol w:w="840"/>
        <w:gridCol w:w="3576"/>
      </w:tblGrid>
      <w:tr w14:paraId="672EA4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00" w:hRule="atLeast"/>
        </w:trPr>
        <w:tc>
          <w:tcPr>
            <w:tcW w:w="449" w:type="pct"/>
            <w:vAlign w:val="center"/>
          </w:tcPr>
          <w:p w14:paraId="26D92FB7">
            <w:pPr>
              <w:pStyle w:val="8"/>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序号</w:t>
            </w:r>
          </w:p>
        </w:tc>
        <w:tc>
          <w:tcPr>
            <w:tcW w:w="692" w:type="pct"/>
            <w:vAlign w:val="center"/>
          </w:tcPr>
          <w:p w14:paraId="588F3812">
            <w:pPr>
              <w:pStyle w:val="8"/>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标的</w:t>
            </w:r>
          </w:p>
          <w:p w14:paraId="77C9FD0D">
            <w:pPr>
              <w:pStyle w:val="8"/>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名称</w:t>
            </w:r>
          </w:p>
        </w:tc>
        <w:tc>
          <w:tcPr>
            <w:tcW w:w="335" w:type="pct"/>
            <w:vAlign w:val="center"/>
          </w:tcPr>
          <w:p w14:paraId="25B86C03">
            <w:pPr>
              <w:pStyle w:val="8"/>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数量</w:t>
            </w:r>
          </w:p>
        </w:tc>
        <w:tc>
          <w:tcPr>
            <w:tcW w:w="1012" w:type="pct"/>
            <w:vAlign w:val="center"/>
          </w:tcPr>
          <w:p w14:paraId="3D3B76C8">
            <w:pPr>
              <w:pStyle w:val="8"/>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标的金额 （元）</w:t>
            </w:r>
          </w:p>
        </w:tc>
        <w:tc>
          <w:tcPr>
            <w:tcW w:w="477" w:type="pct"/>
            <w:vAlign w:val="center"/>
          </w:tcPr>
          <w:p w14:paraId="5305F7FC">
            <w:pPr>
              <w:pStyle w:val="8"/>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计量单位</w:t>
            </w:r>
          </w:p>
        </w:tc>
        <w:tc>
          <w:tcPr>
            <w:tcW w:w="2032" w:type="pct"/>
            <w:vAlign w:val="center"/>
          </w:tcPr>
          <w:p w14:paraId="50698C88">
            <w:pPr>
              <w:pStyle w:val="8"/>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桥梁数量和概况</w:t>
            </w:r>
          </w:p>
        </w:tc>
      </w:tr>
      <w:tr w14:paraId="0834EB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20" w:hRule="atLeast"/>
        </w:trPr>
        <w:tc>
          <w:tcPr>
            <w:tcW w:w="449" w:type="pct"/>
            <w:vAlign w:val="center"/>
          </w:tcPr>
          <w:p w14:paraId="37383F26">
            <w:pPr>
              <w:pStyle w:val="8"/>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1</w:t>
            </w:r>
          </w:p>
        </w:tc>
        <w:tc>
          <w:tcPr>
            <w:tcW w:w="692" w:type="pct"/>
            <w:vAlign w:val="center"/>
          </w:tcPr>
          <w:p w14:paraId="446DE503">
            <w:pPr>
              <w:pStyle w:val="8"/>
              <w:jc w:val="center"/>
              <w:outlineLvl w:val="2"/>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桥梁在线监测</w:t>
            </w:r>
          </w:p>
          <w:p w14:paraId="3AB9A04F">
            <w:pPr>
              <w:pStyle w:val="8"/>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335" w:type="pct"/>
            <w:vAlign w:val="center"/>
          </w:tcPr>
          <w:p w14:paraId="54986C24">
            <w:pPr>
              <w:pStyle w:val="8"/>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1</w:t>
            </w:r>
          </w:p>
        </w:tc>
        <w:tc>
          <w:tcPr>
            <w:tcW w:w="1012" w:type="pct"/>
            <w:vAlign w:val="center"/>
          </w:tcPr>
          <w:p w14:paraId="60914DDA">
            <w:pPr>
              <w:pStyle w:val="8"/>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1,250,000.00</w:t>
            </w:r>
          </w:p>
        </w:tc>
        <w:tc>
          <w:tcPr>
            <w:tcW w:w="477" w:type="pct"/>
            <w:vAlign w:val="center"/>
          </w:tcPr>
          <w:p w14:paraId="45EEC896">
            <w:pPr>
              <w:pStyle w:val="8"/>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项</w:t>
            </w:r>
          </w:p>
        </w:tc>
        <w:tc>
          <w:tcPr>
            <w:tcW w:w="2032" w:type="pct"/>
            <w:vAlign w:val="center"/>
          </w:tcPr>
          <w:p w14:paraId="1FB48FB0">
            <w:pPr>
              <w:pStyle w:val="8"/>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秦汉大道灞河桥、南二环长安路立交、北三环六村堡桥、北二环朱宏路立交的结构检测和在线监测运维</w:t>
            </w:r>
          </w:p>
        </w:tc>
      </w:tr>
    </w:tbl>
    <w:p w14:paraId="4C507364">
      <w:pPr>
        <w:spacing w:line="360" w:lineRule="auto"/>
        <w:ind w:firstLine="482" w:firstLineChars="200"/>
        <w:rPr>
          <w:rFonts w:hint="eastAsia" w:ascii="宋体" w:hAnsi="宋体" w:eastAsia="宋体" w:cs="宋体"/>
          <w:b/>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（二）服务内容：</w:t>
      </w:r>
    </w:p>
    <w:p w14:paraId="7055E74B">
      <w:pPr>
        <w:spacing w:line="360" w:lineRule="auto"/>
        <w:ind w:firstLine="480" w:firstLineChars="200"/>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1.按照《城市桥梁养护技术标准》（CJJ99-2017）对4座梁进行结构检测。通过检测发现桥梁病害和运行隐患，评价桥梁技术状况，并提出针对性的养护技术意见，编制桥梁检测报告。</w:t>
      </w:r>
    </w:p>
    <w:p w14:paraId="27049C19">
      <w:pPr>
        <w:pStyle w:val="4"/>
        <w:keepNext w:val="0"/>
        <w:keepLines w:val="0"/>
        <w:widowControl/>
        <w:suppressLineNumbers w:val="0"/>
        <w:spacing w:before="0" w:beforeAutospacing="0" w:after="0" w:afterAutospacing="0" w:line="360" w:lineRule="auto"/>
        <w:ind w:left="0" w:right="0" w:firstLine="480" w:firstLineChars="200"/>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2.对4座桥梁安装的在线监测前端感知设备，数据传输与网络设备等硬件进行定期检查、保养；对故障问题进行排查分析；对硬件损坏按要求维修、更换，确保监测设备正常工作。</w:t>
      </w:r>
    </w:p>
    <w:p w14:paraId="4A8E1639">
      <w:pPr>
        <w:pStyle w:val="4"/>
        <w:keepNext w:val="0"/>
        <w:keepLines w:val="0"/>
        <w:widowControl/>
        <w:suppressLineNumbers w:val="0"/>
        <w:spacing w:before="0" w:beforeAutospacing="0" w:after="0" w:afterAutospacing="0" w:line="360" w:lineRule="auto"/>
        <w:ind w:left="0" w:right="0" w:firstLine="480" w:firstLineChars="200"/>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3.协同系统软硬件的调试和运营；按要求对前端感知传感器和相关设备进行校准与标定。</w:t>
      </w:r>
    </w:p>
    <w:p w14:paraId="47073DC1">
      <w:pPr>
        <w:spacing w:line="360" w:lineRule="auto"/>
        <w:ind w:firstLine="480" w:firstLineChars="200"/>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4.对在线监测数据开展数据值守查看、计算、分析、研判，定期编制监测报告；对桥梁监测数据异常、突发病害等情况按要求开展现场应急检测、检查，做到桥梁运行隐患“早发现、早预警、早处置”。</w:t>
      </w:r>
    </w:p>
    <w:p w14:paraId="6F64041B">
      <w:pPr>
        <w:spacing w:line="360" w:lineRule="auto"/>
        <w:ind w:firstLine="480" w:firstLineChars="200"/>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5.负责缴纳数据传输网络专线费用，监测设备用电费用。</w:t>
      </w:r>
    </w:p>
    <w:p w14:paraId="4D5F5A76">
      <w:pPr>
        <w:numPr>
          <w:ilvl w:val="0"/>
          <w:numId w:val="2"/>
        </w:numPr>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桥梁检测技术及服务要求：</w:t>
      </w:r>
    </w:p>
    <w:p w14:paraId="2CA394BB">
      <w:pPr>
        <w:numPr>
          <w:ilvl w:val="0"/>
          <w:numId w:val="0"/>
        </w:numPr>
        <w:bidi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检测总体要求</w:t>
      </w:r>
    </w:p>
    <w:p w14:paraId="3DD3028B">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1、结构检测与特殊检测应严格按照《城市桥梁养护技术标准》（CJJ99-2017）要求进行，规范中未明确规定且在以下条目中未提及的项目或要求应征询甲方意见协商后决定。</w:t>
      </w:r>
    </w:p>
    <w:p w14:paraId="5A4E4F4A">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结构检测对I类桥梁的评定：非特殊结构且不含匝道的桥梁直接进行评价（BCI评分），含匝道的立交或高架划分成多个单元（按匝道、主线方向划分）分别进行评分，根据每个单元面积（悬空部分投影面积）计算权重，加权进行总评。同时得出构件评分（最低）BSI。桥梁特殊结构段进行总体评价（合格或不合格）不进行打分。</w:t>
      </w:r>
    </w:p>
    <w:p w14:paraId="7A27F3AC">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w:t>
      </w:r>
      <w:r>
        <w:rPr>
          <w:rFonts w:hint="eastAsia" w:ascii="宋体" w:hAnsi="宋体" w:eastAsia="宋体" w:cs="宋体"/>
          <w:color w:val="000000" w:themeColor="text1"/>
          <w:kern w:val="0"/>
          <w:sz w:val="24"/>
          <w:szCs w:val="24"/>
          <w:lang w:eastAsia="zh-CN"/>
          <w14:textFill>
            <w14:solidFill>
              <w14:schemeClr w14:val="tx1"/>
            </w14:solidFill>
          </w14:textFill>
        </w:rPr>
        <w:t>进行</w:t>
      </w:r>
      <w:r>
        <w:rPr>
          <w:rFonts w:hint="eastAsia" w:ascii="宋体" w:hAnsi="宋体" w:eastAsia="宋体" w:cs="宋体"/>
          <w:color w:val="000000" w:themeColor="text1"/>
          <w:kern w:val="0"/>
          <w:sz w:val="24"/>
          <w:szCs w:val="24"/>
          <w14:textFill>
            <w14:solidFill>
              <w14:schemeClr w14:val="tx1"/>
            </w14:solidFill>
          </w14:textFill>
        </w:rPr>
        <w:t>桥梁抗震能力检测和评估</w:t>
      </w: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14:textFill>
            <w14:solidFill>
              <w14:schemeClr w14:val="tx1"/>
            </w14:solidFill>
          </w14:textFill>
        </w:rPr>
        <w:t>应依据桥梁设计、竣工以及其他调查资料，结合此次结构检测，评定桥梁抗震能力。桥梁抗震性能评定主要根据《城市桥梁抗震设计规范》（CJJ166-2011）第7章抗震验算、第11章抗震措施的内容，按照现行规范要求，选取桥梁典型联跨对桥梁抗震设施及结构的抗震能力进行检算，是否满足规范要求，得出结论并提出加固建议。</w:t>
      </w:r>
    </w:p>
    <w:p w14:paraId="4405D3C3">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4、桥梁承载力评定参照《公路桥梁承载能力检测评定规程》、《城市桥梁检测与评定技术规范》内容应包含结构承载力检算、动静载试验评定结论、措施建议等。</w:t>
      </w:r>
    </w:p>
    <w:p w14:paraId="49E73175">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5、桥梁结构检测应提出相关桥梁新、旧规范的对比以及给出相关养护意见。</w:t>
      </w:r>
    </w:p>
    <w:p w14:paraId="470DBC06">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6</w:t>
      </w:r>
      <w:r>
        <w:rPr>
          <w:rFonts w:hint="eastAsia" w:ascii="宋体" w:hAnsi="宋体" w:eastAsia="宋体" w:cs="宋体"/>
          <w:color w:val="000000" w:themeColor="text1"/>
          <w:kern w:val="0"/>
          <w:sz w:val="24"/>
          <w:szCs w:val="24"/>
          <w14:textFill>
            <w14:solidFill>
              <w14:schemeClr w14:val="tx1"/>
            </w14:solidFill>
          </w14:textFill>
        </w:rPr>
        <w:t>、检测完成后每座桥按检测项目内容应提交《结构检测评定报告》，进行荷载试验的还应提交《桥梁荷载试验评定报告》。</w:t>
      </w:r>
    </w:p>
    <w:p w14:paraId="5CA2A13B">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7</w:t>
      </w:r>
      <w:r>
        <w:rPr>
          <w:rFonts w:hint="eastAsia" w:ascii="宋体" w:hAnsi="宋体" w:eastAsia="宋体" w:cs="宋体"/>
          <w:color w:val="000000" w:themeColor="text1"/>
          <w:kern w:val="0"/>
          <w:sz w:val="24"/>
          <w:szCs w:val="24"/>
          <w14:textFill>
            <w14:solidFill>
              <w14:schemeClr w14:val="tx1"/>
            </w14:solidFill>
          </w14:textFill>
        </w:rPr>
        <w:t>、针对每座桥所处环境在检测工作开展前应制定合理的检测组织方案及交通疏导方案，或对已有组织方案进行修改，并将有关情况报请甲方批准。</w:t>
      </w:r>
    </w:p>
    <w:p w14:paraId="7064A009">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000000" w:themeColor="text1"/>
          <w:kern w:val="0"/>
          <w:sz w:val="24"/>
          <w:szCs w:val="24"/>
          <w:lang w:val="en-US" w:eastAsia="zh-CN"/>
          <w14:textFill>
            <w14:solidFill>
              <w14:schemeClr w14:val="tx1"/>
            </w14:solidFill>
          </w14:textFill>
        </w:rPr>
        <w:t>8</w:t>
      </w:r>
      <w:r>
        <w:rPr>
          <w:rFonts w:hint="eastAsia"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color w:val="auto"/>
          <w:sz w:val="24"/>
          <w:szCs w:val="24"/>
          <w:highlight w:val="none"/>
          <w:lang w:val="en-US" w:eastAsia="zh-CN"/>
        </w:rPr>
        <w:t>应急检测和技术服务。合同签订后一年内为全部服务期。服务期内采购人负责管辖的桥梁突发事件时，在接到采购人的通知后应在2小时内到场开展应急检测、分析评估等应急抢险工作。根据桥梁状况和采购人需求提供相关技术支持服务。</w:t>
      </w:r>
    </w:p>
    <w:p w14:paraId="1F1AFCA3">
      <w:pPr>
        <w:pStyle w:val="3"/>
        <w:keepNext w:val="0"/>
        <w:keepLines w:val="0"/>
        <w:pageBreakBefore w:val="0"/>
        <w:kinsoku/>
        <w:wordWrap/>
        <w:overflowPunct/>
        <w:topLinePunct w:val="0"/>
        <w:bidi w:val="0"/>
        <w:adjustRightInd/>
        <w:spacing w:line="360" w:lineRule="auto"/>
        <w:ind w:right="28"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9</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auto"/>
          <w:sz w:val="24"/>
          <w:szCs w:val="24"/>
          <w:highlight w:val="none"/>
          <w:lang w:val="en-US" w:eastAsia="zh-CN"/>
        </w:rPr>
        <w:t>合同签订后一年内为全部服务期，</w:t>
      </w:r>
      <w:r>
        <w:rPr>
          <w:rFonts w:hint="eastAsia" w:ascii="宋体" w:hAnsi="宋体" w:eastAsia="宋体" w:cs="宋体"/>
          <w:color w:val="000000" w:themeColor="text1"/>
          <w:sz w:val="24"/>
          <w:szCs w:val="24"/>
          <w14:textFill>
            <w14:solidFill>
              <w14:schemeClr w14:val="tx1"/>
            </w14:solidFill>
          </w14:textFill>
        </w:rPr>
        <w:t>乙方需在</w:t>
      </w:r>
      <w:r>
        <w:rPr>
          <w:rFonts w:hint="eastAsia" w:ascii="宋体" w:hAnsi="宋体" w:eastAsia="宋体" w:cs="宋体"/>
          <w:color w:val="000000" w:themeColor="text1"/>
          <w:sz w:val="24"/>
          <w:szCs w:val="24"/>
          <w:lang w:eastAsia="zh-CN"/>
          <w14:textFill>
            <w14:solidFill>
              <w14:schemeClr w14:val="tx1"/>
            </w14:solidFill>
          </w14:textFill>
        </w:rPr>
        <w:t>服务期间</w:t>
      </w:r>
      <w:r>
        <w:rPr>
          <w:rFonts w:hint="eastAsia" w:ascii="宋体" w:hAnsi="宋体" w:eastAsia="宋体" w:cs="宋体"/>
          <w:color w:val="000000" w:themeColor="text1"/>
          <w:sz w:val="24"/>
          <w:szCs w:val="24"/>
          <w14:textFill>
            <w14:solidFill>
              <w14:schemeClr w14:val="tx1"/>
            </w14:solidFill>
          </w14:textFill>
        </w:rPr>
        <w:t>的重大节假日前</w:t>
      </w:r>
      <w:r>
        <w:rPr>
          <w:rFonts w:hint="eastAsia" w:ascii="宋体" w:hAnsi="宋体" w:eastAsia="宋体" w:cs="宋体"/>
          <w:color w:val="000000" w:themeColor="text1"/>
          <w:sz w:val="24"/>
          <w:szCs w:val="24"/>
          <w:lang w:eastAsia="zh-CN"/>
          <w14:textFill>
            <w14:solidFill>
              <w14:schemeClr w14:val="tx1"/>
            </w14:solidFill>
          </w14:textFill>
        </w:rPr>
        <w:t>、重大活动前等时间根据采购方的要求</w:t>
      </w:r>
      <w:r>
        <w:rPr>
          <w:rFonts w:hint="eastAsia" w:ascii="宋体" w:hAnsi="宋体" w:eastAsia="宋体" w:cs="宋体"/>
          <w:color w:val="000000" w:themeColor="text1"/>
          <w:sz w:val="24"/>
          <w:szCs w:val="24"/>
          <w14:textFill>
            <w14:solidFill>
              <w14:schemeClr w14:val="tx1"/>
            </w14:solidFill>
          </w14:textFill>
        </w:rPr>
        <w:t>对合同涉及桥梁开展节前安全检查</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重大自然灾害后对合同涉及桥梁开展安全隐患排查，并及时提交检查（排查）报告。</w:t>
      </w:r>
    </w:p>
    <w:p w14:paraId="1E806750">
      <w:pPr>
        <w:pStyle w:val="3"/>
        <w:keepNext w:val="0"/>
        <w:keepLines w:val="0"/>
        <w:pageBreakBefore w:val="0"/>
        <w:kinsoku/>
        <w:wordWrap/>
        <w:overflowPunct/>
        <w:topLinePunct w:val="0"/>
        <w:bidi w:val="0"/>
        <w:adjustRightInd/>
        <w:spacing w:line="360" w:lineRule="auto"/>
        <w:ind w:right="28"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0</w:t>
      </w:r>
      <w:r>
        <w:rPr>
          <w:rFonts w:hint="eastAsia" w:ascii="宋体" w:hAnsi="宋体" w:eastAsia="宋体" w:cs="宋体"/>
          <w:color w:val="000000" w:themeColor="text1"/>
          <w:sz w:val="24"/>
          <w:szCs w:val="24"/>
          <w14:textFill>
            <w14:solidFill>
              <w14:schemeClr w14:val="tx1"/>
            </w14:solidFill>
          </w14:textFill>
        </w:rPr>
        <w:t>、乙方在项目开展过程中发现桥梁重大安全隐患应立即反馈给甲方，在无处理意见之前做好应急值守工作。</w:t>
      </w:r>
    </w:p>
    <w:p w14:paraId="266A9C8E">
      <w:pPr>
        <w:pStyle w:val="3"/>
        <w:keepNext w:val="0"/>
        <w:keepLines w:val="0"/>
        <w:pageBreakBefore w:val="0"/>
        <w:kinsoku/>
        <w:wordWrap/>
        <w:overflowPunct/>
        <w:topLinePunct w:val="0"/>
        <w:bidi w:val="0"/>
        <w:adjustRightInd/>
        <w:spacing w:line="360" w:lineRule="auto"/>
        <w:ind w:right="28"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1、编写桥梁墩柱编码规则，经甲方审核后，采用涂刷或喷绘的方式对桥梁墩柱进行编码作业。</w:t>
      </w:r>
    </w:p>
    <w:p w14:paraId="12DA9330">
      <w:pPr>
        <w:keepNext w:val="0"/>
        <w:keepLines w:val="0"/>
        <w:pageBreakBefore w:val="0"/>
        <w:kinsoku/>
        <w:wordWrap/>
        <w:overflowPunct/>
        <w:topLinePunct w:val="0"/>
        <w:bidi w:val="0"/>
        <w:adjustRightInd/>
        <w:spacing w:line="360" w:lineRule="auto"/>
        <w:ind w:firstLine="482" w:firstLineChars="200"/>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lang w:eastAsia="zh-CN"/>
          <w14:textFill>
            <w14:solidFill>
              <w14:schemeClr w14:val="tx1"/>
            </w14:solidFill>
          </w14:textFill>
        </w:rPr>
        <w:t>（二）</w:t>
      </w:r>
      <w:r>
        <w:rPr>
          <w:rFonts w:hint="eastAsia" w:ascii="宋体" w:hAnsi="宋体" w:eastAsia="宋体" w:cs="宋体"/>
          <w:b/>
          <w:bCs/>
          <w:color w:val="000000" w:themeColor="text1"/>
          <w:kern w:val="0"/>
          <w:sz w:val="24"/>
          <w:szCs w:val="24"/>
          <w14:textFill>
            <w14:solidFill>
              <w14:schemeClr w14:val="tx1"/>
            </w14:solidFill>
          </w14:textFill>
        </w:rPr>
        <w:t>结构检测要求</w:t>
      </w:r>
    </w:p>
    <w:p w14:paraId="341B7C2C">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1、查阅历次检测报告和常规定期检测中提出的建议；</w:t>
      </w:r>
    </w:p>
    <w:p w14:paraId="7275832A">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2、根据常规定期检测中桥梁状况评定结果，进行梁体线型、墩柱沉降及结构构件的检测；</w:t>
      </w:r>
    </w:p>
    <w:p w14:paraId="244FCB39">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3、通过材料取样试验确认材料特性、退化的程度和退化的性质；</w:t>
      </w:r>
    </w:p>
    <w:p w14:paraId="0C3625A4">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4、对桥梁进行结构检算，包括承载力检算、稳定性检算和刚度验算；</w:t>
      </w:r>
    </w:p>
    <w:p w14:paraId="5FBC93E9">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5、分析确定退化的原因，以及对结构性能和耐久性的影响；</w:t>
      </w:r>
    </w:p>
    <w:p w14:paraId="73F099DD">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6、对可能影响结构正常工作的构件，评价其在下一次检测之前的可能退化情况；如构件在下一次检测前可能失效，应立即报告桥梁养护管理部门；</w:t>
      </w:r>
    </w:p>
    <w:p w14:paraId="6F7D7B8D">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7、检测桥梁的淤积、冲刷等现象，记录水位；</w:t>
      </w:r>
    </w:p>
    <w:p w14:paraId="2AFC9F90">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8、必要时应进行荷载试验和分析评估。城市桥梁的荷载试验评估应按有关标准进行；</w:t>
      </w:r>
    </w:p>
    <w:p w14:paraId="2F1667C0">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9、通过综合检测评定，确定具有潜在退化可能或已处于退化状况的桥梁构件，提出相应的养护措施。</w:t>
      </w:r>
    </w:p>
    <w:p w14:paraId="735591F4">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10、</w:t>
      </w:r>
      <w:r>
        <w:rPr>
          <w:rFonts w:hint="eastAsia" w:ascii="宋体" w:hAnsi="宋体" w:eastAsia="宋体" w:cs="宋体"/>
          <w:color w:val="000000" w:themeColor="text1"/>
          <w:kern w:val="0"/>
          <w:sz w:val="24"/>
          <w:szCs w:val="24"/>
          <w14:textFill>
            <w14:solidFill>
              <w14:schemeClr w14:val="tx1"/>
            </w14:solidFill>
          </w14:textFill>
        </w:rPr>
        <w:t>结构状态评定应符合常规定期检测中的评分标准，I类养护的城市桥梁结构状态评估应按《城市桥梁养护技术标准》附录表中的缺陷进行；Ⅱ～Ⅴ类养护的城市桥梁，按《城市桥梁养护技术标准》附录中的扣分值表进行评估，并应符合本规范第4.5节的有关规定。同时填写下列相关内容：</w:t>
      </w:r>
    </w:p>
    <w:p w14:paraId="38489B37">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列出所有桥梁构件的腐蚀环境情况；</w:t>
      </w:r>
    </w:p>
    <w:p w14:paraId="15EF4524">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构件的实测缺陷类型和程度。</w:t>
      </w:r>
    </w:p>
    <w:p w14:paraId="189FB636">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对I类养护的城市桥梁评为不合格级的，或退化速度过快的构件，Ⅱ～Ⅴ类养护的城市桥梁结构状况评定为Ｄ级、Ｅ级的，应在结构检测记录表中记录下列相关内容：</w:t>
      </w:r>
    </w:p>
    <w:p w14:paraId="68FBE6E4">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构件编号；</w:t>
      </w:r>
    </w:p>
    <w:p w14:paraId="3928BCC7">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构件描述；</w:t>
      </w:r>
    </w:p>
    <w:p w14:paraId="1BC6212F">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构件在结构中的位置；</w:t>
      </w:r>
    </w:p>
    <w:p w14:paraId="5D4A7D7E">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缺陷描述：包括缺陷位置、程度、产生的原因和可能的退化、照片编号、所有材料试验的细节和材料在结构中的部位；</w:t>
      </w:r>
    </w:p>
    <w:p w14:paraId="196F69D7">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特殊构件信息表应记录状态评定表和结构缺陷记录表中没有涵盖的信息，包括下列内容：</w:t>
      </w:r>
    </w:p>
    <w:p w14:paraId="631ED8CD">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没有在评分标准中定义的构件；</w:t>
      </w:r>
    </w:p>
    <w:p w14:paraId="3A528A59">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无法检测的构件，并说明不能检测的原因；</w:t>
      </w:r>
    </w:p>
    <w:p w14:paraId="3933F370">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河道的淤积、冲刷、水位记录；</w:t>
      </w:r>
    </w:p>
    <w:p w14:paraId="5F6503E7">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记录材料测试和取样的位置并编号，以便试验结果的交叉参考；</w:t>
      </w:r>
    </w:p>
    <w:p w14:paraId="4E74E9CC">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照片记录表中的照片应针对构件缺陷拍摄，并按顺序编号。</w:t>
      </w:r>
    </w:p>
    <w:p w14:paraId="64B4A9F5">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结构检测内容按照《城市桥梁养护技术标准》（CJJ99-2017）中相关规定项目外，还应包含桥梁抗震设施（抗震构件和支座）的工作性能和完好程度的检查和评价内容，并在检测报告中以独立章节形式说明。桥梁承载力评定的应先对桥梁进行结构承载力检算，依据检算结论确定是否进行动、静载试验评定。</w:t>
      </w:r>
    </w:p>
    <w:p w14:paraId="5F2B81AC">
      <w:pPr>
        <w:keepNext w:val="0"/>
        <w:keepLines w:val="0"/>
        <w:pageBreakBefore w:val="0"/>
        <w:kinsoku/>
        <w:wordWrap/>
        <w:overflowPunct/>
        <w:topLinePunct w:val="0"/>
        <w:bidi w:val="0"/>
        <w:adjustRightInd/>
        <w:spacing w:line="360" w:lineRule="auto"/>
        <w:ind w:firstLine="482" w:firstLineChars="200"/>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lang w:eastAsia="zh-CN"/>
          <w14:textFill>
            <w14:solidFill>
              <w14:schemeClr w14:val="tx1"/>
            </w14:solidFill>
          </w14:textFill>
        </w:rPr>
        <w:t>（三）</w:t>
      </w:r>
      <w:r>
        <w:rPr>
          <w:rFonts w:hint="eastAsia" w:ascii="宋体" w:hAnsi="宋体" w:eastAsia="宋体" w:cs="宋体"/>
          <w:b/>
          <w:bCs/>
          <w:color w:val="000000" w:themeColor="text1"/>
          <w:kern w:val="0"/>
          <w:sz w:val="24"/>
          <w:szCs w:val="24"/>
          <w14:textFill>
            <w14:solidFill>
              <w14:schemeClr w14:val="tx1"/>
            </w14:solidFill>
          </w14:textFill>
        </w:rPr>
        <w:t>特殊检测要求</w:t>
      </w:r>
    </w:p>
    <w:p w14:paraId="5EA083F0">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1、特殊检测应由相应资质的专业单位承担，主要检测人员应为从事桥梁专业工作5年以上经验的工程师。</w:t>
      </w:r>
    </w:p>
    <w:p w14:paraId="307E3611">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2、特殊检测应由专业人员采用专门技术手段，并辅以现场和试验室测试等特殊手段进行详细检测和综合分析，检测结果应提交书面报告。</w:t>
      </w:r>
    </w:p>
    <w:p w14:paraId="58E8FB4E">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3、实施特殊检测前，检测单位应搜集下列资料：</w:t>
      </w:r>
    </w:p>
    <w:p w14:paraId="48698DE4">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1）竣工资料；</w:t>
      </w:r>
    </w:p>
    <w:p w14:paraId="63783FDE">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2）识别和鉴定桥梁结构的主要材料以及它们的强度；</w:t>
      </w:r>
    </w:p>
    <w:p w14:paraId="027076EE">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3）特殊检测的原因，影响桥梁承载能力的因素；</w:t>
      </w:r>
    </w:p>
    <w:p w14:paraId="3B9F0387">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4）历次桥梁定期检测和特殊检测报告；</w:t>
      </w:r>
    </w:p>
    <w:p w14:paraId="30CB1CC5">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5）历次维修资料；</w:t>
      </w:r>
    </w:p>
    <w:p w14:paraId="0F27E52C">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6）交通量统计资料。</w:t>
      </w:r>
    </w:p>
    <w:p w14:paraId="71CF4326">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4、城市桥梁特殊检测应包含下列内容：</w:t>
      </w:r>
    </w:p>
    <w:p w14:paraId="16167D7A">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1）结构材料缺损状况诊断；</w:t>
      </w:r>
    </w:p>
    <w:p w14:paraId="3AB2BB02">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2）结构整体性能、功能状况评估。</w:t>
      </w:r>
    </w:p>
    <w:p w14:paraId="67D29FF1">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结构材料缺损状况的诊断，宜根据缺损的类型、位置和检测的要求，选择表面测量、无损检测技术和局部取试样等方法。试样宜在有代表性构件的次要部位获取。检测与评估应依照相应的试验标准进行。</w:t>
      </w:r>
    </w:p>
    <w:p w14:paraId="03E9406D">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结构整体性能、功能状况评估应根据诊断的构件材料质量状况及其在结构中的实际功能，用计算分析评估结构承载能力。当计算分析评估不满足或难以确定时，用静力荷载方法鉴定结构承载能力，用动力荷载方法测定结构力学性能参数和振动参数。结构计算、荷载试验和评估应符合国家现行有关标准的规定。</w:t>
      </w:r>
    </w:p>
    <w:p w14:paraId="4D9B8980">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5、特殊检测报告应包括下列主要内容：</w:t>
      </w:r>
    </w:p>
    <w:p w14:paraId="1025F7A8">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1）、概述、桥梁基本情况、检测组织、时间背景和工作过程。</w:t>
      </w:r>
    </w:p>
    <w:p w14:paraId="3080DE67">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2）、描述目前桥梁技术状况、试验与检测项目及方法、检测数据与分析结果、桥梁技术状况评价。</w:t>
      </w:r>
    </w:p>
    <w:p w14:paraId="290E6973">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3）、阐述检测部位的损坏原因及程度，评定桥梁继续使用的安全性。</w:t>
      </w:r>
    </w:p>
    <w:p w14:paraId="1478B466">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4）、提出结构及局部构件的维修、加固或改造的建议方案，提出维护管理措施。</w:t>
      </w:r>
    </w:p>
    <w:p w14:paraId="3B0507AE">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5）、对特殊检测结果不满足要求的城市桥梁，在维修加固之前，应采取限载、限速或封闭交通措施，并应继续监测结构变化。</w:t>
      </w:r>
    </w:p>
    <w:p w14:paraId="0F422FA2">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特殊检测桥梁主要针对桥梁检测过程中发现的影响桥梁结构安全和运行安全的特殊病害，如空心板梁铰缝损伤检测和损伤判定、独柱墩桥梁抗倾覆验算等。主要以外观检测评定、结构检算、试验验证为主。</w:t>
      </w:r>
    </w:p>
    <w:p w14:paraId="0A3E50C9">
      <w:pPr>
        <w:keepNext w:val="0"/>
        <w:keepLines w:val="0"/>
        <w:pageBreakBefore w:val="0"/>
        <w:kinsoku/>
        <w:wordWrap/>
        <w:overflowPunct/>
        <w:topLinePunct w:val="0"/>
        <w:bidi w:val="0"/>
        <w:adjustRightInd/>
        <w:spacing w:line="360" w:lineRule="auto"/>
        <w:ind w:firstLine="482" w:firstLineChars="200"/>
        <w:textAlignment w:val="auto"/>
        <w:rPr>
          <w:rFonts w:hint="eastAsia" w:ascii="宋体" w:hAnsi="宋体" w:eastAsia="宋体" w:cs="宋体"/>
          <w:b/>
          <w:bCs/>
          <w:color w:val="000000" w:themeColor="text1"/>
          <w:kern w:val="0"/>
          <w:sz w:val="24"/>
          <w:szCs w:val="24"/>
          <w:lang w:eastAsia="zh-CN"/>
          <w14:textFill>
            <w14:solidFill>
              <w14:schemeClr w14:val="tx1"/>
            </w14:solidFill>
          </w14:textFill>
        </w:rPr>
      </w:pPr>
      <w:r>
        <w:rPr>
          <w:rFonts w:hint="eastAsia" w:ascii="宋体" w:hAnsi="宋体" w:eastAsia="宋体" w:cs="宋体"/>
          <w:b/>
          <w:bCs/>
          <w:color w:val="000000" w:themeColor="text1"/>
          <w:kern w:val="0"/>
          <w:sz w:val="24"/>
          <w:szCs w:val="24"/>
          <w:lang w:eastAsia="zh-CN"/>
          <w14:textFill>
            <w14:solidFill>
              <w14:schemeClr w14:val="tx1"/>
            </w14:solidFill>
          </w14:textFill>
        </w:rPr>
        <w:t>（四）</w:t>
      </w:r>
      <w:r>
        <w:rPr>
          <w:rFonts w:hint="eastAsia" w:ascii="宋体" w:hAnsi="宋体" w:eastAsia="宋体" w:cs="宋体"/>
          <w:b/>
          <w:bCs/>
          <w:color w:val="000000" w:themeColor="text1"/>
          <w:kern w:val="0"/>
          <w:sz w:val="24"/>
          <w:szCs w:val="24"/>
          <w14:textFill>
            <w14:solidFill>
              <w14:schemeClr w14:val="tx1"/>
            </w14:solidFill>
          </w14:textFill>
        </w:rPr>
        <w:t>桥梁抗震性能检测和评估</w:t>
      </w:r>
      <w:r>
        <w:rPr>
          <w:rFonts w:hint="eastAsia" w:ascii="宋体" w:hAnsi="宋体" w:eastAsia="宋体" w:cs="宋体"/>
          <w:b/>
          <w:bCs/>
          <w:color w:val="000000" w:themeColor="text1"/>
          <w:kern w:val="0"/>
          <w:sz w:val="24"/>
          <w:szCs w:val="24"/>
          <w:lang w:eastAsia="zh-CN"/>
          <w14:textFill>
            <w14:solidFill>
              <w14:schemeClr w14:val="tx1"/>
            </w14:solidFill>
          </w14:textFill>
        </w:rPr>
        <w:t>要求</w:t>
      </w:r>
    </w:p>
    <w:p w14:paraId="12BE0721">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桥梁抗震性能检测和评估属桥梁特殊检测的一种，要求桥梁抗震性能检测和评估报告单独成册，其章节具体内容如下：</w:t>
      </w:r>
    </w:p>
    <w:p w14:paraId="690FFD88">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1、桥梁所处区域及对应的抗震设防烈度等级；</w:t>
      </w:r>
    </w:p>
    <w:p w14:paraId="167FD143">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2、桥梁设计和建设时间，对应采用的抗震设计规范，根据所采用的抗震设计规范中对应的抗震措施章节核查桥梁是否满足建设时期的抗震设计规范和现行规范；</w:t>
      </w:r>
    </w:p>
    <w:p w14:paraId="6380AA72">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3、根据抗震规范说明桥梁抗震设防分类、桥梁抗震措施及防落梁构造情况是否满足规范要求；选取桥梁典型联跨的抗震能力进行检算，是否满足规范要求，得出结论并提出加固建议。</w:t>
      </w:r>
    </w:p>
    <w:p w14:paraId="36B902FB">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4、提出桥梁抗震性能评定结论，对于抗震措施不满足规范要求的桥梁提出加固处治建议。</w:t>
      </w:r>
    </w:p>
    <w:p w14:paraId="0EDD486A">
      <w:pPr>
        <w:spacing w:line="360" w:lineRule="auto"/>
        <w:ind w:firstLine="482" w:firstLineChars="200"/>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SA"/>
          <w14:textFill>
            <w14:solidFill>
              <w14:schemeClr w14:val="tx1"/>
            </w14:solidFill>
          </w14:textFill>
        </w:rPr>
        <w:t>（五）特殊结构检测评估要求</w:t>
      </w:r>
    </w:p>
    <w:p w14:paraId="048615AF">
      <w:pPr>
        <w:spacing w:line="360" w:lineRule="auto"/>
        <w:ind w:firstLine="480" w:firstLineChars="200"/>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对于悬索桥、斜拉桥、系杆拱桥等特殊结构桥梁进行检测评估时，《城市桥梁养护技术标准》（CJJ 99-2017）未提到的，可参照《公路桥梁技术状况评定标准》（JTG/T H21-2011）（以及2026报批稿）、《公路桥涵养护规范》（JTG 5120—2021）等规范进行检测评定。</w:t>
      </w:r>
    </w:p>
    <w:p w14:paraId="21129331">
      <w:pPr>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000000" w:themeColor="text1"/>
          <w:kern w:val="0"/>
          <w:sz w:val="24"/>
          <w:szCs w:val="24"/>
          <w:lang w:val="en-US" w:eastAsia="zh-CN" w:bidi="ar-SA"/>
          <w14:textFill>
            <w14:solidFill>
              <w14:schemeClr w14:val="tx1"/>
            </w14:solidFill>
          </w14:textFill>
        </w:rPr>
        <w:t>（六）检测依据及标准</w:t>
      </w:r>
    </w:p>
    <w:p w14:paraId="5C4144B7">
      <w:pPr>
        <w:pStyle w:val="3"/>
        <w:keepNext w:val="0"/>
        <w:keepLines w:val="0"/>
        <w:pageBreakBefore w:val="0"/>
        <w:kinsoku/>
        <w:wordWrap/>
        <w:overflowPunct/>
        <w:topLinePunct w:val="0"/>
        <w:bidi w:val="0"/>
        <w:adjustRightInd/>
        <w:spacing w:line="360" w:lineRule="auto"/>
        <w:ind w:right="28"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实施本项目必须符合国家标准规范及行业相关技术规范的要求，包括并不仅限于：</w:t>
      </w:r>
    </w:p>
    <w:p w14:paraId="561B5294">
      <w:pPr>
        <w:pStyle w:val="3"/>
        <w:keepNext w:val="0"/>
        <w:keepLines w:val="0"/>
        <w:pageBreakBefore w:val="0"/>
        <w:kinsoku/>
        <w:wordWrap/>
        <w:overflowPunct/>
        <w:topLinePunct w:val="0"/>
        <w:bidi w:val="0"/>
        <w:adjustRightInd/>
        <w:spacing w:line="360" w:lineRule="auto"/>
        <w:ind w:right="28"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1）《城市桥梁养护技术标准》（CJJ 99-2017）</w:t>
      </w:r>
    </w:p>
    <w:p w14:paraId="12A0BB88">
      <w:pPr>
        <w:pStyle w:val="3"/>
        <w:keepNext w:val="0"/>
        <w:keepLines w:val="0"/>
        <w:pageBreakBefore w:val="0"/>
        <w:kinsoku/>
        <w:wordWrap/>
        <w:overflowPunct/>
        <w:topLinePunct w:val="0"/>
        <w:bidi w:val="0"/>
        <w:adjustRightInd/>
        <w:spacing w:line="360" w:lineRule="auto"/>
        <w:ind w:right="28"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2）《城市桥梁检测与评定技术规范》（CJJ/T 233-2015）</w:t>
      </w:r>
    </w:p>
    <w:p w14:paraId="5114F525">
      <w:pPr>
        <w:pStyle w:val="3"/>
        <w:keepNext w:val="0"/>
        <w:keepLines w:val="0"/>
        <w:pageBreakBefore w:val="0"/>
        <w:kinsoku/>
        <w:wordWrap/>
        <w:overflowPunct/>
        <w:topLinePunct w:val="0"/>
        <w:bidi w:val="0"/>
        <w:adjustRightInd/>
        <w:spacing w:line="360" w:lineRule="auto"/>
        <w:ind w:right="28"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3）《城市桥梁设计规范（2019年版）》（CJJ11-2011）</w:t>
      </w:r>
    </w:p>
    <w:p w14:paraId="6752CAFD">
      <w:pPr>
        <w:pStyle w:val="3"/>
        <w:keepNext w:val="0"/>
        <w:keepLines w:val="0"/>
        <w:pageBreakBefore w:val="0"/>
        <w:kinsoku/>
        <w:wordWrap/>
        <w:overflowPunct/>
        <w:topLinePunct w:val="0"/>
        <w:bidi w:val="0"/>
        <w:adjustRightInd/>
        <w:spacing w:line="360" w:lineRule="auto"/>
        <w:ind w:right="28"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4）《公路桥梁技术状况评定标准》（JTG/T H21-2011）；</w:t>
      </w:r>
    </w:p>
    <w:p w14:paraId="0B66FDCD">
      <w:pPr>
        <w:pStyle w:val="3"/>
        <w:keepNext w:val="0"/>
        <w:keepLines w:val="0"/>
        <w:pageBreakBefore w:val="0"/>
        <w:kinsoku/>
        <w:wordWrap/>
        <w:overflowPunct/>
        <w:topLinePunct w:val="0"/>
        <w:bidi w:val="0"/>
        <w:adjustRightInd/>
        <w:spacing w:line="360" w:lineRule="auto"/>
        <w:ind w:right="28"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5）《公路桥涵设计通用规范》（JTG D60-2015）；</w:t>
      </w:r>
    </w:p>
    <w:p w14:paraId="5270F3F2">
      <w:pPr>
        <w:pStyle w:val="3"/>
        <w:keepNext w:val="0"/>
        <w:keepLines w:val="0"/>
        <w:pageBreakBefore w:val="0"/>
        <w:kinsoku/>
        <w:wordWrap/>
        <w:overflowPunct/>
        <w:topLinePunct w:val="0"/>
        <w:bidi w:val="0"/>
        <w:adjustRightInd/>
        <w:spacing w:line="360" w:lineRule="auto"/>
        <w:ind w:right="28"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《城市桥梁抗震设计规范》（CJJ166-2011）</w:t>
      </w:r>
    </w:p>
    <w:p w14:paraId="0A181927">
      <w:pPr>
        <w:pStyle w:val="3"/>
        <w:keepNext w:val="0"/>
        <w:keepLines w:val="0"/>
        <w:pageBreakBefore w:val="0"/>
        <w:kinsoku/>
        <w:wordWrap/>
        <w:overflowPunct/>
        <w:topLinePunct w:val="0"/>
        <w:bidi w:val="0"/>
        <w:adjustRightInd/>
        <w:spacing w:line="360" w:lineRule="auto"/>
        <w:ind w:right="28"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《公路桥梁抗震设计规范》（JTG/T 2231-01-2020）</w:t>
      </w:r>
    </w:p>
    <w:p w14:paraId="2FFD04A5">
      <w:pPr>
        <w:pStyle w:val="3"/>
        <w:keepNext w:val="0"/>
        <w:keepLines w:val="0"/>
        <w:pageBreakBefore w:val="0"/>
        <w:kinsoku/>
        <w:wordWrap/>
        <w:overflowPunct/>
        <w:topLinePunct w:val="0"/>
        <w:bidi w:val="0"/>
        <w:adjustRightInd/>
        <w:spacing w:line="360" w:lineRule="auto"/>
        <w:ind w:right="28"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8）《工程测量标准》（GB 50026-2020）；</w:t>
      </w:r>
    </w:p>
    <w:p w14:paraId="38D6B03A">
      <w:pPr>
        <w:pStyle w:val="3"/>
        <w:keepNext w:val="0"/>
        <w:keepLines w:val="0"/>
        <w:pageBreakBefore w:val="0"/>
        <w:kinsoku/>
        <w:wordWrap/>
        <w:overflowPunct/>
        <w:topLinePunct w:val="0"/>
        <w:bidi w:val="0"/>
        <w:adjustRightInd/>
        <w:spacing w:line="360" w:lineRule="auto"/>
        <w:ind w:right="28"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9）《工程测量通用规范》(GB 55018-2021) ；</w:t>
      </w:r>
    </w:p>
    <w:p w14:paraId="617A0EFA">
      <w:pPr>
        <w:pStyle w:val="3"/>
        <w:keepNext w:val="0"/>
        <w:keepLines w:val="0"/>
        <w:pageBreakBefore w:val="0"/>
        <w:kinsoku/>
        <w:wordWrap/>
        <w:overflowPunct/>
        <w:topLinePunct w:val="0"/>
        <w:bidi w:val="0"/>
        <w:adjustRightInd/>
        <w:spacing w:line="360" w:lineRule="auto"/>
        <w:ind w:right="28"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10）其它相关现行施工技术规范、试验规程、验收规范等内容；项目实施期间，各类标准规范如有更新，应按最新的标准规范执行。</w:t>
      </w:r>
    </w:p>
    <w:p w14:paraId="1D005D2E">
      <w:pPr>
        <w:keepNext w:val="0"/>
        <w:keepLines w:val="0"/>
        <w:pageBreakBefore w:val="0"/>
        <w:kinsoku/>
        <w:wordWrap/>
        <w:overflowPunct/>
        <w:topLinePunct w:val="0"/>
        <w:bidi w:val="0"/>
        <w:adjustRightInd/>
        <w:spacing w:line="360" w:lineRule="auto"/>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lang w:val="en-US" w:eastAsia="zh-CN"/>
          <w14:textFill>
            <w14:solidFill>
              <w14:schemeClr w14:val="tx1"/>
            </w14:solidFill>
          </w14:textFill>
        </w:rPr>
        <w:t>三</w:t>
      </w:r>
      <w:r>
        <w:rPr>
          <w:rFonts w:hint="eastAsia" w:ascii="宋体" w:hAnsi="宋体" w:eastAsia="宋体" w:cs="宋体"/>
          <w:b/>
          <w:bCs/>
          <w:color w:val="000000" w:themeColor="text1"/>
          <w:kern w:val="0"/>
          <w:sz w:val="24"/>
          <w:szCs w:val="24"/>
          <w14:textFill>
            <w14:solidFill>
              <w14:schemeClr w14:val="tx1"/>
            </w14:solidFill>
          </w14:textFill>
        </w:rPr>
        <w:t>、</w:t>
      </w:r>
      <w:r>
        <w:rPr>
          <w:rFonts w:hint="eastAsia" w:ascii="宋体" w:hAnsi="宋体" w:eastAsia="宋体" w:cs="宋体"/>
          <w:b/>
          <w:bCs/>
          <w:color w:val="000000" w:themeColor="text1"/>
          <w:kern w:val="0"/>
          <w:sz w:val="24"/>
          <w:szCs w:val="24"/>
          <w:lang w:val="en-US" w:eastAsia="zh-CN"/>
          <w14:textFill>
            <w14:solidFill>
              <w14:schemeClr w14:val="tx1"/>
            </w14:solidFill>
          </w14:textFill>
        </w:rPr>
        <w:t>桥梁</w:t>
      </w:r>
      <w:r>
        <w:rPr>
          <w:rFonts w:hint="eastAsia" w:ascii="宋体" w:hAnsi="宋体" w:eastAsia="宋体" w:cs="宋体"/>
          <w:b/>
          <w:bCs/>
          <w:color w:val="000000" w:themeColor="text1"/>
          <w:kern w:val="0"/>
          <w:sz w:val="24"/>
          <w:szCs w:val="24"/>
          <w14:textFill>
            <w14:solidFill>
              <w14:schemeClr w14:val="tx1"/>
            </w14:solidFill>
          </w14:textFill>
        </w:rPr>
        <w:t>监测</w:t>
      </w:r>
      <w:r>
        <w:rPr>
          <w:rFonts w:hint="eastAsia" w:ascii="宋体" w:hAnsi="宋体" w:eastAsia="宋体" w:cs="宋体"/>
          <w:b/>
          <w:bCs/>
          <w:color w:val="000000" w:themeColor="text1"/>
          <w:kern w:val="0"/>
          <w:sz w:val="24"/>
          <w:szCs w:val="24"/>
          <w:lang w:val="en-US" w:eastAsia="zh-CN"/>
          <w14:textFill>
            <w14:solidFill>
              <w14:schemeClr w14:val="tx1"/>
            </w14:solidFill>
          </w14:textFill>
        </w:rPr>
        <w:t>技术及服务</w:t>
      </w:r>
      <w:r>
        <w:rPr>
          <w:rFonts w:hint="eastAsia" w:ascii="宋体" w:hAnsi="宋体" w:eastAsia="宋体" w:cs="宋体"/>
          <w:b/>
          <w:bCs/>
          <w:color w:val="000000" w:themeColor="text1"/>
          <w:kern w:val="0"/>
          <w:sz w:val="24"/>
          <w:szCs w:val="24"/>
          <w14:textFill>
            <w14:solidFill>
              <w14:schemeClr w14:val="tx1"/>
            </w14:solidFill>
          </w14:textFill>
        </w:rPr>
        <w:t>要求</w:t>
      </w:r>
    </w:p>
    <w:p w14:paraId="688B4AE0">
      <w:pPr>
        <w:keepNext w:val="0"/>
        <w:keepLines w:val="0"/>
        <w:pageBreakBefore w:val="0"/>
        <w:kinsoku/>
        <w:wordWrap/>
        <w:overflowPunct/>
        <w:topLinePunct w:val="0"/>
        <w:bidi w:val="0"/>
        <w:adjustRightInd/>
        <w:spacing w:line="360" w:lineRule="auto"/>
        <w:ind w:firstLine="482" w:firstLineChars="200"/>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lang w:eastAsia="zh-CN"/>
          <w14:textFill>
            <w14:solidFill>
              <w14:schemeClr w14:val="tx1"/>
            </w14:solidFill>
          </w14:textFill>
        </w:rPr>
        <w:t>（</w:t>
      </w:r>
      <w:r>
        <w:rPr>
          <w:rFonts w:hint="eastAsia" w:ascii="宋体" w:hAnsi="宋体" w:eastAsia="宋体" w:cs="宋体"/>
          <w:b/>
          <w:bCs/>
          <w:color w:val="000000" w:themeColor="text1"/>
          <w:kern w:val="0"/>
          <w:sz w:val="24"/>
          <w:szCs w:val="24"/>
          <w:lang w:val="en-US" w:eastAsia="zh-CN"/>
          <w14:textFill>
            <w14:solidFill>
              <w14:schemeClr w14:val="tx1"/>
            </w14:solidFill>
          </w14:textFill>
        </w:rPr>
        <w:t>一</w:t>
      </w:r>
      <w:r>
        <w:rPr>
          <w:rFonts w:hint="eastAsia" w:ascii="宋体" w:hAnsi="宋体" w:eastAsia="宋体" w:cs="宋体"/>
          <w:b/>
          <w:bCs/>
          <w:color w:val="000000" w:themeColor="text1"/>
          <w:kern w:val="0"/>
          <w:sz w:val="24"/>
          <w:szCs w:val="24"/>
          <w:lang w:eastAsia="zh-CN"/>
          <w14:textFill>
            <w14:solidFill>
              <w14:schemeClr w14:val="tx1"/>
            </w14:solidFill>
          </w14:textFill>
        </w:rPr>
        <w:t>）</w:t>
      </w:r>
      <w:r>
        <w:rPr>
          <w:rFonts w:hint="eastAsia" w:ascii="宋体" w:hAnsi="宋体" w:eastAsia="宋体" w:cs="宋体"/>
          <w:b/>
          <w:bCs/>
          <w:color w:val="000000" w:themeColor="text1"/>
          <w:kern w:val="0"/>
          <w:sz w:val="24"/>
          <w:szCs w:val="24"/>
          <w14:textFill>
            <w14:solidFill>
              <w14:schemeClr w14:val="tx1"/>
            </w14:solidFill>
          </w14:textFill>
        </w:rPr>
        <w:t>监测目的</w:t>
      </w:r>
    </w:p>
    <w:p w14:paraId="17EAE371">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建立桥梁全寿命期的数字化、信息化“档案”，实现桥梁信息化、智能化管理。</w:t>
      </w:r>
    </w:p>
    <w:p w14:paraId="73EB7D7A">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themeColor="text1"/>
          <w:kern w:val="0"/>
          <w:sz w:val="24"/>
          <w:szCs w:val="24"/>
          <w14:textFill>
            <w14:solidFill>
              <w14:schemeClr w14:val="tx1"/>
            </w14:solidFill>
          </w14:textFill>
        </w:rPr>
        <w:t>结合桥梁结构定期检测成果和在线监测数据，及时发现桥梁安全隐患并预警，助力桥梁安全运营管理。</w:t>
      </w:r>
    </w:p>
    <w:p w14:paraId="074ADEFF">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w:t>
      </w:r>
      <w:r>
        <w:rPr>
          <w:rFonts w:hint="eastAsia" w:ascii="宋体" w:hAnsi="宋体" w:eastAsia="宋体" w:cs="宋体"/>
          <w:color w:val="000000" w:themeColor="text1"/>
          <w:kern w:val="0"/>
          <w:sz w:val="24"/>
          <w:szCs w:val="24"/>
          <w14:textFill>
            <w14:solidFill>
              <w14:schemeClr w14:val="tx1"/>
            </w14:solidFill>
          </w14:textFill>
        </w:rPr>
        <w:t>掌控运营期桥梁的结构运营状态及其发展演化趋势，为制定桥梁管养对策提供数据支持，降低桥梁的运营成本，有助于延长桥梁服役寿命。</w:t>
      </w:r>
    </w:p>
    <w:p w14:paraId="347E177A">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4.</w:t>
      </w:r>
      <w:r>
        <w:rPr>
          <w:rFonts w:hint="eastAsia" w:ascii="宋体" w:hAnsi="宋体" w:eastAsia="宋体" w:cs="宋体"/>
          <w:color w:val="000000" w:themeColor="text1"/>
          <w:kern w:val="0"/>
          <w:sz w:val="24"/>
          <w:szCs w:val="24"/>
          <w14:textFill>
            <w14:solidFill>
              <w14:schemeClr w14:val="tx1"/>
            </w14:solidFill>
          </w14:textFill>
        </w:rPr>
        <w:t>结合桥梁监测系统及平台的运行模式，针对应用端提出合理化的“单桥系统-群桥系统-总系统平台”的运行模式，使监测数据的应用切实指导桥梁日常运营管理。</w:t>
      </w:r>
    </w:p>
    <w:p w14:paraId="5291EF1F">
      <w:pPr>
        <w:keepNext w:val="0"/>
        <w:keepLines w:val="0"/>
        <w:pageBreakBefore w:val="0"/>
        <w:kinsoku/>
        <w:wordWrap/>
        <w:overflowPunct/>
        <w:topLinePunct w:val="0"/>
        <w:bidi w:val="0"/>
        <w:adjustRightInd/>
        <w:spacing w:line="360" w:lineRule="auto"/>
        <w:ind w:firstLine="482" w:firstLineChars="200"/>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lang w:eastAsia="zh-CN"/>
          <w14:textFill>
            <w14:solidFill>
              <w14:schemeClr w14:val="tx1"/>
            </w14:solidFill>
          </w14:textFill>
        </w:rPr>
        <w:t>（</w:t>
      </w:r>
      <w:r>
        <w:rPr>
          <w:rFonts w:hint="eastAsia" w:ascii="宋体" w:hAnsi="宋体" w:eastAsia="宋体" w:cs="宋体"/>
          <w:b/>
          <w:bCs/>
          <w:color w:val="000000" w:themeColor="text1"/>
          <w:kern w:val="0"/>
          <w:sz w:val="24"/>
          <w:szCs w:val="24"/>
          <w:lang w:val="en-US" w:eastAsia="zh-CN"/>
          <w14:textFill>
            <w14:solidFill>
              <w14:schemeClr w14:val="tx1"/>
            </w14:solidFill>
          </w14:textFill>
        </w:rPr>
        <w:t>二</w:t>
      </w:r>
      <w:r>
        <w:rPr>
          <w:rFonts w:hint="eastAsia" w:ascii="宋体" w:hAnsi="宋体" w:eastAsia="宋体" w:cs="宋体"/>
          <w:b/>
          <w:bCs/>
          <w:color w:val="000000" w:themeColor="text1"/>
          <w:kern w:val="0"/>
          <w:sz w:val="24"/>
          <w:szCs w:val="24"/>
          <w:lang w:eastAsia="zh-CN"/>
          <w14:textFill>
            <w14:solidFill>
              <w14:schemeClr w14:val="tx1"/>
            </w14:solidFill>
          </w14:textFill>
        </w:rPr>
        <w:t>）</w:t>
      </w:r>
      <w:r>
        <w:rPr>
          <w:rFonts w:hint="eastAsia" w:ascii="宋体" w:hAnsi="宋体" w:eastAsia="宋体" w:cs="宋体"/>
          <w:b/>
          <w:bCs/>
          <w:color w:val="000000" w:themeColor="text1"/>
          <w:kern w:val="0"/>
          <w:sz w:val="24"/>
          <w:szCs w:val="24"/>
          <w14:textFill>
            <w14:solidFill>
              <w14:schemeClr w14:val="tx1"/>
            </w14:solidFill>
          </w14:textFill>
        </w:rPr>
        <w:t>监测内容</w:t>
      </w:r>
    </w:p>
    <w:p w14:paraId="187CB69C">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包括环境、作用、结构响应和结构变化监测数据，并结合桥梁养护的经常性检查、定期检查与特殊检查数据进行综合分析。具体监测类别清单参照《城市桥梁安全风险在线监测设备安装试点项目》竣工图。</w:t>
      </w:r>
    </w:p>
    <w:p w14:paraId="4D5B8E22">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满足《公路桥梁结构监测技术规范》（JT/T1037-2022）要求，包括但不限于:</w:t>
      </w:r>
    </w:p>
    <w:p w14:paraId="007FC77A">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硬件设施日常检查，并对巡查情况形成台帐记录；</w:t>
      </w:r>
    </w:p>
    <w:p w14:paraId="4BF87714">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themeColor="text1"/>
          <w:kern w:val="0"/>
          <w:sz w:val="24"/>
          <w:szCs w:val="24"/>
          <w14:textFill>
            <w14:solidFill>
              <w14:schemeClr w14:val="tx1"/>
            </w14:solidFill>
          </w14:textFill>
        </w:rPr>
        <w:t>硬件设施</w:t>
      </w:r>
      <w:r>
        <w:rPr>
          <w:rFonts w:hint="eastAsia" w:ascii="宋体" w:hAnsi="宋体" w:eastAsia="宋体" w:cs="宋体"/>
          <w:color w:val="000000" w:themeColor="text1"/>
          <w:kern w:val="0"/>
          <w:sz w:val="24"/>
          <w:szCs w:val="24"/>
          <w:lang w:val="en-US" w:eastAsia="zh-CN"/>
          <w14:textFill>
            <w14:solidFill>
              <w14:schemeClr w14:val="tx1"/>
            </w14:solidFill>
          </w14:textFill>
        </w:rPr>
        <w:t>养护、维修、更换</w:t>
      </w:r>
      <w:r>
        <w:rPr>
          <w:rFonts w:hint="eastAsia" w:ascii="宋体" w:hAnsi="宋体" w:eastAsia="宋体" w:cs="宋体"/>
          <w:color w:val="000000" w:themeColor="text1"/>
          <w:kern w:val="0"/>
          <w:sz w:val="24"/>
          <w:szCs w:val="24"/>
          <w14:textFill>
            <w14:solidFill>
              <w14:schemeClr w14:val="tx1"/>
            </w14:solidFill>
          </w14:textFill>
        </w:rPr>
        <w:t>，建立设备维护台帐；</w:t>
      </w:r>
    </w:p>
    <w:p w14:paraId="7914CCEE">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w:t>
      </w:r>
      <w:r>
        <w:rPr>
          <w:rFonts w:hint="eastAsia" w:ascii="宋体" w:hAnsi="宋体" w:eastAsia="宋体" w:cs="宋体"/>
          <w:color w:val="000000" w:themeColor="text1"/>
          <w:kern w:val="0"/>
          <w:sz w:val="24"/>
          <w:szCs w:val="24"/>
          <w14:textFill>
            <w14:solidFill>
              <w14:schemeClr w14:val="tx1"/>
            </w14:solidFill>
          </w14:textFill>
        </w:rPr>
        <w:t>监测设备原位校准，与定期检测协同实施，校准过程、数据与结论完整记录，并纳入设备维护台帐统一管理；</w:t>
      </w:r>
    </w:p>
    <w:p w14:paraId="1F36CB74">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4.</w:t>
      </w:r>
      <w:r>
        <w:rPr>
          <w:rFonts w:hint="eastAsia" w:ascii="宋体" w:hAnsi="宋体" w:eastAsia="宋体" w:cs="宋体"/>
          <w:color w:val="000000" w:themeColor="text1"/>
          <w:kern w:val="0"/>
          <w:sz w:val="24"/>
          <w:szCs w:val="24"/>
          <w14:textFill>
            <w14:solidFill>
              <w14:schemeClr w14:val="tx1"/>
            </w14:solidFill>
          </w14:textFill>
        </w:rPr>
        <w:t>监测平台运行过程中出现监测数值异常情况时，受托人应24小时内快速响应并及时开展硬件设备、网络传输等排查工作。</w:t>
      </w:r>
    </w:p>
    <w:p w14:paraId="4675BA69">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5.</w:t>
      </w:r>
      <w:r>
        <w:rPr>
          <w:rFonts w:hint="eastAsia" w:ascii="宋体" w:hAnsi="宋体" w:eastAsia="宋体" w:cs="宋体"/>
          <w:color w:val="000000" w:themeColor="text1"/>
          <w:kern w:val="0"/>
          <w:sz w:val="24"/>
          <w:szCs w:val="24"/>
          <w14:textFill>
            <w14:solidFill>
              <w14:schemeClr w14:val="tx1"/>
            </w14:solidFill>
          </w14:textFill>
        </w:rPr>
        <w:t>监测数据分析方法可采用统计分析、相关性分析、趋势性分析、比对性分析、机器学习或其他可靠方法。</w:t>
      </w:r>
    </w:p>
    <w:p w14:paraId="78946948">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6.</w:t>
      </w:r>
      <w:r>
        <w:rPr>
          <w:rFonts w:hint="eastAsia" w:ascii="宋体" w:hAnsi="宋体" w:eastAsia="宋体" w:cs="宋体"/>
          <w:color w:val="000000" w:themeColor="text1"/>
          <w:kern w:val="0"/>
          <w:sz w:val="24"/>
          <w:szCs w:val="24"/>
          <w14:textFill>
            <w14:solidFill>
              <w14:schemeClr w14:val="tx1"/>
            </w14:solidFill>
          </w14:textFill>
        </w:rPr>
        <w:t>监测报告中的数据分析，应提供相关支撑材料，包括但不限于计算模型、分析计算依据规范标准和著作文献等，并对分析过程进行详细阐述。</w:t>
      </w:r>
    </w:p>
    <w:p w14:paraId="698118D8">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7.</w:t>
      </w:r>
      <w:r>
        <w:rPr>
          <w:rFonts w:hint="eastAsia" w:ascii="宋体" w:hAnsi="宋体" w:eastAsia="宋体" w:cs="宋体"/>
          <w:color w:val="000000" w:themeColor="text1"/>
          <w:kern w:val="0"/>
          <w:sz w:val="24"/>
          <w:szCs w:val="24"/>
          <w14:textFill>
            <w14:solidFill>
              <w14:schemeClr w14:val="tx1"/>
            </w14:solidFill>
          </w14:textFill>
        </w:rPr>
        <w:t>预警处置，根据预警联动处置子系统及甲方发出的预警信息，乙方应24小时内去桥梁现场排查问题，分析原因，并与监测数据分析相结合，完成预警闭合，形成预警处置简报。</w:t>
      </w:r>
    </w:p>
    <w:p w14:paraId="05F7170A">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8.</w:t>
      </w:r>
      <w:r>
        <w:rPr>
          <w:rFonts w:hint="eastAsia" w:ascii="宋体" w:hAnsi="宋体" w:eastAsia="宋体" w:cs="宋体"/>
          <w:color w:val="000000" w:themeColor="text1"/>
          <w:kern w:val="0"/>
          <w:sz w:val="24"/>
          <w:szCs w:val="24"/>
          <w14:textFill>
            <w14:solidFill>
              <w14:schemeClr w14:val="tx1"/>
            </w14:solidFill>
          </w14:textFill>
        </w:rPr>
        <w:t>本项目硬件设备在质保期内如有损坏，由承包人无条件免费更换。</w:t>
      </w:r>
    </w:p>
    <w:p w14:paraId="5E3BFB07">
      <w:pPr>
        <w:keepNext w:val="0"/>
        <w:keepLines w:val="0"/>
        <w:pageBreakBefore w:val="0"/>
        <w:kinsoku/>
        <w:wordWrap/>
        <w:overflowPunct/>
        <w:topLinePunct w:val="0"/>
        <w:bidi w:val="0"/>
        <w:adjustRightInd/>
        <w:spacing w:line="360" w:lineRule="auto"/>
        <w:ind w:firstLine="482" w:firstLineChars="200"/>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lang w:eastAsia="zh-CN"/>
          <w14:textFill>
            <w14:solidFill>
              <w14:schemeClr w14:val="tx1"/>
            </w14:solidFill>
          </w14:textFill>
        </w:rPr>
        <w:t>（</w:t>
      </w:r>
      <w:r>
        <w:rPr>
          <w:rFonts w:hint="eastAsia" w:ascii="宋体" w:hAnsi="宋体" w:eastAsia="宋体" w:cs="宋体"/>
          <w:b/>
          <w:bCs/>
          <w:color w:val="000000" w:themeColor="text1"/>
          <w:kern w:val="0"/>
          <w:sz w:val="24"/>
          <w:szCs w:val="24"/>
          <w:lang w:val="en-US" w:eastAsia="zh-CN"/>
          <w14:textFill>
            <w14:solidFill>
              <w14:schemeClr w14:val="tx1"/>
            </w14:solidFill>
          </w14:textFill>
        </w:rPr>
        <w:t>三</w:t>
      </w:r>
      <w:r>
        <w:rPr>
          <w:rFonts w:hint="eastAsia" w:ascii="宋体" w:hAnsi="宋体" w:eastAsia="宋体" w:cs="宋体"/>
          <w:b/>
          <w:bCs/>
          <w:color w:val="000000" w:themeColor="text1"/>
          <w:kern w:val="0"/>
          <w:sz w:val="24"/>
          <w:szCs w:val="24"/>
          <w:lang w:eastAsia="zh-CN"/>
          <w14:textFill>
            <w14:solidFill>
              <w14:schemeClr w14:val="tx1"/>
            </w14:solidFill>
          </w14:textFill>
        </w:rPr>
        <w:t>）</w:t>
      </w:r>
      <w:r>
        <w:rPr>
          <w:rFonts w:hint="eastAsia" w:ascii="宋体" w:hAnsi="宋体" w:eastAsia="宋体" w:cs="宋体"/>
          <w:b/>
          <w:bCs/>
          <w:color w:val="000000" w:themeColor="text1"/>
          <w:kern w:val="0"/>
          <w:sz w:val="24"/>
          <w:szCs w:val="24"/>
          <w14:textFill>
            <w14:solidFill>
              <w14:schemeClr w14:val="tx1"/>
            </w14:solidFill>
          </w14:textFill>
        </w:rPr>
        <w:t>监测要求</w:t>
      </w:r>
    </w:p>
    <w:p w14:paraId="7344AB7B">
      <w:pPr>
        <w:pStyle w:val="4"/>
        <w:keepNext w:val="0"/>
        <w:keepLines w:val="0"/>
        <w:widowControl/>
        <w:suppressLineNumbers w:val="0"/>
        <w:spacing w:before="0" w:beforeAutospacing="0" w:after="0" w:afterAutospacing="0" w:line="360" w:lineRule="auto"/>
        <w:ind w:left="0" w:right="0" w:firstLine="480" w:firstLineChars="200"/>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1.对安装的在线监测前端感知设备（各类传感器、数据采集单元、供电设备、通信设备、视频监控设备等），数据传输与网络设备（现场采集终端、交换机、路由器、光纤线路、无线通信设备等）等全部硬件进行定期检查、保养。对硬件故障问题及时进行排查分析，对硬件损坏按要求及时进行维修、更换，确保监测设备正常工作。</w:t>
      </w:r>
    </w:p>
    <w:p w14:paraId="666F1043">
      <w:pPr>
        <w:pStyle w:val="4"/>
        <w:keepNext w:val="0"/>
        <w:keepLines w:val="0"/>
        <w:widowControl/>
        <w:suppressLineNumbers w:val="0"/>
        <w:spacing w:before="0" w:beforeAutospacing="0" w:after="0" w:afterAutospacing="0" w:line="360" w:lineRule="auto"/>
        <w:ind w:left="0" w:right="0" w:firstLine="480" w:firstLineChars="200"/>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2.按要求开展系统软件和硬件设备的调试，对前端感知传感器和相关设备进行校准与标定。校准工作应符合相关技术标准，校准记录应当完整可追溯。根据设备运行情况对没有自动调零、校正的设备进行调零、校正和标定。确保监测数据真实有效。</w:t>
      </w:r>
    </w:p>
    <w:p w14:paraId="49B37719">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w:t>
      </w:r>
      <w:r>
        <w:rPr>
          <w:rFonts w:hint="eastAsia" w:ascii="宋体" w:hAnsi="宋体" w:eastAsia="宋体" w:cs="宋体"/>
          <w:color w:val="000000" w:themeColor="text1"/>
          <w:kern w:val="0"/>
          <w:sz w:val="24"/>
          <w:szCs w:val="24"/>
          <w14:textFill>
            <w14:solidFill>
              <w14:schemeClr w14:val="tx1"/>
            </w14:solidFill>
          </w14:textFill>
        </w:rPr>
        <w:t>监测数据分析应用满足《公路桥梁结构监测技术规范》（JT/T1037-2022）要求，包括但不限于：监测数据分析、超限阈值与报警、车辆通行管控建议、检查指引、健康度评估、特殊事件应急管理等。具体技术服务工作应分析环境、作用、结构响应和结构变化监测数据，并宜结合该桥桥梁养护的经常检查、定期检查和特殊检查数据，包括但不限于:</w:t>
      </w:r>
    </w:p>
    <w:p w14:paraId="7CEA4080">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4.</w:t>
      </w:r>
      <w:r>
        <w:rPr>
          <w:rFonts w:hint="eastAsia" w:ascii="宋体" w:hAnsi="宋体" w:eastAsia="宋体" w:cs="宋体"/>
          <w:color w:val="000000" w:themeColor="text1"/>
          <w:kern w:val="0"/>
          <w:sz w:val="24"/>
          <w:szCs w:val="24"/>
          <w14:textFill>
            <w14:solidFill>
              <w14:schemeClr w14:val="tx1"/>
            </w14:solidFill>
          </w14:textFill>
        </w:rPr>
        <w:t>全天候桥梁结构安全监测预警，形成日常数据监测台帐；</w:t>
      </w:r>
    </w:p>
    <w:p w14:paraId="29D94403">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5.</w:t>
      </w:r>
      <w:r>
        <w:rPr>
          <w:rFonts w:hint="eastAsia" w:ascii="宋体" w:hAnsi="宋体" w:eastAsia="宋体" w:cs="宋体"/>
          <w:color w:val="000000" w:themeColor="text1"/>
          <w:kern w:val="0"/>
          <w:sz w:val="24"/>
          <w:szCs w:val="24"/>
          <w14:textFill>
            <w14:solidFill>
              <w14:schemeClr w14:val="tx1"/>
            </w14:solidFill>
          </w14:textFill>
        </w:rPr>
        <w:t>桥梁结构安全评估；</w:t>
      </w:r>
    </w:p>
    <w:p w14:paraId="5904A97B">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6.</w:t>
      </w:r>
      <w:r>
        <w:rPr>
          <w:rFonts w:hint="eastAsia" w:ascii="宋体" w:hAnsi="宋体" w:eastAsia="宋体" w:cs="宋体"/>
          <w:color w:val="000000" w:themeColor="text1"/>
          <w:kern w:val="0"/>
          <w:sz w:val="24"/>
          <w:szCs w:val="24"/>
          <w14:textFill>
            <w14:solidFill>
              <w14:schemeClr w14:val="tx1"/>
            </w14:solidFill>
          </w14:textFill>
        </w:rPr>
        <w:t>桥梁结构灾后应急安全评估及决策技术咨询；</w:t>
      </w:r>
    </w:p>
    <w:p w14:paraId="08423EB9">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7.</w:t>
      </w:r>
      <w:r>
        <w:rPr>
          <w:rFonts w:hint="eastAsia" w:ascii="宋体" w:hAnsi="宋体" w:eastAsia="宋体" w:cs="宋体"/>
          <w:color w:val="000000" w:themeColor="text1"/>
          <w:kern w:val="0"/>
          <w:sz w:val="24"/>
          <w:szCs w:val="24"/>
          <w14:textFill>
            <w14:solidFill>
              <w14:schemeClr w14:val="tx1"/>
            </w14:solidFill>
          </w14:textFill>
        </w:rPr>
        <w:t>桥梁结构预警后应急安全评估及决策技术咨询；</w:t>
      </w:r>
    </w:p>
    <w:p w14:paraId="2B47BB0D">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8.</w:t>
      </w:r>
      <w:r>
        <w:rPr>
          <w:rFonts w:hint="eastAsia" w:ascii="宋体" w:hAnsi="宋体" w:eastAsia="宋体" w:cs="宋体"/>
          <w:color w:val="000000" w:themeColor="text1"/>
          <w:kern w:val="0"/>
          <w:sz w:val="24"/>
          <w:szCs w:val="24"/>
          <w14:textFill>
            <w14:solidFill>
              <w14:schemeClr w14:val="tx1"/>
            </w14:solidFill>
          </w14:textFill>
        </w:rPr>
        <w:t>灾后应急交通管制建议及技术咨询；</w:t>
      </w:r>
    </w:p>
    <w:p w14:paraId="1B1677B6">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9.</w:t>
      </w:r>
      <w:r>
        <w:rPr>
          <w:rFonts w:hint="eastAsia" w:ascii="宋体" w:hAnsi="宋体" w:eastAsia="宋体" w:cs="宋体"/>
          <w:color w:val="000000" w:themeColor="text1"/>
          <w:kern w:val="0"/>
          <w:sz w:val="24"/>
          <w:szCs w:val="24"/>
          <w14:textFill>
            <w14:solidFill>
              <w14:schemeClr w14:val="tx1"/>
            </w14:solidFill>
          </w14:textFill>
        </w:rPr>
        <w:t>灾后应急抢险及临时加固保通技术咨询。</w:t>
      </w:r>
    </w:p>
    <w:p w14:paraId="70BFE358">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10.</w:t>
      </w:r>
      <w:r>
        <w:rPr>
          <w:rFonts w:hint="eastAsia" w:ascii="宋体" w:hAnsi="宋体" w:eastAsia="宋体" w:cs="宋体"/>
          <w:color w:val="000000" w:themeColor="text1"/>
          <w:kern w:val="0"/>
          <w:sz w:val="24"/>
          <w:szCs w:val="24"/>
          <w14:textFill>
            <w14:solidFill>
              <w14:schemeClr w14:val="tx1"/>
            </w14:solidFill>
          </w14:textFill>
        </w:rPr>
        <w:t>报告类别及内容要求：</w:t>
      </w:r>
    </w:p>
    <w:p w14:paraId="776C9C38">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单桥监测平台数据分析报告分为常规定期报告（月报、半年报、年报）和特殊事件专项报告，具体规定如下：</w:t>
      </w:r>
    </w:p>
    <w:p w14:paraId="5FCEE363">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14:textFill>
            <w14:solidFill>
              <w14:schemeClr w14:val="tx1"/>
            </w14:solidFill>
          </w14:textFill>
        </w:rPr>
        <w:t>常规定期报告：</w:t>
      </w:r>
    </w:p>
    <w:p w14:paraId="087EC72C">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常规定期报告（月报、半年报、年报）严格按照《公路桥梁结构监测技术规范》（JT/T1037-2022）及《公路长大桥梁结构监测时空大数据应用指引》（交办公路〔2024〕37号）的要求进行监测数据分析，主要内容包括：</w:t>
      </w:r>
    </w:p>
    <w:p w14:paraId="6A9A12BF">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a）单桥监测平台运行状况分析；</w:t>
      </w:r>
    </w:p>
    <w:p w14:paraId="6A6434F0">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b）监测数据质量分析、软硬件维护情况；</w:t>
      </w:r>
    </w:p>
    <w:p w14:paraId="0489E51F">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c）环境、作用、结构响应监测数据分析，采用统计分析、相关性分析、趋势性分析、比对性分析、机器学习，也可采用其他可靠方法；</w:t>
      </w:r>
    </w:p>
    <w:p w14:paraId="090C1889">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d）监测数据与修正后的有限元模型数据对比分析、趋势分析（至少3个月数据对比分析）；</w:t>
      </w:r>
    </w:p>
    <w:p w14:paraId="1CD7C119">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e）超限阈值与报警情况；</w:t>
      </w:r>
    </w:p>
    <w:p w14:paraId="057ADED2">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f）车辆通行管控及检查指引</w:t>
      </w:r>
    </w:p>
    <w:p w14:paraId="77908B63">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g）桥梁健康度评价，结构健康度评估应分为结构整体健康度和结构构件健康度。整体健康度辅助于全桥检查等养护决策，构件健康度辅助于构件检查等养护决策。</w:t>
      </w:r>
    </w:p>
    <w:p w14:paraId="7E255A48">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h）月度报告突出本月内桥梁监测数据的变化情况，及服务期内该监测类别的数据对比分析及趋势分析；半年报告突出半年内监测数据变化情况及同期（上个服务期同时间）数据比对，重点在季节性结构变化特征；年度报告突出本年度监测数据的总体变化趋势分析及与上年度的数据比对，相关性分析，突出桥梁在一年内的结构变化特征。</w:t>
      </w:r>
    </w:p>
    <w:p w14:paraId="1F9CE97E">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i</w:t>
      </w:r>
      <w:r>
        <w:rPr>
          <w:rFonts w:hint="eastAsia" w:ascii="宋体" w:hAnsi="宋体" w:eastAsia="宋体" w:cs="宋体"/>
          <w:color w:val="000000" w:themeColor="text1"/>
          <w:kern w:val="0"/>
          <w:sz w:val="24"/>
          <w:szCs w:val="24"/>
          <w14:textFill>
            <w14:solidFill>
              <w14:schemeClr w14:val="tx1"/>
            </w14:solidFill>
          </w14:textFill>
        </w:rPr>
        <w:t>）月度报告在每月结束后5天内提交，半年报告在半年期结束后10天内提交，年度报告在年度结束后10天内提交。</w:t>
      </w:r>
    </w:p>
    <w:p w14:paraId="1A0B375B">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14:textFill>
            <w14:solidFill>
              <w14:schemeClr w14:val="tx1"/>
            </w14:solidFill>
          </w14:textFill>
        </w:rPr>
        <w:t>特殊事件专项报告（指影响桥梁结构运行安全的突发事件，如强（台）风、地震、凝冻、山体崩塌滑坡、地面塌陷裂缝、地面沉降等自然灾害，以及涡振、车辆超载、车撞、船撞、火灾等意外事故)：当发生特殊事件时，由人工主动参与结合特殊事件全过程监测数据统计分析、趋势分析和关联性分析，对发生特殊事件后对桥梁进行初步的结构安全性评价，特殊事件专项报告应说明事件概况以及监测数据超限报警、应急处置、信息报送等情况，分析事前、事中、事后数据，评估事件影响，给出切实可行的管养意见。</w:t>
      </w:r>
    </w:p>
    <w:p w14:paraId="7ED42A47">
      <w:pPr>
        <w:keepNext w:val="0"/>
        <w:keepLines w:val="0"/>
        <w:pageBreakBefore w:val="0"/>
        <w:kinsoku/>
        <w:wordWrap/>
        <w:overflowPunct/>
        <w:topLinePunct w:val="0"/>
        <w:bidi w:val="0"/>
        <w:adjustRightInd/>
        <w:spacing w:line="360" w:lineRule="auto"/>
        <w:ind w:firstLine="482" w:firstLineChars="200"/>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lang w:eastAsia="zh-CN"/>
          <w14:textFill>
            <w14:solidFill>
              <w14:schemeClr w14:val="tx1"/>
            </w14:solidFill>
          </w14:textFill>
        </w:rPr>
        <w:t>（</w:t>
      </w:r>
      <w:r>
        <w:rPr>
          <w:rFonts w:hint="eastAsia" w:ascii="宋体" w:hAnsi="宋体" w:eastAsia="宋体" w:cs="宋体"/>
          <w:b/>
          <w:bCs/>
          <w:color w:val="000000" w:themeColor="text1"/>
          <w:kern w:val="0"/>
          <w:sz w:val="24"/>
          <w:szCs w:val="24"/>
          <w:lang w:val="en-US" w:eastAsia="zh-CN"/>
          <w14:textFill>
            <w14:solidFill>
              <w14:schemeClr w14:val="tx1"/>
            </w14:solidFill>
          </w14:textFill>
        </w:rPr>
        <w:t>四</w:t>
      </w:r>
      <w:r>
        <w:rPr>
          <w:rFonts w:hint="eastAsia" w:ascii="宋体" w:hAnsi="宋体" w:eastAsia="宋体" w:cs="宋体"/>
          <w:b/>
          <w:bCs/>
          <w:color w:val="000000" w:themeColor="text1"/>
          <w:kern w:val="0"/>
          <w:sz w:val="24"/>
          <w:szCs w:val="24"/>
          <w:lang w:eastAsia="zh-CN"/>
          <w14:textFill>
            <w14:solidFill>
              <w14:schemeClr w14:val="tx1"/>
            </w14:solidFill>
          </w14:textFill>
        </w:rPr>
        <w:t>）</w:t>
      </w:r>
      <w:r>
        <w:rPr>
          <w:rFonts w:hint="eastAsia" w:ascii="宋体" w:hAnsi="宋体" w:eastAsia="宋体" w:cs="宋体"/>
          <w:b/>
          <w:bCs/>
          <w:color w:val="000000" w:themeColor="text1"/>
          <w:kern w:val="0"/>
          <w:sz w:val="24"/>
          <w:szCs w:val="24"/>
          <w14:textFill>
            <w14:solidFill>
              <w14:schemeClr w14:val="tx1"/>
            </w14:solidFill>
          </w14:textFill>
        </w:rPr>
        <w:t>检测、监测融合结合要求</w:t>
      </w:r>
    </w:p>
    <w:p w14:paraId="5CB6DCD0">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养护评估报告</w:t>
      </w:r>
    </w:p>
    <w:p w14:paraId="2DD1E6F7">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同一座桥应结合检测、监测数据形成养护评估报告，主要包括以下内容：养护评估报告应综合采用监测、检测等数据分析成果编制，包括结构健康度评估、桥梁技术状况评定、适应性评定和其他专项养护评估等内容，并综合分析评估结构整体受力性能、主要受力构件性能、附属设施使用性能等，给出评估结论和管养意见。所有数据分析报告应作为后续检查、养护维修、加固改造的参考依据。</w:t>
      </w:r>
    </w:p>
    <w:p w14:paraId="4F4C70F4">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ascii="宋体" w:hAnsi="宋体" w:eastAsia="宋体" w:cs="宋体"/>
          <w:color w:val="000000" w:themeColor="text1"/>
          <w:kern w:val="0"/>
          <w:sz w:val="24"/>
          <w:szCs w:val="24"/>
          <w14:textFill>
            <w14:solidFill>
              <w14:schemeClr w14:val="tx1"/>
            </w14:solidFill>
          </w14:textFill>
        </w:rPr>
        <w:t>桥梁应急预案</w:t>
      </w:r>
    </w:p>
    <w:p w14:paraId="415AD584">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服务期内乙方负责管辖的桥梁突发事件，同一座桥出具桥梁应急预案，一桥一策，确保桥梁发生突发事件能够及时处置，</w:t>
      </w:r>
      <w:r>
        <w:rPr>
          <w:rFonts w:hint="eastAsia" w:ascii="宋体" w:hAnsi="宋体" w:eastAsia="宋体" w:cs="宋体"/>
          <w:color w:val="000000" w:themeColor="text1"/>
          <w:kern w:val="0"/>
          <w:sz w:val="24"/>
          <w:szCs w:val="24"/>
          <w:lang w:val="en-US" w:eastAsia="zh-CN"/>
          <w14:textFill>
            <w14:solidFill>
              <w14:schemeClr w14:val="tx1"/>
            </w14:solidFill>
          </w14:textFill>
        </w:rPr>
        <w:t>预案</w:t>
      </w:r>
      <w:r>
        <w:rPr>
          <w:rFonts w:hint="eastAsia" w:ascii="宋体" w:hAnsi="宋体" w:eastAsia="宋体" w:cs="宋体"/>
          <w:color w:val="000000" w:themeColor="text1"/>
          <w:kern w:val="0"/>
          <w:sz w:val="24"/>
          <w:szCs w:val="24"/>
          <w14:textFill>
            <w14:solidFill>
              <w14:schemeClr w14:val="tx1"/>
            </w14:solidFill>
          </w14:textFill>
        </w:rPr>
        <w:t>包括但不限于以下内容：</w:t>
      </w:r>
    </w:p>
    <w:p w14:paraId="0E656014">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（1）桥梁概况、编制依据、应急处置目的、工作原则等；</w:t>
      </w:r>
    </w:p>
    <w:p w14:paraId="6BDFF662">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（2）应急响应机制：组织机构、响应等级、响应流程、应急保障等；</w:t>
      </w:r>
    </w:p>
    <w:p w14:paraId="59BF03F4">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（3）专项应急保障预案：包含所有城市桥梁可能遇见的突发事件场景，包括地震、车撞、恶劣天气、火灾、危化品泄漏、交通事故等；</w:t>
      </w:r>
    </w:p>
    <w:p w14:paraId="50CA9E78">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（4）交通组织方案：根据桥梁所处地理位置特点，因地制宜，最大限度减少交通和社会影响。</w:t>
      </w:r>
    </w:p>
    <w:p w14:paraId="0FC76A6A">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ascii="宋体" w:hAnsi="宋体" w:eastAsia="宋体" w:cs="宋体"/>
          <w:color w:val="000000" w:themeColor="text1"/>
          <w:kern w:val="0"/>
          <w:sz w:val="24"/>
          <w:szCs w:val="24"/>
          <w14:textFill>
            <w14:solidFill>
              <w14:schemeClr w14:val="tx1"/>
            </w14:solidFill>
          </w14:textFill>
        </w:rPr>
        <w:t>节假日值守</w:t>
      </w:r>
    </w:p>
    <w:p w14:paraId="58291782">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国家法定节假日前一周进行节前安全检查，包括硬件巡查、桥梁关键结构检查，桥梁状态评估等。若无异常情况，在节前3天提交节前检查简报，若发现隐患，需及时向桥梁管理部门反馈并提交节前安全检查简报。</w:t>
      </w:r>
    </w:p>
    <w:p w14:paraId="4E1E58FF">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国家法定节假日期间需每日数据值守。每日下午17：00前在特定工作群汇报值守结果，包括但不限于监测数据分析结果、桥梁状态评估等。5天及5天以上的国家法定节假日（春节、劳动节、国庆节）需在收假后3天内提交节假日数据值守专项报告，主要内容包括但不限于节前安全检查、数据分析，桥梁节假日期间状态评估结论等。</w:t>
      </w:r>
    </w:p>
    <w:p w14:paraId="1FD1C1BF">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国家法定节假日期间发生突发事件，按照制订的该桥应急预案第一时间现场巡查、评估、处置。收假后3天内提交突发事件处置简报。</w:t>
      </w:r>
    </w:p>
    <w:p w14:paraId="2705AC7D">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4.充分融合桥梁结构检测和在线监测成果，编制《城市桥梁安全监测系统运营维护和管理的标准》、《安全监测数据分析应用指南》等文件。立足项目提出具有实用性、指导性的科研类课题。</w:t>
      </w:r>
    </w:p>
    <w:p w14:paraId="1DFA59EA">
      <w:pPr>
        <w:pStyle w:val="3"/>
        <w:wordWrap/>
        <w:spacing w:line="360" w:lineRule="auto"/>
        <w:ind w:firstLine="482" w:firstLineChars="200"/>
        <w:rPr>
          <w:rFonts w:hint="eastAsia" w:ascii="宋体" w:hAnsi="宋体" w:eastAsia="宋体" w:cs="宋体"/>
          <w:b/>
          <w:bCs/>
          <w:color w:val="000000" w:themeColor="text1"/>
          <w:kern w:val="0"/>
          <w:sz w:val="24"/>
          <w:szCs w:val="24"/>
          <w:lang w:val="en-US" w:eastAsia="zh-CN" w:bidi="ar-SA"/>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SA"/>
          <w14:textFill>
            <w14:solidFill>
              <w14:schemeClr w14:val="tx1"/>
            </w14:solidFill>
          </w14:textFill>
        </w:rPr>
        <w:t>（五）监测桥梁概况</w:t>
      </w:r>
    </w:p>
    <w:p w14:paraId="65AB7B02">
      <w:pPr>
        <w:pStyle w:val="7"/>
        <w:autoSpaceDE/>
        <w:autoSpaceDN/>
        <w:adjustRightInd/>
        <w:spacing w:line="360" w:lineRule="auto"/>
        <w:ind w:firstLine="482" w:firstLineChars="200"/>
        <w:jc w:val="both"/>
        <w:rPr>
          <w:rFonts w:hint="eastAsia" w:ascii="宋体" w:hAnsi="宋体" w:eastAsia="宋体" w:cs="宋体"/>
          <w:b/>
          <w:bCs/>
          <w:color w:val="000000" w:themeColor="text1"/>
          <w:kern w:val="0"/>
          <w:sz w:val="24"/>
          <w:szCs w:val="24"/>
          <w:lang w:val="en-US" w:eastAsia="zh-CN" w:bidi="ar-SA"/>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SA"/>
          <w14:textFill>
            <w14:solidFill>
              <w14:schemeClr w14:val="tx1"/>
            </w14:solidFill>
          </w14:textFill>
        </w:rPr>
        <w:t>1、秦汉大道灞河桥桥梁概况</w:t>
      </w:r>
    </w:p>
    <w:p w14:paraId="058D1721">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秦汉大道灞河桥位于东风路上，桥梁工程起点道路桩号K0+334.25，终点道路桩号KO+839.55，桥梁全长 505.3 米。由主桥和东西两侧引桥构成。其中主桥采用两跨半中承式连续系杆拱桥，跨径布置为:2x89.25=178.5 米:东西两侧引桥各为两联，西侧引桥跨径布置为:3x16(第一联)+(4x30+27)(第二联)=163米:东侧引桥跨径布置为:(27-4x30)(第四联)+16(第五联)=163 米:其中第二联、第四联采用装配式预应力混凝土箱型连续梁:第一联、第五联采用采用装配式预应力混凝土空心板简支梁。该桥于2012年12月建成通车。</w:t>
      </w:r>
    </w:p>
    <w:p w14:paraId="23B34D56">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桥面全宽 53.5 米，主桥引桥布置相同，均为:3米(人行道)+3 米(非机动车道)+225 米(分隔带)+8 米(机动车道)+2.5 米(分隔带)+16 米(机动车道)+2.5米(分隔带)+8 米(机动车道)+2.25 米(分隔带)+3 米(非机动车道)+3 米(人行道)=53.5 米。</w:t>
      </w:r>
    </w:p>
    <w:p w14:paraId="2A0207BC">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(1)主桥上部结构</w:t>
      </w:r>
    </w:p>
    <w:p w14:paraId="12A92215">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拱肋:主桥采用两跨半中承式连续系杆拱桥，跨径布置为:2x89.25=178.5米:桥面全宽53.5米。横桥向共布置4榀拱肋:分别位于分隔带处:两拱肋为一组，间距10.5米，设横撑;组与组之间拱肋敞开式布置，间距18.5米，不设横撑。拱肋面采用钢箱裁面，戴面尺寸1.8x1.3米;钢箱壁厚22毫米:第一根吊杆处以下拱助填充混凝土，以上为空钢箱。拱轴线:桥面上采用二次抛物线，矢跨比:1/4:方程为Y=-X/75+X，桥面下采用直线。拱助采Q350钢板工厂焊接加工。</w:t>
      </w:r>
    </w:p>
    <w:p w14:paraId="4DA1A1C5">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系梁:本桥采用预应力混凝土刚性变截面加劲系梁,截面尺寸在拱助相交处为2x2.75米,在其它部位为2x2.1米。系梁采用C50混凝土，整体支架现流施工。</w:t>
      </w:r>
    </w:p>
    <w:p w14:paraId="6834CCC5">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横梁:横梁采用预应力混凝土，与系梁刚性连接。吊杆处横梁采用“T”形断面，腹板宽度0.7米，高度1.4米，顶板宽度1.5米。7#桥墩处横梁采用箱型断面，高度1.67米，顶板宽度3.3米:底板宽度2米。拱肋相交处横梁采用箱型断面，高度2.32米，顶板宽度6.3米、5.65米:底板宽度5米。横梁采用C50混凝土，分段(先两侧，后中间)支架现浇施工。</w:t>
      </w:r>
    </w:p>
    <w:p w14:paraId="5C8CB025">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吊杆:单跨每福拱肋配置12根吊杆，间距5.5米，吊杆在拱肋上为锚固端，系梁一端为张拉端，设计考虑分三次张拉，吊杆采用钢纹线整束挤压拉索体系，吊杆采用0WM,GJ</w:t>
      </w: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J5-19截面面积2660mm²，破</w:t>
      </w:r>
      <w:r>
        <w:rPr>
          <w:rFonts w:hint="eastAsia" w:ascii="宋体" w:hAnsi="宋体" w:eastAsia="宋体" w:cs="宋体"/>
          <w:color w:val="000000" w:themeColor="text1"/>
          <w:kern w:val="0"/>
          <w:sz w:val="24"/>
          <w:szCs w:val="24"/>
          <w:lang w:val="en-US" w:eastAsia="zh-CN" w:bidi="ar-SA"/>
          <w14:textFill>
            <w14:solidFill>
              <w14:schemeClr w14:val="tx1"/>
            </w14:solidFill>
          </w14:textFill>
        </w:rPr>
        <w:t>断索力4948KN,吊杆锚具及其防护配件采用其配套产品。</w:t>
      </w:r>
    </w:p>
    <w:p w14:paraId="1BD93CC5">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桥面系:</w:t>
      </w:r>
    </w:p>
    <w:p w14:paraId="40C1835A">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车行道预制板:采用矩形钢筋混凝土预制板:厚度0.25米:为提高桥面系的整体承载能力，在预制板纵横向接头之间预留了后浇段，并将纵向接缝钢筋与横梁中预埋筋焊接形成弹性支承上的连续板结构体系。</w:t>
      </w:r>
    </w:p>
    <w:p w14:paraId="66A70405">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非机动车道预制板:为减轻结构自重，采用矮肋式钢筋混凝土预制板。人行道预制板:为方便管线穿过，采用槽形钢筋混凝土预制板。</w:t>
      </w:r>
    </w:p>
    <w:p w14:paraId="02916248">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桥面铺装:车行道:采用8厘米沥青混凝土和8厘米C50混凝土调平层。人行道采用石材铺装。人行道外侧设石材栏杆，分隔带处设吊杆防护钢栏杆。</w:t>
      </w:r>
    </w:p>
    <w:p w14:paraId="477C4FF9">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拱肋横撑:单跨内外侧拱肋之间共设2道“一”字撑:2道“K”撑。横撑截面采用箱型截面，横撑截面尺寸:1.2x1.2米，斜撑1.0x1.2米，拱肋横撑之间采用装饰性铝合金板装饰。</w:t>
      </w:r>
    </w:p>
    <w:p w14:paraId="11E809DB">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(2)主桥下部结构</w:t>
      </w:r>
    </w:p>
    <w:p w14:paraId="704ADBCE">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7#桥墩依据拱肋设置情况，横向共设两座:承台与拱座之间设支座:承台厚度3米，侧面设防水侧墙，将拱座包围。基础采用群桩基础，每个设12根直径2米桩端后压浆灌注桩，长45米。</w:t>
      </w:r>
    </w:p>
    <w:p w14:paraId="653DFCE8">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6#、8#桥墩设“L”形盖梁，横向设4根矩形墩柱，柱中心间距10.5、18.5、10.5米，两根为一组，墩柱截面3x2米，墩柱与桩基础之间设3米厚承台:每组桥墩设8根直径2米桩端后压浆灌注桩，桩长39米。</w:t>
      </w:r>
    </w:p>
    <w:p w14:paraId="3E874E84">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(3)引桥上部结构</w:t>
      </w:r>
    </w:p>
    <w:p w14:paraId="61CD16BA">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第一联、第五联采用装配式后张法预应力湿凝士空心板梁，简支结构、桥宽53.5米分为三幅桥;边幅桥宽17.9米，中幅桥宽17.7米:每幅桥均由横向11片预制空心板拼接而成，全桥共66片。</w:t>
      </w:r>
    </w:p>
    <w:p w14:paraId="27C84C99">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空心板板高0.8米，中板底宽1.24米:边板底宽2.31米，为同第二、四联主梁外观保持一致， 悬臂侧腹板倾斜。桥面2%的横坡通过空心板斜置形成，桥面铺装等厚，纵横坡由箱梁底调平块调整，保证支座水平。</w:t>
      </w:r>
    </w:p>
    <w:p w14:paraId="101CAD69">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第二联、第四联采用装配式预应力混凝土箱梁，先简支后连续。桥宽53.5米，分为三幅桥;边幅桥宽17.9米，中幅桥宽17.7米:每幅桥均由横向6片预制梁拼接而成，梁间距2.9米梁与梁之间设0.5宽后浇带。全桥30米跨径预制梁共144片，27米跨径预制梁共36片。</w:t>
      </w:r>
    </w:p>
    <w:p w14:paraId="45D54716">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预制梁高1.6米，边梁项板宽3米，外侧悬臂长0.96米;中梁顶板宽2.4米，底板宽均为1.0米。箱梁底板设置通气孔、泄水孔。底板水平，桥面2%的横坡通过不等高腹板形成，桥面铺装等厚，纵坡由箱梁底调平钢板调整，保证支座水平。引桥主梁均采用C50混凝土预制而成。</w:t>
      </w:r>
    </w:p>
    <w:p w14:paraId="2DD390AB">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(4)引桥下部结构</w:t>
      </w:r>
    </w:p>
    <w:p w14:paraId="39A72367">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0#、14#桥台均采用钢筋混凝土轻型桥台，桩基础。每幅桥间设沉降缝，沉降缝宽2厘米，内嵌油浸木板，聚硫密封膏勾缝。台身厚0.8米:台身与基之间设1.5米厚承台:每幅桥台设3根直径1.5米桩端后压浆灌注桩，桩长22米，引桥桥墩采用柱式墩，基础。1#、13#桥墩设“L”形盖梁，每幅桥横向设5根矩形墩柱，柱中心间距3.6米，墩柱截面1.3x0.8米，墩柱与桩基础间设1.5米厚承台:每幅桥墩设4根直径1.2米桩端后压浆灌注桩，桩长20米。</w:t>
      </w:r>
    </w:p>
    <w:p w14:paraId="680B266B">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2#~5#、9#~12#桥墩设矩形善梁，每幅桥横向设2根圆形墩柱，柱中心间距8.6米，墩柱直径1.5米，墩柱与桩基础之间设2米厚承台:每幅桥墩设4根直径1.5米桩端后压浆灌注桩，桩长30、33米。</w:t>
      </w:r>
    </w:p>
    <w:p w14:paraId="5A08AE90">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(5)技术标准</w:t>
      </w:r>
    </w:p>
    <w:p w14:paraId="0A1141A8">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道路等级:主干路I级:</w:t>
      </w:r>
    </w:p>
    <w:p w14:paraId="5A5C830A">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荷载标准:汽车荷载公路-【级:挂-120验算:人群荷载:3KN/m，4KN/m(人行道板局部验算):</w:t>
      </w:r>
    </w:p>
    <w:p w14:paraId="725A7498">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桥梁设计洪水频率:1/100:</w:t>
      </w:r>
    </w:p>
    <w:p w14:paraId="001D995D">
      <w:pPr>
        <w:pStyle w:val="7"/>
        <w:autoSpaceDE/>
        <w:autoSpaceDN/>
        <w:adjustRightInd/>
        <w:spacing w:line="360" w:lineRule="auto"/>
        <w:ind w:firstLine="480" w:firstLineChars="200"/>
        <w:jc w:val="both"/>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设计车速:中央车道60km/h:两侧车道40km/h。</w:t>
      </w:r>
    </w:p>
    <w:p w14:paraId="17AAA49A">
      <w:pPr>
        <w:pStyle w:val="7"/>
        <w:autoSpaceDE/>
        <w:autoSpaceDN/>
        <w:adjustRightInd/>
        <w:spacing w:line="360" w:lineRule="auto"/>
        <w:ind w:firstLine="482" w:firstLineChars="200"/>
        <w:jc w:val="both"/>
        <w:rPr>
          <w:rFonts w:hint="eastAsia" w:ascii="宋体" w:hAnsi="宋体" w:eastAsia="宋体" w:cs="宋体"/>
          <w:b/>
          <w:bCs/>
          <w:color w:val="000000" w:themeColor="text1"/>
          <w:kern w:val="0"/>
          <w:sz w:val="24"/>
          <w:szCs w:val="24"/>
          <w:lang w:val="en-US" w:eastAsia="zh-CN" w:bidi="ar-SA"/>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SA"/>
          <w14:textFill>
            <w14:solidFill>
              <w14:schemeClr w14:val="tx1"/>
            </w14:solidFill>
          </w14:textFill>
        </w:rPr>
        <w:t>2.南二环长安路立交概况</w:t>
      </w:r>
    </w:p>
    <w:p w14:paraId="48C10D85">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长安路立交位于二环南路与长安路立交叉处，为两层长条苜蓿叶互通式立体交叉。其南北跨线桥上部结构为简支先张预应力空心板，跨径为(10.2+13.5+13.5+10.2)m。桥面总宽51.5m(包括栏杆)，其中两幅机动车道各宽12m，两幅非机动车道各宽6m，两侧人行道(包括栏杆)各宽5.25m，中央分隔带宽2m，机动车道与非机动车道的分隔带各1.5m。桥面铺装上层为6cm的沥青混凝土，下层为10cm厚的现浇混凝土。该桥下部结构为扩大基础，钢筋混凝土扶壁式轻型桥台，柱式墩。该桥于1994 年11月竣工通车，2013年8月南侧和北侧车道实施拓宽改造。</w:t>
      </w:r>
    </w:p>
    <w:p w14:paraId="18F4509D">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技术标准:</w:t>
      </w:r>
    </w:p>
    <w:p w14:paraId="18249E81">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(1)设计荷载:汽车-超20、挂车-120:</w:t>
      </w:r>
    </w:p>
    <w:p w14:paraId="7ADC5318">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(2)桥梁养护类别为:Ⅱ类1等养护:</w:t>
      </w:r>
    </w:p>
    <w:p w14:paraId="5EFDAD54">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(3)桥下净空:4.5m(机动车道)，3.5m(非机动车道):</w:t>
      </w:r>
    </w:p>
    <w:p w14:paraId="47B6BE0E">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(4)行车速度:50kyh(长安路)，60kyh(桥下二环路)。</w:t>
      </w:r>
    </w:p>
    <w:p w14:paraId="0D2E6FFB">
      <w:pPr>
        <w:pStyle w:val="7"/>
        <w:autoSpaceDE/>
        <w:autoSpaceDN/>
        <w:adjustRightInd/>
        <w:spacing w:line="360" w:lineRule="auto"/>
        <w:ind w:firstLine="482" w:firstLineChars="200"/>
        <w:jc w:val="both"/>
        <w:rPr>
          <w:rFonts w:hint="eastAsia" w:ascii="宋体" w:hAnsi="宋体" w:eastAsia="宋体" w:cs="宋体"/>
          <w:b/>
          <w:bCs/>
          <w:color w:val="000000" w:themeColor="text1"/>
          <w:kern w:val="0"/>
          <w:sz w:val="24"/>
          <w:szCs w:val="24"/>
          <w:lang w:val="en-US" w:eastAsia="zh-CN" w:bidi="ar-SA"/>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SA"/>
          <w14:textFill>
            <w14:solidFill>
              <w14:schemeClr w14:val="tx1"/>
            </w14:solidFill>
          </w14:textFill>
        </w:rPr>
        <w:t>3.朱宏路立交概况</w:t>
      </w:r>
    </w:p>
    <w:p w14:paraId="68E2A2F5">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朱宏路~北二环立交位于西安市二环路西北角。南北主线桥位于朱宏路上，上跨北二环高架桥。桥梁起点桩号为ZK0+346.836，终点桩号为ZK0+993.939，全长647.103m，共六联。跨径布置为：第一联（3×30）m+第二联（3×30）m+第三联（2×22）m+第四联（45.3+54+45.623+36）m+第五联（4×30）m+第六联（4×30）m。其中除第四联为连续梁钢箱梁外，其余各联均为预应力混凝土箱梁。桥面布设为：25.5m=0.5m（防撞护栏）+12m（机动车道）+0.5m（中央隔离墩）+12m（机动车道）+0.5m（防撞护栏），桥梁悬臂宽2.25m，直腹板。下部结构桥台采用钢筋混凝土轻型桥台，桩基础均采用钻孔灌注桩并进行后压浆工艺处理，墩柱为双柱圆端形断面桥墩。</w:t>
      </w:r>
    </w:p>
    <w:p w14:paraId="425D6B32">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A匝道桥位于立交的西南象限，右南北主线起桥，向东与现状北二环高架桥东段并排布设。A匝道桥起点桩号为AK0+37.747，终点桩号为AK0+423.727，全长385.98m，共五联。跨径布置为：第一联（4×18.67）m+第二联（3×24）m+第三联（21.8+22+21.8）m+第四联（3×28.76）m+第五联（3×28.76）m。A匝道桥第一联及第二联为普通钢筋混凝土连续箱梁，其余各跨为预应力混凝土连续箱梁。A匝道桥标准横断面布设为： 9m=0.5m（防撞护栏）+8m（机动车道）+0.5m（防撞护栏）；桥梁悬臂宽2.25m，直腹板。下部结构桥台采用钢筋混凝土轻型桥台，桩基础均采用钻孔灌注桩并进行后压浆工艺处理，墩柱均为单柱墩。</w:t>
      </w:r>
    </w:p>
    <w:p w14:paraId="5BF41E7D">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B匝道桥为定向匝道，由北二环高架桥西段并线起桥后，跨越朱宏路南北主线桥及北二环高架桥后接入南北主线。B匝道桥起点桩号为BK0+105.444，终点桩号为BK0+774.384，全长668.94m，共八联。跨径布置为：第一联（3×27）m+第二联（3×27）m+第三联（3×27）m+第四联（3×25）m+第五联（2×23）m+第六联（44+48+46）m+第七联（36+52+36）m+第八联（2×18.9）m。其中除第六、第七联为钢箱梁连续钢构外，其余各联均为预应力混凝土连续箱梁。B匝道桥标准横断面布设为9m=0.5m（防撞护栏）+8m（机动车道）+0.5m（防撞护栏）。加宽横断面布设为： 12m=0.5m（防撞护栏）+11m（机动车道）+0.5（防撞护栏）；桥梁悬臂宽2.25m，直腹板。下部结构桥台采用钢筋混凝土轻型桥台，桩基础均采用钻孔灌注桩并进行后压浆工艺处理，墩柱均为单柱墩，钢箱梁段中间桥墩采用圆端形钢墩柱，墩梁固结，并在钢墩柱内满贯微膨胀混凝土。</w:t>
      </w:r>
    </w:p>
    <w:p w14:paraId="6F7512C2">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桥面铺装：5cm厚SBS中粒式改性沥青混凝土+7cm厚粗粒式沥青混凝土+10cm厚微膨胀防水混凝土。</w:t>
      </w:r>
    </w:p>
    <w:p w14:paraId="7A6C930E">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汽车荷载等级：城-A级</w:t>
      </w:r>
    </w:p>
    <w:p w14:paraId="2C72D7E4">
      <w:pPr>
        <w:wordWrap/>
        <w:spacing w:line="360" w:lineRule="auto"/>
        <w:ind w:firstLine="482" w:firstLineChars="200"/>
        <w:rPr>
          <w:rFonts w:hint="eastAsia" w:ascii="宋体" w:hAnsi="宋体" w:eastAsia="宋体" w:cs="宋体"/>
          <w:b/>
          <w:bCs/>
          <w:color w:val="000000" w:themeColor="text1"/>
          <w:kern w:val="0"/>
          <w:sz w:val="24"/>
          <w:szCs w:val="24"/>
          <w:lang w:val="en-US" w:eastAsia="zh-CN" w:bidi="ar-SA"/>
          <w14:textFill>
            <w14:solidFill>
              <w14:schemeClr w14:val="tx1"/>
            </w14:solidFill>
          </w14:textFill>
        </w:rPr>
      </w:pPr>
      <w:r>
        <w:rPr>
          <w:rFonts w:hint="eastAsia" w:ascii="宋体" w:hAnsi="宋体" w:eastAsia="宋体" w:cs="宋体"/>
          <w:b/>
          <w:bCs/>
          <w:color w:val="000000" w:themeColor="text1"/>
          <w:kern w:val="0"/>
          <w:sz w:val="24"/>
          <w:szCs w:val="24"/>
          <w:lang w:val="en-US" w:eastAsia="zh-CN" w:bidi="ar-SA"/>
          <w14:textFill>
            <w14:solidFill>
              <w14:schemeClr w14:val="tx1"/>
            </w14:solidFill>
          </w14:textFill>
        </w:rPr>
        <w:t>4.六村堡立交桥梁概况</w:t>
      </w:r>
    </w:p>
    <w:p w14:paraId="44E24232">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六村堡立交北辅道桥起点桩号K0+966.516,终点桩号K1+644.000,跨径布置为2x(3x25)米现浇预应力混凝土连续箱梁+(35+36.64)米连续钢箱梁+(25+27+25)米+5x(3x25)米现浇预应力混凝土连续箱梁，全长679.72米:南辅道桥起点桩号K1+019.078，终点桩亏K1+650.022，跨径布置为2x(3x25)米现浇预应力凝土连续箱梁+(42.5+35)米连续钢箱梁+2x(3x25)米+(3x25+20.2)米+2x(3x25)米现浇预应力混凝土连续箱梁，全长622.78米。桥面宽度为0.25m(护栏)+2.75m(人行道)+4m(非机动车道)+7.5m(机动车道)+0.5m(防撞护栏)。该桥建成于2009年。</w:t>
      </w:r>
    </w:p>
    <w:p w14:paraId="01170BCA">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(1)上部结构</w:t>
      </w:r>
    </w:p>
    <w:p w14:paraId="41347896">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南北辅道桥采用现浇预应力混凝土连续箱梁，单箱三室，室宽3.6m、3.7m，梁高1.4m。顶板全宽15m,翼缘板悬臂长2m,顶板厚22cm,底板厚20~40cm,腹板厚40~60cm，端横梁厚1.5m中横梁厚2m。南北辅道桥跨越绕城高速公路时采用两跨连续钢箱梁，跨径组合分别为北辅道(35+36.64)m+南辅道(42.5+35)m。主梁桥面宽度15m，悬臂长2m,北辅道箱梁高1.4m，南辅道箱梁高1.6m。</w:t>
      </w:r>
    </w:p>
    <w:p w14:paraId="47744A7B">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(2)下部结构</w:t>
      </w:r>
    </w:p>
    <w:p w14:paraId="1D7CB0FB">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下部结构采用双柱式墩、柱式台及肋板台，桩基础。柱直径为1.3、1.4米,基础采用直径1.5米的桩基，桩基均采用钻孔灌注桩，最大长60m。</w:t>
      </w:r>
    </w:p>
    <w:p w14:paraId="2CAE5628">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(3)桥面系</w:t>
      </w:r>
    </w:p>
    <w:p w14:paraId="4C19D987">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桥面铺装采用5cm厚博尼维中粒式沥青混凝土和8cm厚防水微膨胀混凝土。桥梁支座采用盆式橡胶支座和板式橡胶支座。伸缩缝采用FM1-80型型钢仲缩缝，防撞护栏上伸缩缝采用SDI-H80型</w:t>
      </w:r>
    </w:p>
    <w:p w14:paraId="1CB431C0">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技术标准:</w:t>
      </w:r>
    </w:p>
    <w:p w14:paraId="0A95A797">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(1)设计荷载:城-A级，挂-120验算:</w:t>
      </w:r>
    </w:p>
    <w:p w14:paraId="47E64E0B">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(2)计算行车速度:40Km/h;</w:t>
      </w:r>
    </w:p>
    <w:p w14:paraId="6DDF9691">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(3)桥梁宽度:辅道桥宽15m,跨线桥宽5米:</w:t>
      </w:r>
    </w:p>
    <w:p w14:paraId="4397E2E8">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(4)最大超高:2%:</w:t>
      </w:r>
    </w:p>
    <w:p w14:paraId="6BD67A2F">
      <w:pPr>
        <w:wordWrap/>
        <w:spacing w:line="360" w:lineRule="auto"/>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(5)抗震设防烈度: 8度，地震动峰值加速度，0.20g:</w:t>
      </w:r>
    </w:p>
    <w:p w14:paraId="1868C70B">
      <w:pPr>
        <w:wordWrap/>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(6)桥下净空:机动车道处H&gt;5.0m,辅道处H34.5m。</w:t>
      </w:r>
    </w:p>
    <w:p w14:paraId="481993AF">
      <w:pPr>
        <w:keepNext w:val="0"/>
        <w:keepLines w:val="0"/>
        <w:pageBreakBefore w:val="0"/>
        <w:kinsoku/>
        <w:wordWrap/>
        <w:overflowPunct/>
        <w:topLinePunct w:val="0"/>
        <w:bidi w:val="0"/>
        <w:adjustRightInd/>
        <w:spacing w:line="360" w:lineRule="auto"/>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lang w:val="en-US" w:eastAsia="zh-CN"/>
          <w14:textFill>
            <w14:solidFill>
              <w14:schemeClr w14:val="tx1"/>
            </w14:solidFill>
          </w14:textFill>
        </w:rPr>
        <w:t>四</w:t>
      </w:r>
      <w:r>
        <w:rPr>
          <w:rFonts w:hint="eastAsia" w:ascii="宋体" w:hAnsi="宋体" w:eastAsia="宋体" w:cs="宋体"/>
          <w:b/>
          <w:bCs/>
          <w:color w:val="000000" w:themeColor="text1"/>
          <w:kern w:val="0"/>
          <w:sz w:val="24"/>
          <w:szCs w:val="24"/>
          <w14:textFill>
            <w14:solidFill>
              <w14:schemeClr w14:val="tx1"/>
            </w14:solidFill>
          </w14:textFill>
        </w:rPr>
        <w:t>、依据的标准及规范</w:t>
      </w:r>
    </w:p>
    <w:p w14:paraId="70607746">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《公路桥涵设计通用规范》（JTG D60-2015）</w:t>
      </w:r>
    </w:p>
    <w:p w14:paraId="22FB2E91">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《城市桥梁设计规范》（CJJ11-2011）</w:t>
      </w:r>
    </w:p>
    <w:p w14:paraId="2F4C63AA">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《城市桥梁养护技术标准》（CJJ99-2017）</w:t>
      </w:r>
    </w:p>
    <w:p w14:paraId="17416DFB">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《城市桥梁抗震设计规范》（CJJ166-2011）</w:t>
      </w:r>
    </w:p>
    <w:p w14:paraId="05671015">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《公路桥梁抗震设计规范》（JTG/T 2231-01-2020）</w:t>
      </w:r>
    </w:p>
    <w:p w14:paraId="3FD3BFC6">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《城市安全风险综合监测预警平台建设指南（2023 版）》（安委办函〔2023〕145号）</w:t>
      </w:r>
    </w:p>
    <w:p w14:paraId="07BAFE0D">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《建筑与桥梁结构监测技术规范》(GB50982-2014)</w:t>
      </w:r>
    </w:p>
    <w:p w14:paraId="0334A748">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《公路桥梁结构监测技术规范》（JT/T1037-2022）</w:t>
      </w:r>
    </w:p>
    <w:p w14:paraId="6B439BF8">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《公路长大桥梁结构健康监测平台建设实施方案》（交办公路〔2021〕21号）</w:t>
      </w:r>
    </w:p>
    <w:p w14:paraId="12FFEC32">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《公路桥梁荷载试验规程》（JTG/T J21-01-2015）</w:t>
      </w:r>
    </w:p>
    <w:p w14:paraId="3F879FBF">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《公路桥涵养护规范》(JTG 5120-2021) </w:t>
      </w:r>
    </w:p>
    <w:p w14:paraId="2D4943E3">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《数据中心设计规范》(GB 50174-2017) </w:t>
      </w:r>
    </w:p>
    <w:p w14:paraId="11BE8ABC">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《公路长大桥梁结构监测时空大数据应用指引》（交办公路〔2024〕37号）</w:t>
      </w:r>
    </w:p>
    <w:p w14:paraId="275A73A0">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《信息安全技术网络安全等级保护基本要求》(GB/T22239-2019 10）</w:t>
      </w:r>
    </w:p>
    <w:p w14:paraId="2421E9FD">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《城市桥梁安全风险在线监测设备安装试点项目》竣工图</w:t>
      </w:r>
    </w:p>
    <w:p w14:paraId="431243A1">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相关其他技术规范</w:t>
      </w:r>
    </w:p>
    <w:p w14:paraId="127F06D8">
      <w:pPr>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五、资质、人员、设备要求</w:t>
      </w:r>
    </w:p>
    <w:p w14:paraId="21E2624C">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lang w:val="en-US" w:eastAsia="zh-CN"/>
        </w:rPr>
        <w:t>1、监测服务单位应具备：</w:t>
      </w:r>
      <w:r>
        <w:rPr>
          <w:rFonts w:hint="eastAsia" w:ascii="宋体" w:hAnsi="宋体" w:eastAsia="宋体" w:cs="宋体"/>
          <w:sz w:val="24"/>
          <w:szCs w:val="24"/>
          <w:highlight w:val="none"/>
        </w:rPr>
        <w:t>交通运输部主管部门颁发的公路工程甲级资质或桥梁隧道工程专项试验检测机构资质</w:t>
      </w:r>
      <w:r>
        <w:rPr>
          <w:rFonts w:hint="eastAsia" w:ascii="宋体" w:hAnsi="宋体" w:eastAsia="宋体" w:cs="宋体"/>
          <w:sz w:val="24"/>
          <w:szCs w:val="24"/>
          <w:highlight w:val="none"/>
          <w:lang w:eastAsia="zh-CN"/>
        </w:rPr>
        <w:t>。</w:t>
      </w:r>
    </w:p>
    <w:p w14:paraId="5BF7BEE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000000"/>
          <w:sz w:val="24"/>
          <w:szCs w:val="24"/>
          <w:highlight w:val="none"/>
          <w:lang w:val="en-US" w:eastAsia="zh-CN"/>
        </w:rPr>
        <w:t>2、监测和检测工作应配备：项目负责人应具备</w:t>
      </w:r>
      <w:r>
        <w:rPr>
          <w:rFonts w:hint="eastAsia" w:ascii="宋体" w:hAnsi="宋体" w:eastAsia="宋体" w:cs="宋体"/>
          <w:color w:val="auto"/>
          <w:sz w:val="24"/>
          <w:szCs w:val="24"/>
        </w:rPr>
        <w:t>桥梁专业的高级职称，同时须具有交通运输部颁发的桥梁试验检测工程师资格证书；</w:t>
      </w:r>
      <w:r>
        <w:rPr>
          <w:rFonts w:hint="eastAsia" w:ascii="宋体" w:hAnsi="宋体" w:eastAsia="宋体" w:cs="宋体"/>
          <w:color w:val="auto"/>
          <w:sz w:val="24"/>
          <w:szCs w:val="24"/>
          <w:lang w:val="en-US" w:eastAsia="zh-CN"/>
        </w:rPr>
        <w:t>监测</w:t>
      </w:r>
      <w:r>
        <w:rPr>
          <w:rFonts w:hint="eastAsia" w:ascii="宋体" w:hAnsi="宋体" w:eastAsia="宋体" w:cs="宋体"/>
          <w:color w:val="auto"/>
          <w:sz w:val="24"/>
          <w:szCs w:val="24"/>
        </w:rPr>
        <w:t>技术人员应具备桥梁/隧道相关专业学历和工作经验并具备中级及以上职称资格和具有公路水运工程试验检测工程师资格证书；安全员应具备安全管理工作相关资格；</w:t>
      </w:r>
    </w:p>
    <w:p w14:paraId="033999AE">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3、为保证监测工作顺利实施，服务单位应配备各类完成工作必备的车辆、仪器、设备、工具。车辆设备均应按要求定期审验、检验、校准等。</w:t>
      </w:r>
    </w:p>
    <w:p w14:paraId="49302607">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4、在投标文件中明确的人员在检测过程中不得擅自更换，如确需更换应提前5个工作日书面通知采购人，经过采购人同意后方可更换，更换后人员的资历经验等不得低于更换前水平。</w:t>
      </w:r>
    </w:p>
    <w:p w14:paraId="18AC24EB">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检测期间本项目投入人员需全部到场方可开展检测工作。采购人在项目实施过程中随时检测现场人员到岗情况，如有缺岗，采购人有权对成交供应商采取处罚或停工整改措施，情节严重且拒不整改的可终止合同，造成的相应损失，由成交供应商承担。</w:t>
      </w:r>
    </w:p>
    <w:p w14:paraId="713952C3">
      <w:pPr>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六、服务期、服务成果、验收及服务要求</w:t>
      </w:r>
    </w:p>
    <w:p w14:paraId="7FA4BF9F">
      <w:pPr>
        <w:pStyle w:val="7"/>
        <w:autoSpaceDE/>
        <w:autoSpaceDN/>
        <w:adjustRightInd/>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1.项目服务期</w:t>
      </w:r>
      <w:r>
        <w:rPr>
          <w:rFonts w:hint="eastAsia" w:ascii="宋体" w:hAnsi="宋体" w:eastAsia="宋体" w:cs="宋体"/>
          <w:color w:val="auto"/>
          <w:kern w:val="2"/>
          <w:sz w:val="24"/>
          <w:szCs w:val="24"/>
          <w:highlight w:val="none"/>
          <w:lang w:val="en-US" w:eastAsia="zh-CN" w:bidi="ar-SA"/>
        </w:rPr>
        <w:t>：合同签订后5天内开展检测、监测准备，及时开展检测、监测及运维工作。本项目的服务期为合同签订之日起一年内为全部服务期。</w:t>
      </w:r>
    </w:p>
    <w:p w14:paraId="4D4C83A6">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2.检测成果：检测工作全部完成后应以书面文本及电子文本（书面文本3</w:t>
      </w:r>
      <w:r>
        <w:rPr>
          <w:rFonts w:hint="eastAsia" w:ascii="宋体" w:hAnsi="宋体" w:eastAsia="宋体" w:cs="宋体"/>
          <w:color w:val="000000" w:themeColor="text1"/>
          <w:sz w:val="24"/>
          <w:szCs w:val="24"/>
          <w:highlight w:val="none"/>
          <w:lang w:val="en-US" w:eastAsia="zh-CN"/>
          <w14:textFill>
            <w14:solidFill>
              <w14:schemeClr w14:val="tx1"/>
            </w14:solidFill>
          </w14:textFill>
        </w:rPr>
        <w:t>套，电子文本1套</w:t>
      </w:r>
      <w:r>
        <w:rPr>
          <w:rFonts w:hint="eastAsia" w:ascii="宋体" w:hAnsi="宋体" w:eastAsia="宋体" w:cs="宋体"/>
          <w:color w:val="auto"/>
          <w:sz w:val="24"/>
          <w:szCs w:val="24"/>
          <w:highlight w:val="none"/>
          <w:lang w:val="en-US" w:eastAsia="zh-CN"/>
        </w:rPr>
        <w:t>，电子文本使用U盘拷贝）形式提交。提交的内容分别有：（1）《桥梁定期检测评定报告》、《结构检算报告》、《桥梁抗震性能检测评定报告》等。（2）检测全部原始影像资料（U盘拷贝）；（3）根据《城市桥梁养护技术标准》完成附录B城市桥梁资料卡的更新完善。</w:t>
      </w:r>
    </w:p>
    <w:p w14:paraId="150F6358">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中检测报告应详细、清晰、完整地反映检测过程，报告数据真实、内容完整、结论准确，报告中的数据作为指导采购人开展有效的桥梁应急抢险及养护维修工作的科学依据。检测报告也将作为道路桥梁安全评价及因道路桥梁结构安全问题造成的事故调查的法律依据。</w:t>
      </w:r>
    </w:p>
    <w:p w14:paraId="7DB5DAEA">
      <w:pPr>
        <w:pStyle w:val="3"/>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3.监测成果：应按照前述检测、监测的技术及服务内容的要求提供各类报告及相关的文本材料。</w:t>
      </w:r>
    </w:p>
    <w:p w14:paraId="08A5E998">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4.本项目成果知识产权全部归采购人所有。</w:t>
      </w:r>
    </w:p>
    <w:p w14:paraId="27FDE4B5">
      <w:pPr>
        <w:pStyle w:val="7"/>
        <w:autoSpaceDE/>
        <w:autoSpaceDN/>
        <w:adjustRightInd/>
        <w:spacing w:line="360" w:lineRule="auto"/>
        <w:ind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5.项目验收：本项目的验收采取专家评审验收的形式进行，以最终评审结论确定。项目完成后，采购人组织行业内相关专家组成验收小组（专家评审费用由成交商承担）对本次检测成果进行专项评审。</w:t>
      </w:r>
    </w:p>
    <w:p w14:paraId="2ACA681A">
      <w:pPr>
        <w:pStyle w:val="7"/>
        <w:autoSpaceDE/>
        <w:autoSpaceDN/>
        <w:adjustRightInd/>
        <w:spacing w:line="360" w:lineRule="auto"/>
        <w:ind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验收主要以相关国家、行业标准，项目合同、招标文件、中标人投标文件、双方确认的技术文件等为依据对本项目实施的全面性、真实性</w:t>
      </w:r>
      <w:r>
        <w:rPr>
          <w:rFonts w:hint="eastAsia" w:ascii="宋体" w:hAnsi="宋体" w:eastAsia="宋体" w:cs="宋体"/>
          <w:color w:val="auto"/>
          <w:sz w:val="24"/>
          <w:szCs w:val="24"/>
          <w:highlight w:val="none"/>
          <w:lang w:val="en-US" w:eastAsia="zh-CN"/>
        </w:rPr>
        <w:t>、有效性、科学性、规范性、成果资料完整性等进行全面评审。对验收评审不符合要求的，应按照评审专家及采购人的意见进行整改完善后，重新组织验收。</w:t>
      </w:r>
    </w:p>
    <w:p w14:paraId="497BC5E9">
      <w:pPr>
        <w:pStyle w:val="7"/>
        <w:autoSpaceDE/>
        <w:autoSpaceDN/>
        <w:adjustRightInd/>
        <w:spacing w:line="360" w:lineRule="auto"/>
        <w:ind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项目服务：本项目的服务期为合同签订之日起一年内为全部服务期。服务期内成交供应商应无条件及时提供相应的技术支持和服务。当监测平台产生预警信息、突发桥梁事件、桥梁有需要重点定期观察复测、方案编制、技术汇报等各类技术工作时，应按甲方要求的时间提供应急检查、检测、评估、观察复测、技术报告等技术服务。</w:t>
      </w:r>
    </w:p>
    <w:p w14:paraId="527110A3">
      <w:pPr>
        <w:pStyle w:val="7"/>
        <w:autoSpaceDE/>
        <w:autoSpaceDN/>
        <w:adjustRightInd/>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7.服务质量要求：编制运维方案，按规定开展巡查检测，形成台账；定期提交监测分析报告；设备完好率≥95%。对维护中发现的问题24小时内进行响应并处置。</w:t>
      </w:r>
    </w:p>
    <w:p w14:paraId="7B5A3628">
      <w:pPr>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七、安全与交通组织</w:t>
      </w:r>
    </w:p>
    <w:p w14:paraId="3CA79FC9">
      <w:pPr>
        <w:bidi w:val="0"/>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（一）安全保障措施</w:t>
      </w:r>
    </w:p>
    <w:p w14:paraId="5EA1CFF0">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期间的所有外业作业必须严格遵守相关规范要求，采取必要的安全警示和安全防护措施；高空作业采用高空升降车辆设备的应确保车辆设备审验合格并在有效期内，操作人员具备相应的特种设备操作资格；搭设脚手架的应执行脚手架现行的国家规范和标准；高空作业应配备双人监护。</w:t>
      </w:r>
    </w:p>
    <w:p w14:paraId="1A2D7A15">
      <w:pPr>
        <w:bidi w:val="0"/>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（二）交通组织</w:t>
      </w:r>
    </w:p>
    <w:p w14:paraId="5FCC5E04">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应按照交通管理部门的规定提前与交管部门沟通协调报备并取得同意许可；如需封闭交通的采用“分车道临时封闭”模式，避开早晚高峰时段；复杂路段（如匝道、交叉口）配备交通协管员配合指挥疏导。</w:t>
      </w:r>
    </w:p>
    <w:p w14:paraId="3119E415">
      <w:pPr>
        <w:pStyle w:val="7"/>
        <w:autoSpaceDE/>
        <w:autoSpaceDN/>
        <w:adjustRightInd/>
        <w:spacing w:line="360" w:lineRule="auto"/>
        <w:ind w:firstLine="482" w:firstLineChars="200"/>
        <w:jc w:val="both"/>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（三）网络信息安全和保密</w:t>
      </w:r>
    </w:p>
    <w:p w14:paraId="5351B73F">
      <w:pPr>
        <w:pStyle w:val="7"/>
        <w:autoSpaceDE/>
        <w:autoSpaceDN/>
        <w:adjustRightInd/>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color w:val="auto"/>
          <w:kern w:val="2"/>
          <w:sz w:val="24"/>
          <w:szCs w:val="24"/>
          <w:highlight w:val="none"/>
          <w:lang w:val="en-US" w:eastAsia="zh-CN" w:bidi="ar-SA"/>
        </w:rPr>
        <w:t>成交供应商应严格落实《中华人民共和国保守国家秘密法》、《中华人民共和国网络安全法》、《中华人民共和国数据安全法》等相关要求，确保网络信息和数据信息安全。</w:t>
      </w:r>
    </w:p>
    <w:p w14:paraId="49999404">
      <w:pPr>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八</w:t>
      </w:r>
      <w:bookmarkStart w:id="0" w:name="_GoBack"/>
      <w:bookmarkEnd w:id="0"/>
      <w:r>
        <w:rPr>
          <w:rFonts w:hint="eastAsia" w:ascii="宋体" w:hAnsi="宋体" w:eastAsia="宋体" w:cs="宋体"/>
          <w:b/>
          <w:bCs/>
          <w:sz w:val="24"/>
          <w:szCs w:val="24"/>
          <w:lang w:val="en-US" w:eastAsia="zh-CN"/>
        </w:rPr>
        <w:t>、其他要求</w:t>
      </w:r>
    </w:p>
    <w:p w14:paraId="53A84E8A">
      <w:pPr>
        <w:bidi w:val="0"/>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（一）报价</w:t>
      </w:r>
    </w:p>
    <w:p w14:paraId="566564E5">
      <w:pPr>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报价费用包含完成本次项目全部内容要求及工期的成本、利润、税金、开办费、技术措施费、组织措施费、交通安全措施费、各类机械进出场费、钻探费、风险费、复测费、竣工验收、政策性文件规定费用、技术规范要求的费用等所需的全部费用。采购人不再支付其他费用。</w:t>
      </w:r>
    </w:p>
    <w:p w14:paraId="2816D707">
      <w:pPr>
        <w:bidi w:val="0"/>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（二）踏勘</w:t>
      </w:r>
    </w:p>
    <w:p w14:paraId="6FCEAC28">
      <w:pPr>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本次项目不组织集中现场踏勘，各报名供应商应根据采购文件标明的内容要求自行对项目检测、检查、监测的范围、内容和现场及环境进行踏勘，确保对项目工作内容、工作范围、场地环境等现状清楚明确。</w:t>
      </w:r>
    </w:p>
    <w:p w14:paraId="351303B5">
      <w:pPr>
        <w:bidi w:val="0"/>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（三）安全文明</w:t>
      </w:r>
    </w:p>
    <w:p w14:paraId="339AB8D5">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color w:val="auto"/>
          <w:sz w:val="24"/>
          <w:szCs w:val="24"/>
          <w:highlight w:val="none"/>
          <w:lang w:val="en-US" w:eastAsia="zh-CN"/>
        </w:rPr>
        <w:t>成交供应商应根据本项目的现场特点，按照国家相关法律法规和规范，加强现场安全管理、文明施工。现场工作开展前必须由项目负责人组织针对本项目的全方面安全知识培训和安全技术交底，准备充足的安全警示和安全防护设施。发生各类安全生产事故并造成不良后果和各类损失由供应商承担。</w:t>
      </w:r>
    </w:p>
    <w:p w14:paraId="729064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国标仿宋">
    <w:altName w:val="仿宋"/>
    <w:panose1 w:val="02000500000000000000"/>
    <w:charset w:val="86"/>
    <w:family w:val="auto"/>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14E2B6"/>
    <w:multiLevelType w:val="singleLevel"/>
    <w:tmpl w:val="9814E2B6"/>
    <w:lvl w:ilvl="0" w:tentative="0">
      <w:start w:val="1"/>
      <w:numFmt w:val="chineseCounting"/>
      <w:suff w:val="space"/>
      <w:lvlText w:val="第%1部分"/>
      <w:lvlJc w:val="left"/>
      <w:rPr>
        <w:rFonts w:hint="eastAsia"/>
      </w:rPr>
    </w:lvl>
  </w:abstractNum>
  <w:abstractNum w:abstractNumId="1">
    <w:nsid w:val="7EDEFAD7"/>
    <w:multiLevelType w:val="singleLevel"/>
    <w:tmpl w:val="7EDEFAD7"/>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610DF"/>
    <w:rsid w:val="0AB96977"/>
    <w:rsid w:val="0CA5180B"/>
    <w:rsid w:val="270F6206"/>
    <w:rsid w:val="2B5244B4"/>
    <w:rsid w:val="2C5A6EA1"/>
    <w:rsid w:val="4C1E06B7"/>
    <w:rsid w:val="4F270A8D"/>
    <w:rsid w:val="57323268"/>
    <w:rsid w:val="7C815F74"/>
    <w:rsid w:val="7F393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pPr>
      <w:widowControl/>
      <w:spacing w:before="100" w:beforeLines="100" w:after="100" w:afterLines="100"/>
      <w:jc w:val="left"/>
    </w:pPr>
    <w:rPr>
      <w:rFonts w:ascii="Calibri" w:hAnsi="Calibri" w:eastAsia="宋体" w:cs="Times New Roman"/>
      <w:kern w:val="32"/>
      <w:sz w:val="32"/>
      <w:szCs w:val="24"/>
    </w:rPr>
  </w:style>
  <w:style w:type="paragraph" w:styleId="3">
    <w:name w:val="Body Text 2"/>
    <w:basedOn w:val="1"/>
    <w:qFormat/>
    <w:uiPriority w:val="0"/>
    <w:rPr>
      <w:rFonts w:eastAsia="宋体"/>
      <w:sz w:val="30"/>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4490</Words>
  <Characters>4728</Characters>
  <Lines>0</Lines>
  <Paragraphs>0</Paragraphs>
  <TotalTime>1</TotalTime>
  <ScaleCrop>false</ScaleCrop>
  <LinksUpToDate>false</LinksUpToDate>
  <CharactersWithSpaces>4731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2026-06-12T09:11:00Z</dcterms:created>
  <dc:creator>Administrator</dc:creator>
  <cp:lastModifiedBy>豆 豆</cp:lastModifiedBy>
  <dcterms:modified xsi:type="dcterms:W3CDTF">2026-06-30T03:02:11Z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eyJoZGlkIjoiYWNlZDgxNjAwZTA2NmQyZWM5YmEzZGY2MWNmYjliNTEiLCJ1c2VySWQiOiIzNzE1NTA3MTMifQ==</vt:lpwstr>
  </property>
  <property fmtid="{D5CDD505-2E9C-101B-9397-08002B2CF9AE}" pid="4" name="ICV">
    <vt:lpwstr>343DB15AF7AA446F8F0FD11284A815D2_12</vt:lpwstr>
  </property>
</Properties>
</file>