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版本号：HXGJXM2026-ZC-DY100620260624002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2026年西安市老年人体育赛事活动组织</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HXGJXM2026-ZC-DY1006</w:t>
      </w:r>
      <w:r>
        <w:br/>
      </w:r>
      <w:r>
        <w:br/>
      </w:r>
      <w:r>
        <w:br/>
      </w:r>
    </w:p>
    <w:p>
      <w:pPr>
        <w:pStyle w:val="null3"/>
        <w:jc w:val="center"/>
        <w:outlineLvl w:val="5"/>
      </w:pPr>
      <w:r>
        <w:rPr>
          <w:rFonts w:ascii="仿宋_GB2312" w:hAnsi="仿宋_GB2312" w:cs="仿宋_GB2312" w:eastAsia="仿宋_GB2312"/>
          <w:sz w:val="15"/>
          <w:b/>
        </w:rPr>
        <w:t>西安市体育局（本级）</w:t>
      </w:r>
    </w:p>
    <w:p>
      <w:pPr>
        <w:pStyle w:val="null3"/>
        <w:jc w:val="center"/>
        <w:outlineLvl w:val="5"/>
      </w:pPr>
      <w:r>
        <w:rPr>
          <w:rFonts w:ascii="仿宋_GB2312" w:hAnsi="仿宋_GB2312" w:cs="仿宋_GB2312" w:eastAsia="仿宋_GB2312"/>
          <w:sz w:val="15"/>
          <w:b/>
        </w:rPr>
        <w:t>华夏国际项目管理（西安）有限公司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西安市体育局（本级）</w:t>
      </w:r>
      <w:r>
        <w:rPr>
          <w:rFonts w:ascii="仿宋_GB2312" w:hAnsi="仿宋_GB2312" w:cs="仿宋_GB2312" w:eastAsia="仿宋_GB2312"/>
        </w:rPr>
        <w:t>委托，拟对</w:t>
      </w:r>
      <w:r>
        <w:rPr>
          <w:rFonts w:ascii="仿宋_GB2312" w:hAnsi="仿宋_GB2312" w:cs="仿宋_GB2312" w:eastAsia="仿宋_GB2312"/>
        </w:rPr>
        <w:t>2026年西安市老年人体育赛事活动组织</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HXGJXM2026-ZC-DY1006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2026年西安市老年人体育赛事活动组织</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2026年西安市老年人体育赛事活动组织，具体内容详见单一来源采购文件第三章。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在谈判截止日前一年内已缴存的至少一个月的社会保险参保缴费证明；（法定代表人直接参加谈判，须提供法定代表人身份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查询结果为准）</w:t>
      </w:r>
    </w:p>
    <w:p>
      <w:pPr>
        <w:pStyle w:val="null3"/>
      </w:pPr>
      <w:r>
        <w:rPr>
          <w:rFonts w:ascii="仿宋_GB2312" w:hAnsi="仿宋_GB2312" w:cs="仿宋_GB2312" w:eastAsia="仿宋_GB2312"/>
        </w:rPr>
        <w:t>3、非联合体：本项目不接受联合体谈判。</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西安市未央区凤城八路109号市政府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029-86787989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柴彩珍、张艳萍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的通知和国家发展和改革委员会办公厅颁发的《关于招标代理服务收费有关问题的通知》（发改办价格[2003]857号）的有关规定执行。 招标代理服务费账户 户名：华夏国际项目管理（西安）有限公司 开户行：中国工商银行股份有限公司西安城南科技支行 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西安市体育局（本级）</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西安市体育局（本级）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1、单一来源谈判文件、谈判响应文件、澄清表（函）； 2、本协议及附件文件； 3、国家相应的标准、规范。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2026年西安市老年人体育赛事活动组织，具体内容详见3.2.2服务要求。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老年人体育活动组织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标的名称：老年人体育活动组织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举办第五届西安市老年人体育健身大会；组队参加第五届全国老年人体育健身大会和陕西省群众体育五级联赛、社区运动会等老年人体育赛事活动；完成第五届全国老年人体育健身大会闭幕式相关承办工作；全面宣传展现我市老年体育发展成果和老年人精神风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结合“发展体育运动，增强人民体质”题词74周年、“九九重阳节”“全民健身月”“双十一”、春节、等重要时间节点，组织开展老年人体育大联展、“暖阳在XIAN”关爱空巢老人志愿服务、“西安年·最中国”老年人健身技能展示等特色活动；常态化举办气排球、健身气功、健身球操、太极拳（剑）、柔力球、广场舞、乒乓球、门球等各类市级老年人体育赛事及交流展示活动，全年举办场次不少于100项次，广泛覆盖各类老年群体。</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分层分类开展市级、区县、街道（乡镇）、社区（村）四级老年人体育组织业务培训、骨干交流等活动，重点提升基层老年体育工作者、健身骨干的专业能力，全年培训人数不少于3000人次，夯实老年体育工作基层基础。</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完成市体育局交办的其他临时性任务。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满足项目实施需求，确保采购项目顺利实施。</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满足项目实施需求，确保采购项目顺利实施。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采购单位指定地点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其他，合同签订后，达到付款条件起15个工作日内，支付合同总金额的100.0%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1、单一来源谈判文件、谈判响应文件、澄清表（函）； 2、本协议及附件文件； 3、国家相应的标准、规范。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甲方有权对乙方的服务与经费使用情况进行监督、指导。乙方应严格按照《2026年西安市老年人体育工作任务清单》中约定的项目种类、次数等举办老年人各类各项目活动以及做好宣传推广工作，并严格按照约定使用工作经费。若乙方提供的组织服务不符合约定，如未提供约定的服务、提供的服务次数少于约定次数、擅自提供约定以外的服务等，或未按照约定使用工作经费，乙方应当承担相应的违约责任，并赔偿由此给甲方造成的损失。 争议解决：因本合同的履行发生异议时，甲乙双方应协商解决;协商不成则提交被告所在地人民法院诉讼解决。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年度经审计的已赋码且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 3、提供递交响应文件截止日前一年内任意一个月的依法缴纳税收的完税证明，完税证明应有税务机关或代收机关的公章或业务专用章。依法免税或无须缴纳税收的供应商，应提供相关证明材料。 4、提供递交响应文件截止日前一年内任意一个月的社会保障资金缴存单据或社保机构开具的社会保险参保缴费情况证明，依法不需要缴纳社会保障资金的单位应提供相关证明材料。 5、提供具有履行合同所必需的设备和专业技术能力的承诺。 6、提供参加政府采购活动前3年内，在经营活动中没有重大违法记录的书面声明。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已赋码且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法定代表人授权书（附法定代表人、被授权人身份证复印件）及被授权人在谈判截止日前一年内已缴存的至少一个月的社会保险参保缴费证明；（法定代表人直接参加谈判，须提供法定代表人身份证明）。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有可能影响服务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报价一览表及分项报价表.docx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符合单一来源采购文件签署盖章要求</w:t>
            </w:r>
          </w:p>
        </w:tc>
        <w:tc>
          <w:tcPr>
            <w:tcW w:type="dxa" w:w="1661"/>
          </w:tcPr>
          <w:p>
            <w:pPr>
              <w:pStyle w:val="null3"/>
            </w:pPr>
            <w:r>
              <w:rPr>
                <w:rFonts w:ascii="仿宋_GB2312" w:hAnsi="仿宋_GB2312" w:cs="仿宋_GB2312" w:eastAsia="仿宋_GB2312"/>
              </w:rPr>
              <w:t>响应文件封面 报价一览表及分项报价表.docx 谈判方案说明.docx 中小企业声明函 残疾人福利性单位声明函 标的清单 报价表 响应函 资格证明文件.docx 供应商承诺书.docx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按单一来源采购文件要求报价，不得提交选择性报价，且每轮报价不超过采购预算金额或最高限价。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报价一览表及分项报价表.docx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要求实质性商务条款全部响应，不能有采购人不能接受的附加条件。</w:t>
            </w:r>
          </w:p>
        </w:tc>
        <w:tc>
          <w:tcPr>
            <w:tcW w:type="dxa" w:w="1661"/>
          </w:tcPr>
          <w:p>
            <w:pPr>
              <w:pStyle w:val="null3"/>
            </w:pPr>
            <w:r>
              <w:rPr>
                <w:rFonts w:ascii="仿宋_GB2312" w:hAnsi="仿宋_GB2312" w:cs="仿宋_GB2312" w:eastAsia="仿宋_GB2312"/>
              </w:rPr>
              <w:t>谈判方案说明.docx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满足单一来源采购文件中要求的服务期限</w:t>
            </w:r>
          </w:p>
        </w:tc>
        <w:tc>
          <w:tcPr>
            <w:tcW w:type="dxa" w:w="1661"/>
          </w:tcPr>
          <w:p>
            <w:pPr>
              <w:pStyle w:val="null3"/>
            </w:pPr>
            <w:r>
              <w:rPr>
                <w:rFonts w:ascii="仿宋_GB2312" w:hAnsi="仿宋_GB2312" w:cs="仿宋_GB2312" w:eastAsia="仿宋_GB2312"/>
              </w:rPr>
              <w:t>报价一览表及分项报价表.docx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满足单一来源采购文件中的规定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不存在法律、法规和单一来源采购文件规定的其他无效情形</w:t>
            </w:r>
          </w:p>
        </w:tc>
        <w:tc>
          <w:tcPr>
            <w:tcW w:type="dxa" w:w="1661"/>
          </w:tcPr>
          <w:p>
            <w:pPr>
              <w:pStyle w:val="null3"/>
            </w:pPr>
            <w:r>
              <w:rPr>
                <w:rFonts w:ascii="仿宋_GB2312" w:hAnsi="仿宋_GB2312" w:cs="仿宋_GB2312" w:eastAsia="仿宋_GB2312"/>
              </w:rPr>
              <w:t>响应文件封面 报价一览表及分项报价表.docx 谈判方案说明.docx 中小企业声明函 残疾人福利性单位声明函 标的清单 报价表 响应函 资格证明文件.docx 供应商承诺书.docx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详见附件：报价一览表及分项报价表.docx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详见附件：谈判方案说明.docx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