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版本号：ZXHC2026-07-0120260702002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2026年温泉镇中坝社区社会化服务项目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ZXHC2026-07-01</w:t>
      </w:r>
      <w:r>
        <w:br/>
      </w:r>
      <w:r>
        <w:br/>
      </w:r>
      <w:r>
        <w:br/>
      </w:r>
    </w:p>
    <w:p>
      <w:pPr>
        <w:pStyle w:val="null3"/>
        <w:jc w:val="center"/>
        <w:outlineLvl w:val="2"/>
      </w:pPr>
      <w:r>
        <w:rPr>
          <w:rFonts w:ascii="仿宋_GB2312" w:hAnsi="仿宋_GB2312" w:cs="仿宋_GB2312" w:eastAsia="仿宋_GB2312"/>
          <w:sz w:val="28"/>
          <w:b/>
        </w:rPr>
        <w:t>勉县温泉镇人民政府</w:t>
      </w:r>
    </w:p>
    <w:p>
      <w:pPr>
        <w:pStyle w:val="null3"/>
        <w:jc w:val="center"/>
        <w:outlineLvl w:val="2"/>
      </w:pPr>
      <w:r>
        <w:rPr>
          <w:rFonts w:ascii="仿宋_GB2312" w:hAnsi="仿宋_GB2312" w:cs="仿宋_GB2312" w:eastAsia="仿宋_GB2312"/>
          <w:sz w:val="28"/>
          <w:b/>
        </w:rPr>
        <w:t>陕西众信华创项目管理有限公司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陕西众信华创项目管理有限公司</w:t>
      </w:r>
      <w:r>
        <w:rPr>
          <w:rFonts w:ascii="仿宋_GB2312" w:hAnsi="仿宋_GB2312" w:cs="仿宋_GB2312" w:eastAsia="仿宋_GB2312"/>
        </w:rPr>
        <w:t>（以下简称“代理机构”）受</w:t>
      </w:r>
      <w:r>
        <w:rPr>
          <w:rFonts w:ascii="仿宋_GB2312" w:hAnsi="仿宋_GB2312" w:cs="仿宋_GB2312" w:eastAsia="仿宋_GB2312"/>
        </w:rPr>
        <w:t>勉县温泉镇人民政府</w:t>
      </w:r>
      <w:r>
        <w:rPr>
          <w:rFonts w:ascii="仿宋_GB2312" w:hAnsi="仿宋_GB2312" w:cs="仿宋_GB2312" w:eastAsia="仿宋_GB2312"/>
        </w:rPr>
        <w:t>委托，拟对</w:t>
      </w:r>
      <w:r>
        <w:rPr>
          <w:rFonts w:ascii="仿宋_GB2312" w:hAnsi="仿宋_GB2312" w:cs="仿宋_GB2312" w:eastAsia="仿宋_GB2312"/>
        </w:rPr>
        <w:t>2026年温泉镇中坝社区社会化服务项目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ZXHC2026-07-01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2026年温泉镇中坝社区社会化服务项目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温泉镇中坝社区采购农机具1批，提升种植生产质效，壮大村集体经济。</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1、营业执照或相关证明文件：供应商具有独立承担民事责任能力的法人、其他组织或自然人，提供有效营业执照/事业单 位法人证书/其他组织的有效证明文件/自然人的身份证明/民办非企业单位登记证书</w:t>
      </w:r>
    </w:p>
    <w:p>
      <w:pPr>
        <w:pStyle w:val="null3"/>
      </w:pPr>
      <w:r>
        <w:rPr>
          <w:rFonts w:ascii="仿宋_GB2312" w:hAnsi="仿宋_GB2312" w:cs="仿宋_GB2312" w:eastAsia="仿宋_GB2312"/>
        </w:rPr>
        <w:t>2、法定代表人证明书或法定代表人授权书及相关资料：法定代表人参加开标会议的，须出具法定代表人证明书及法定代 表人合法有效的身份证扫描件；法定代表人授权他人参加开标会议的，须提供法定代表人授权委托书及被授权代表的身份证扫 描件；</w:t>
      </w:r>
    </w:p>
    <w:p>
      <w:pPr>
        <w:pStyle w:val="null3"/>
      </w:pPr>
      <w:r>
        <w:rPr>
          <w:rFonts w:ascii="仿宋_GB2312" w:hAnsi="仿宋_GB2312" w:cs="仿宋_GB2312" w:eastAsia="仿宋_GB2312"/>
        </w:rPr>
        <w:t>3、资格承诺文件：供应商应具有良好的商业信誉和健全的财务会计制度,具有履行合同所必需的设备和专业技术能力,具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 被执行人” 、“重大税收违法案件当事人名单” 中，也未列入中国政府采购网“政府采购严重违法失信行为记录名单” 中，提供加盖公章的《汉中市政府采购供应商资格承诺函》扫描件。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勉县温泉镇人民政府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勉县温泉镇郭家湾村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演女士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0916-3355080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陕西众信华创项目管理有限公司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陕西省汉中市汉台区陕西省汉中市汉台区北关街道办事处望江路广厦东方明珠9号楼1405室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0916-2527503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夏科长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开户名称：陕西众信华创项目管理有限公司</w:t>
            </w:r>
          </w:p>
          <w:p>
            <w:pPr>
              <w:pStyle w:val="null3"/>
            </w:pPr>
            <w:r>
              <w:rPr>
                <w:rFonts w:ascii="仿宋_GB2312" w:hAnsi="仿宋_GB2312" w:cs="仿宋_GB2312" w:eastAsia="仿宋_GB2312"/>
              </w:rPr>
              <w:t>开户银行：工商银行股份有限公司汉中天台路支行</w:t>
            </w:r>
          </w:p>
          <w:p>
            <w:pPr>
              <w:pStyle w:val="null3"/>
            </w:pPr>
            <w:r>
              <w:rPr>
                <w:rFonts w:ascii="仿宋_GB2312" w:hAnsi="仿宋_GB2312" w:cs="仿宋_GB2312" w:eastAsia="仿宋_GB2312"/>
              </w:rPr>
              <w:t>银行账号：2606 0538 0900 0112 573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 管理暂行办法（计价格[2002]1980号文件》和（发改办价格[2011]534号文件）计算，由成 交供应商支付。 招标代理服务费采用差额定率累进法计算，以中标价为基数计算，具体收费金额将在采购结果公告中公布。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勉县温泉镇人民政府</w:t>
      </w:r>
      <w:r>
        <w:rPr>
          <w:rFonts w:ascii="仿宋_GB2312" w:hAnsi="仿宋_GB2312" w:cs="仿宋_GB2312" w:eastAsia="仿宋_GB2312"/>
        </w:rPr>
        <w:t>和</w:t>
      </w:r>
      <w:r>
        <w:rPr>
          <w:rFonts w:ascii="仿宋_GB2312" w:hAnsi="仿宋_GB2312" w:cs="仿宋_GB2312" w:eastAsia="仿宋_GB2312"/>
        </w:rPr>
        <w:t>陕西众信华创项目管理有限公司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勉县温泉镇人民政府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陕西众信华创项目管理有限公司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勉县温泉镇人民政府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陕西众信华创项目管理有限公司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陕西众信华创项目管理有限公司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陕西众信华创项目管理有限公司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陕西众信华创项目管理有限公司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联系人：明女士</w:t>
      </w:r>
    </w:p>
    <w:p>
      <w:pPr>
        <w:pStyle w:val="null3"/>
      </w:pPr>
      <w:r>
        <w:rPr>
          <w:rFonts w:ascii="仿宋_GB2312" w:hAnsi="仿宋_GB2312" w:cs="仿宋_GB2312" w:eastAsia="仿宋_GB2312"/>
        </w:rPr>
        <w:t>联系电话：0916-2527503</w:t>
      </w:r>
    </w:p>
    <w:p>
      <w:pPr>
        <w:pStyle w:val="null3"/>
      </w:pPr>
      <w:r>
        <w:rPr>
          <w:rFonts w:ascii="仿宋_GB2312" w:hAnsi="仿宋_GB2312" w:cs="仿宋_GB2312" w:eastAsia="仿宋_GB2312"/>
        </w:rPr>
        <w:t>地址：汉中市汉台区望江路广厦东方明珠9号楼1405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温泉镇中坝社区采购农机具1批，提升种植生产质效，壮大村集体经济</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拖拉机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440,500.00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玉米联合收割机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自走履带式联合收割机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杂粮割台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药材收获机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播种机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动力换向湿式离合器，动力输出12寸单作用干式离合器；</w:t>
            </w:r>
            <w:r>
              <w:br/>
            </w:r>
            <w:r>
              <w:rPr>
                <w:rFonts w:ascii="仿宋_GB2312" w:hAnsi="仿宋_GB2312" w:cs="仿宋_GB2312" w:eastAsia="仿宋_GB2312"/>
              </w:rPr>
              <w:t xml:space="preserve"> 标定转速：≥2200r/min；</w:t>
            </w:r>
            <w:r>
              <w:br/>
            </w:r>
            <w:r>
              <w:rPr>
                <w:rFonts w:ascii="仿宋_GB2312" w:hAnsi="仿宋_GB2312" w:cs="仿宋_GB2312" w:eastAsia="仿宋_GB2312"/>
              </w:rPr>
              <w:t xml:space="preserve"> 最小使用质量:≥3400kg；</w:t>
            </w:r>
            <w:r>
              <w:br/>
            </w:r>
            <w:r>
              <w:rPr>
                <w:rFonts w:ascii="仿宋_GB2312" w:hAnsi="仿宋_GB2312" w:cs="仿宋_GB2312" w:eastAsia="仿宋_GB2312"/>
              </w:rPr>
              <w:t xml:space="preserve"> 动力输出转速：540/750r/min；</w:t>
            </w:r>
            <w:r>
              <w:br/>
            </w:r>
            <w:r>
              <w:rPr>
                <w:rFonts w:ascii="仿宋_GB2312" w:hAnsi="仿宋_GB2312" w:cs="仿宋_GB2312" w:eastAsia="仿宋_GB2312"/>
              </w:rPr>
              <w:t xml:space="preserve"> 液压输出：≥2组；  </w:t>
            </w:r>
            <w:r>
              <w:br/>
            </w:r>
            <w:r>
              <w:rPr>
                <w:rFonts w:ascii="仿宋_GB2312" w:hAnsi="仿宋_GB2312" w:cs="仿宋_GB2312" w:eastAsia="仿宋_GB2312"/>
              </w:rPr>
              <w:t xml:space="preserve"> 轮胎（前/后）：9.5-24/16.9-30；  </w:t>
            </w:r>
            <w:r>
              <w:br/>
            </w:r>
            <w:r>
              <w:rPr>
                <w:rFonts w:ascii="仿宋_GB2312" w:hAnsi="仿宋_GB2312" w:cs="仿宋_GB2312" w:eastAsia="仿宋_GB2312"/>
              </w:rPr>
              <w:t xml:space="preserve"> 驱动方式：四轮驱动；  </w:t>
            </w:r>
            <w:r>
              <w:br/>
            </w:r>
            <w:r>
              <w:rPr>
                <w:rFonts w:ascii="仿宋_GB2312" w:hAnsi="仿宋_GB2312" w:cs="仿宋_GB2312" w:eastAsia="仿宋_GB2312"/>
              </w:rPr>
              <w:t xml:space="preserve"> 轴距：≥2100mm； </w:t>
            </w:r>
            <w:r>
              <w:br/>
            </w:r>
            <w:r>
              <w:rPr>
                <w:rFonts w:ascii="仿宋_GB2312" w:hAnsi="仿宋_GB2312" w:cs="仿宋_GB2312" w:eastAsia="仿宋_GB2312"/>
              </w:rPr>
              <w:t xml:space="preserve"> 最小离地间隙及部位:≥400mm（燃油箱下支架）.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▲标定功率：≥77kw； </w:t>
            </w:r>
            <w:r>
              <w:br/>
            </w:r>
            <w:r>
              <w:rPr>
                <w:rFonts w:ascii="仿宋_GB2312" w:hAnsi="仿宋_GB2312" w:cs="仿宋_GB2312" w:eastAsia="仿宋_GB2312"/>
              </w:rPr>
              <w:t xml:space="preserve"> ▲挡位数（前进/倒退）:12/12动力换向；</w:t>
            </w:r>
            <w:r>
              <w:br/>
            </w:r>
            <w:r>
              <w:rPr>
                <w:rFonts w:ascii="仿宋_GB2312" w:hAnsi="仿宋_GB2312" w:cs="仿宋_GB2312" w:eastAsia="仿宋_GB2312"/>
              </w:rPr>
              <w:t xml:space="preserve"> ▲最大提升力：≥17.2KN。</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配套动力范围：52.9～102.9kW； </w:t>
            </w:r>
            <w:r>
              <w:br/>
            </w:r>
            <w:r>
              <w:rPr>
                <w:rFonts w:ascii="仿宋_GB2312" w:hAnsi="仿宋_GB2312" w:cs="仿宋_GB2312" w:eastAsia="仿宋_GB2312"/>
              </w:rPr>
              <w:t xml:space="preserve"> 结构质量：≥520kg；  </w:t>
            </w:r>
            <w:r>
              <w:br/>
            </w:r>
            <w:r>
              <w:rPr>
                <w:rFonts w:ascii="仿宋_GB2312" w:hAnsi="仿宋_GB2312" w:cs="仿宋_GB2312" w:eastAsia="仿宋_GB2312"/>
              </w:rPr>
              <w:t xml:space="preserve"> 传动方式：中间；  </w:t>
            </w:r>
            <w:r>
              <w:br/>
            </w:r>
            <w:r>
              <w:rPr>
                <w:rFonts w:ascii="仿宋_GB2312" w:hAnsi="仿宋_GB2312" w:cs="仿宋_GB2312" w:eastAsia="仿宋_GB2312"/>
              </w:rPr>
              <w:t xml:space="preserve"> 总安装刀数量(旋耕)：≥68把。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▲工作幅宽:≥2300mm</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结构型式：悬挂式；  </w:t>
            </w:r>
            <w:r>
              <w:br/>
            </w:r>
            <w:r>
              <w:rPr>
                <w:rFonts w:ascii="仿宋_GB2312" w:hAnsi="仿宋_GB2312" w:cs="仿宋_GB2312" w:eastAsia="仿宋_GB2312"/>
              </w:rPr>
              <w:t xml:space="preserve"> 翻转机构型式:液压式、全翻转式；  </w:t>
            </w:r>
            <w:r>
              <w:br/>
            </w:r>
            <w:r>
              <w:rPr>
                <w:rFonts w:ascii="仿宋_GB2312" w:hAnsi="仿宋_GB2312" w:cs="仿宋_GB2312" w:eastAsia="仿宋_GB2312"/>
              </w:rPr>
              <w:t xml:space="preserve"> 犁体类型：基本（通用）型</w:t>
            </w:r>
            <w:r>
              <w:br/>
            </w:r>
            <w:r>
              <w:rPr>
                <w:rFonts w:ascii="仿宋_GB2312" w:hAnsi="仿宋_GB2312" w:cs="仿宋_GB2312" w:eastAsia="仿宋_GB2312"/>
              </w:rPr>
              <w:t xml:space="preserve"> 犁体数量：≥4+4个； </w:t>
            </w:r>
            <w:r>
              <w:br/>
            </w:r>
            <w:r>
              <w:rPr>
                <w:rFonts w:ascii="仿宋_GB2312" w:hAnsi="仿宋_GB2312" w:cs="仿宋_GB2312" w:eastAsia="仿宋_GB2312"/>
              </w:rPr>
              <w:t xml:space="preserve"> 犁铧类型：通用型(凿型)； </w:t>
            </w:r>
            <w:r>
              <w:br/>
            </w:r>
            <w:r>
              <w:rPr>
                <w:rFonts w:ascii="仿宋_GB2312" w:hAnsi="仿宋_GB2312" w:cs="仿宋_GB2312" w:eastAsia="仿宋_GB2312"/>
              </w:rPr>
              <w:t xml:space="preserve"> 犁壁类型：栅条式；  </w:t>
            </w:r>
            <w:r>
              <w:br/>
            </w:r>
            <w:r>
              <w:rPr>
                <w:rFonts w:ascii="仿宋_GB2312" w:hAnsi="仿宋_GB2312" w:cs="仿宋_GB2312" w:eastAsia="仿宋_GB2312"/>
              </w:rPr>
              <w:t xml:space="preserve"> 总工作幅宽：≥1400㎜；  </w:t>
            </w:r>
            <w:r>
              <w:br/>
            </w:r>
            <w:r>
              <w:rPr>
                <w:rFonts w:ascii="仿宋_GB2312" w:hAnsi="仿宋_GB2312" w:cs="仿宋_GB2312" w:eastAsia="仿宋_GB2312"/>
              </w:rPr>
              <w:t xml:space="preserve"> 犁轮类型 ：限深、运输一体轮； </w:t>
            </w:r>
            <w:r>
              <w:br/>
            </w:r>
            <w:r>
              <w:rPr>
                <w:rFonts w:ascii="仿宋_GB2312" w:hAnsi="仿宋_GB2312" w:cs="仿宋_GB2312" w:eastAsia="仿宋_GB2312"/>
              </w:rPr>
              <w:t xml:space="preserve"> 犁轮数量：≥1个；  </w:t>
            </w:r>
            <w:r>
              <w:br/>
            </w:r>
            <w:r>
              <w:rPr>
                <w:rFonts w:ascii="仿宋_GB2312" w:hAnsi="仿宋_GB2312" w:cs="仿宋_GB2312" w:eastAsia="仿宋_GB2312"/>
              </w:rPr>
              <w:t xml:space="preserve"> 限深轮调节范围：0～240㎜； </w:t>
            </w:r>
            <w:r>
              <w:br/>
            </w:r>
            <w:r>
              <w:rPr>
                <w:rFonts w:ascii="仿宋_GB2312" w:hAnsi="仿宋_GB2312" w:cs="仿宋_GB2312" w:eastAsia="仿宋_GB2312"/>
              </w:rPr>
              <w:t xml:space="preserve"> 油缸数量:≥1个。</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▲配套拖拉机标定功率：77～118.5KW； </w:t>
            </w:r>
            <w:r>
              <w:br/>
            </w:r>
            <w:r>
              <w:rPr>
                <w:rFonts w:ascii="仿宋_GB2312" w:hAnsi="仿宋_GB2312" w:cs="仿宋_GB2312" w:eastAsia="仿宋_GB2312"/>
              </w:rPr>
              <w:t xml:space="preserve"> ▲犁体幅宽≥350㎜；  </w:t>
            </w:r>
            <w:r>
              <w:br/>
            </w:r>
            <w:r>
              <w:rPr>
                <w:rFonts w:ascii="仿宋_GB2312" w:hAnsi="仿宋_GB2312" w:cs="仿宋_GB2312" w:eastAsia="仿宋_GB2312"/>
              </w:rPr>
              <w:t xml:space="preserve"> ▲犁体纵向距离：950mm，正负5mm。</w:t>
            </w:r>
          </w:p>
        </w:tc>
      </w:tr>
    </w:tbl>
    <w:p>
      <w:pPr>
        <w:pStyle w:val="null3"/>
      </w:pPr>
      <w:r>
        <w:rPr>
          <w:rFonts w:ascii="仿宋_GB2312" w:hAnsi="仿宋_GB2312" w:cs="仿宋_GB2312" w:eastAsia="仿宋_GB2312"/>
        </w:rPr>
        <w:t>标的名称：玉米联合收割机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结构型式：履带式、摘穗、剥皮、秸秆还田； </w:t>
            </w:r>
            <w:r>
              <w:br/>
            </w:r>
            <w:r>
              <w:rPr>
                <w:rFonts w:ascii="仿宋_GB2312" w:hAnsi="仿宋_GB2312" w:cs="仿宋_GB2312" w:eastAsia="仿宋_GB2312"/>
              </w:rPr>
              <w:t xml:space="preserve"> 配套发动机额定转速:≥2200r/min； </w:t>
            </w:r>
            <w:r>
              <w:br/>
            </w:r>
            <w:r>
              <w:rPr>
                <w:rFonts w:ascii="仿宋_GB2312" w:hAnsi="仿宋_GB2312" w:cs="仿宋_GB2312" w:eastAsia="仿宋_GB2312"/>
              </w:rPr>
              <w:t xml:space="preserve"> 行距：≥600mm； </w:t>
            </w:r>
            <w:r>
              <w:br/>
            </w:r>
            <w:r>
              <w:rPr>
                <w:rFonts w:ascii="仿宋_GB2312" w:hAnsi="仿宋_GB2312" w:cs="仿宋_GB2312" w:eastAsia="仿宋_GB2312"/>
              </w:rPr>
              <w:t xml:space="preserve"> 摘穗机结构型式：辊式； </w:t>
            </w:r>
            <w:r>
              <w:br/>
            </w:r>
            <w:r>
              <w:rPr>
                <w:rFonts w:ascii="仿宋_GB2312" w:hAnsi="仿宋_GB2312" w:cs="仿宋_GB2312" w:eastAsia="仿宋_GB2312"/>
              </w:rPr>
              <w:t xml:space="preserve"> 摘穗辊/板数量：≥4个；</w:t>
            </w:r>
            <w:r>
              <w:br/>
            </w:r>
            <w:r>
              <w:rPr>
                <w:rFonts w:ascii="仿宋_GB2312" w:hAnsi="仿宋_GB2312" w:cs="仿宋_GB2312" w:eastAsia="仿宋_GB2312"/>
              </w:rPr>
              <w:t xml:space="preserve"> 燃油：柴油；</w:t>
            </w:r>
            <w:r>
              <w:br/>
            </w:r>
            <w:r>
              <w:rPr>
                <w:rFonts w:ascii="仿宋_GB2312" w:hAnsi="仿宋_GB2312" w:cs="仿宋_GB2312" w:eastAsia="仿宋_GB2312"/>
              </w:rPr>
              <w:t xml:space="preserve"> 油箱容积：≥60L；</w:t>
            </w:r>
            <w:r>
              <w:br/>
            </w:r>
            <w:r>
              <w:rPr>
                <w:rFonts w:ascii="仿宋_GB2312" w:hAnsi="仿宋_GB2312" w:cs="仿宋_GB2312" w:eastAsia="仿宋_GB2312"/>
              </w:rPr>
              <w:t xml:space="preserve"> 工作效率：≥0.2～0.35hm&lt;sup&gt;2&lt;/sup&gt;/h。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▲配套发动机功率：≥73.5kw； </w:t>
            </w:r>
            <w:r>
              <w:br/>
            </w:r>
            <w:r>
              <w:rPr>
                <w:rFonts w:ascii="仿宋_GB2312" w:hAnsi="仿宋_GB2312" w:cs="仿宋_GB2312" w:eastAsia="仿宋_GB2312"/>
              </w:rPr>
              <w:t xml:space="preserve"> ▲工作行数：≥2行；</w:t>
            </w:r>
            <w:r>
              <w:br/>
            </w:r>
            <w:r>
              <w:rPr>
                <w:rFonts w:ascii="仿宋_GB2312" w:hAnsi="仿宋_GB2312" w:cs="仿宋_GB2312" w:eastAsia="仿宋_GB2312"/>
              </w:rPr>
              <w:t xml:space="preserve"> ▲工作幅宽：≥1400mm。</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标的名称：自走履带式联合收割机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标定转速：≥2500r/min；  </w:t>
            </w:r>
            <w:r>
              <w:br/>
            </w:r>
            <w:r>
              <w:rPr>
                <w:rFonts w:ascii="仿宋_GB2312" w:hAnsi="仿宋_GB2312" w:cs="仿宋_GB2312" w:eastAsia="仿宋_GB2312"/>
              </w:rPr>
              <w:t xml:space="preserve"> 排放标准：第四阶段； </w:t>
            </w:r>
            <w:r>
              <w:br/>
            </w:r>
            <w:r>
              <w:rPr>
                <w:rFonts w:ascii="仿宋_GB2312" w:hAnsi="仿宋_GB2312" w:cs="仿宋_GB2312" w:eastAsia="仿宋_GB2312"/>
              </w:rPr>
              <w:t xml:space="preserve"> 最小离地间隙：≥200 mm ； </w:t>
            </w:r>
            <w:r>
              <w:br/>
            </w:r>
            <w:r>
              <w:rPr>
                <w:rFonts w:ascii="仿宋_GB2312" w:hAnsi="仿宋_GB2312" w:cs="仿宋_GB2312" w:eastAsia="仿宋_GB2312"/>
              </w:rPr>
              <w:t xml:space="preserve"> 变速机构型式：机械式变速+油压伺服HST； </w:t>
            </w:r>
            <w:r>
              <w:br/>
            </w:r>
            <w:r>
              <w:rPr>
                <w:rFonts w:ascii="仿宋_GB2312" w:hAnsi="仿宋_GB2312" w:cs="仿宋_GB2312" w:eastAsia="仿宋_GB2312"/>
              </w:rPr>
              <w:t xml:space="preserve"> 履带节距×节数×宽度 ：≥90mm×58节×550mm ，</w:t>
            </w:r>
            <w:r>
              <w:br/>
            </w:r>
            <w:r>
              <w:rPr>
                <w:rFonts w:ascii="仿宋_GB2312" w:hAnsi="仿宋_GB2312" w:cs="仿宋_GB2312" w:eastAsia="仿宋_GB2312"/>
              </w:rPr>
              <w:t xml:space="preserve"> 驾驶室类型：封闭式带空调  ；</w:t>
            </w:r>
            <w:r>
              <w:br/>
            </w:r>
            <w:r>
              <w:rPr>
                <w:rFonts w:ascii="仿宋_GB2312" w:hAnsi="仿宋_GB2312" w:cs="仿宋_GB2312" w:eastAsia="仿宋_GB2312"/>
              </w:rPr>
              <w:t xml:space="preserve"> 燃油：柴油；</w:t>
            </w:r>
            <w:r>
              <w:br/>
            </w:r>
            <w:r>
              <w:rPr>
                <w:rFonts w:ascii="仿宋_GB2312" w:hAnsi="仿宋_GB2312" w:cs="仿宋_GB2312" w:eastAsia="仿宋_GB2312"/>
              </w:rPr>
              <w:t xml:space="preserve"> 油箱容积：≥150L；</w:t>
            </w:r>
            <w:r>
              <w:br/>
            </w:r>
            <w:r>
              <w:rPr>
                <w:rFonts w:ascii="仿宋_GB2312" w:hAnsi="仿宋_GB2312" w:cs="仿宋_GB2312" w:eastAsia="仿宋_GB2312"/>
              </w:rPr>
              <w:t xml:space="preserve"> 效率：≥0.38～0.87hm&lt;sup&gt;2&lt;/sup&gt;/h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★标定功率：≥87kW</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▲结构型式：自走履带全喂入式；  </w:t>
            </w:r>
            <w:r>
              <w:br/>
            </w:r>
            <w:r>
              <w:rPr>
                <w:rFonts w:ascii="仿宋_GB2312" w:hAnsi="仿宋_GB2312" w:cs="仿宋_GB2312" w:eastAsia="仿宋_GB2312"/>
              </w:rPr>
              <w:t xml:space="preserve"> ▲喂入量：≥6kg/s； </w:t>
            </w:r>
            <w:r>
              <w:br/>
            </w:r>
            <w:r>
              <w:rPr>
                <w:rFonts w:ascii="仿宋_GB2312" w:hAnsi="仿宋_GB2312" w:cs="仿宋_GB2312" w:eastAsia="仿宋_GB2312"/>
              </w:rPr>
              <w:t xml:space="preserve"> ▲割台工作幅宽：≥2200 mm 。</w:t>
            </w:r>
          </w:p>
        </w:tc>
      </w:tr>
    </w:tbl>
    <w:p>
      <w:pPr>
        <w:pStyle w:val="null3"/>
      </w:pPr>
      <w:r>
        <w:rPr>
          <w:rFonts w:ascii="仿宋_GB2312" w:hAnsi="仿宋_GB2312" w:cs="仿宋_GB2312" w:eastAsia="仿宋_GB2312"/>
        </w:rPr>
        <w:t>标的名称：杂粮割台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重量:≥600kg；</w:t>
            </w:r>
            <w:r>
              <w:br/>
            </w:r>
            <w:r>
              <w:rPr>
                <w:rFonts w:ascii="仿宋_GB2312" w:hAnsi="仿宋_GB2312" w:cs="仿宋_GB2312" w:eastAsia="仿宋_GB2312"/>
              </w:rPr>
              <w:t xml:space="preserve"> 行距:400mm，正负5mm；</w:t>
            </w:r>
            <w:r>
              <w:br/>
            </w:r>
            <w:r>
              <w:rPr>
                <w:rFonts w:ascii="仿宋_GB2312" w:hAnsi="仿宋_GB2312" w:cs="仿宋_GB2312" w:eastAsia="仿宋_GB2312"/>
              </w:rPr>
              <w:t xml:space="preserve"> 割台升降：液压控制。</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▲工作幅宽:≥2300mm ；</w:t>
            </w:r>
            <w:r>
              <w:br/>
            </w:r>
            <w:r>
              <w:rPr>
                <w:rFonts w:ascii="仿宋_GB2312" w:hAnsi="仿宋_GB2312" w:cs="仿宋_GB2312" w:eastAsia="仿宋_GB2312"/>
              </w:rPr>
              <w:t xml:space="preserve"> ▲行数：≥5行。  </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标的名称：药材收获机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挖深根茎类药材、集挖掘、松土、碎土、分离为一体；</w:t>
            </w:r>
            <w:r>
              <w:br/>
            </w:r>
            <w:r>
              <w:rPr>
                <w:rFonts w:ascii="仿宋_GB2312" w:hAnsi="仿宋_GB2312" w:cs="仿宋_GB2312" w:eastAsia="仿宋_GB2312"/>
              </w:rPr>
              <w:t xml:space="preserve"> 配套拖拉机动力100-140ps带振动筛和网格式链条筛 ；</w:t>
            </w:r>
            <w:r>
              <w:br/>
            </w:r>
            <w:r>
              <w:rPr>
                <w:rFonts w:ascii="仿宋_GB2312" w:hAnsi="仿宋_GB2312" w:cs="仿宋_GB2312" w:eastAsia="仿宋_GB2312"/>
              </w:rPr>
              <w:t xml:space="preserve"> 起挖深度≥30㎝；</w:t>
            </w:r>
            <w:r>
              <w:br/>
            </w:r>
            <w:r>
              <w:rPr>
                <w:rFonts w:ascii="仿宋_GB2312" w:hAnsi="仿宋_GB2312" w:cs="仿宋_GB2312" w:eastAsia="仿宋_GB2312"/>
              </w:rPr>
              <w:t xml:space="preserve"> 悬挂方式：三点悬挂；</w:t>
            </w:r>
            <w:r>
              <w:br/>
            </w:r>
            <w:r>
              <w:rPr>
                <w:rFonts w:ascii="仿宋_GB2312" w:hAnsi="仿宋_GB2312" w:cs="仿宋_GB2312" w:eastAsia="仿宋_GB2312"/>
              </w:rPr>
              <w:t xml:space="preserve"> 收净率：≥95%</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▲收获机作业宽度≥1600mm ；</w:t>
            </w:r>
            <w:r>
              <w:br/>
            </w:r>
            <w:r>
              <w:rPr>
                <w:rFonts w:ascii="仿宋_GB2312" w:hAnsi="仿宋_GB2312" w:cs="仿宋_GB2312" w:eastAsia="仿宋_GB2312"/>
              </w:rPr>
              <w:t xml:space="preserve"> ▲作业深度：15–25 cm（可调）。</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结构型式：悬挂式、普通旋播、条播； </w:t>
            </w:r>
            <w:r>
              <w:br/>
            </w:r>
            <w:r>
              <w:rPr>
                <w:rFonts w:ascii="仿宋_GB2312" w:hAnsi="仿宋_GB2312" w:cs="仿宋_GB2312" w:eastAsia="仿宋_GB2312"/>
              </w:rPr>
              <w:t xml:space="preserve"> 配套动力范围:58.8～80.9kw； </w:t>
            </w:r>
            <w:r>
              <w:br/>
            </w:r>
            <w:r>
              <w:rPr>
                <w:rFonts w:ascii="仿宋_GB2312" w:hAnsi="仿宋_GB2312" w:cs="仿宋_GB2312" w:eastAsia="仿宋_GB2312"/>
              </w:rPr>
              <w:t xml:space="preserve"> 作业速度范围:0.56～1.39m/s； </w:t>
            </w:r>
            <w:r>
              <w:br/>
            </w:r>
            <w:r>
              <w:rPr>
                <w:rFonts w:ascii="仿宋_GB2312" w:hAnsi="仿宋_GB2312" w:cs="仿宋_GB2312" w:eastAsia="仿宋_GB2312"/>
              </w:rPr>
              <w:t xml:space="preserve"> 作业小时生产率:0.45～1.12hm&lt;sup&gt;２&lt;/sup&gt;/h； </w:t>
            </w:r>
            <w:r>
              <w:br/>
            </w:r>
            <w:r>
              <w:rPr>
                <w:rFonts w:ascii="仿宋_GB2312" w:hAnsi="仿宋_GB2312" w:cs="仿宋_GB2312" w:eastAsia="仿宋_GB2312"/>
              </w:rPr>
              <w:t xml:space="preserve"> 行距:24-28cm； </w:t>
            </w:r>
            <w:r>
              <w:br/>
            </w:r>
            <w:r>
              <w:rPr>
                <w:rFonts w:ascii="仿宋_GB2312" w:hAnsi="仿宋_GB2312" w:cs="仿宋_GB2312" w:eastAsia="仿宋_GB2312"/>
              </w:rPr>
              <w:t xml:space="preserve"> 排种器型式：槽轮式； </w:t>
            </w:r>
            <w:r>
              <w:br/>
            </w:r>
            <w:r>
              <w:rPr>
                <w:rFonts w:ascii="仿宋_GB2312" w:hAnsi="仿宋_GB2312" w:cs="仿宋_GB2312" w:eastAsia="仿宋_GB2312"/>
              </w:rPr>
              <w:t xml:space="preserve"> 排种器数量：≥9个； </w:t>
            </w:r>
            <w:r>
              <w:br/>
            </w:r>
            <w:r>
              <w:rPr>
                <w:rFonts w:ascii="仿宋_GB2312" w:hAnsi="仿宋_GB2312" w:cs="仿宋_GB2312" w:eastAsia="仿宋_GB2312"/>
              </w:rPr>
              <w:t xml:space="preserve"> 排种开沟器数量：≥24个； </w:t>
            </w:r>
            <w:r>
              <w:br/>
            </w:r>
            <w:r>
              <w:rPr>
                <w:rFonts w:ascii="仿宋_GB2312" w:hAnsi="仿宋_GB2312" w:cs="仿宋_GB2312" w:eastAsia="仿宋_GB2312"/>
              </w:rPr>
              <w:t xml:space="preserve"> 排肥器数量：≥9个。</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▲工作幅宽:≥2200mm；</w:t>
            </w:r>
            <w:r>
              <w:br/>
            </w:r>
            <w:r>
              <w:rPr>
                <w:rFonts w:ascii="仿宋_GB2312" w:hAnsi="仿宋_GB2312" w:cs="仿宋_GB2312" w:eastAsia="仿宋_GB2312"/>
              </w:rPr>
              <w:t xml:space="preserve"> ▲耕深:8-18cm； </w:t>
            </w:r>
            <w:r>
              <w:br/>
            </w:r>
            <w:r>
              <w:rPr>
                <w:rFonts w:ascii="仿宋_GB2312" w:hAnsi="仿宋_GB2312" w:cs="仿宋_GB2312" w:eastAsia="仿宋_GB2312"/>
              </w:rPr>
              <w:t xml:space="preserve"> ▲工作行数：≥9行。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进度款，所有设备进场后，达到付款条件起10个工作日内，支付合同总金额的50.0%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 国家(行业)强制性标准及合同约定对中标方所供货物(产品)或服务进行检查或验收，成交方须无条件的接受采购人的各类检查 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质保期1年，供应商承诺超过招标文件要求的，按其承诺的质保期进行质保，质保期起始时间为终验合格之日。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供应商具有独立承担民事责任能力的法人、其他组织或自然人，提供有效营业执照/事业单 位法人证书/其他组织的有效证明文件/自然人的身份证明/民办非企业单位登记证书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法定代表人证明书或法定代表人授权书及相关资料</w:t>
            </w:r>
          </w:p>
        </w:tc>
        <w:tc>
          <w:tcPr>
            <w:tcW w:type="dxa" w:w="3322"/>
          </w:tcPr>
          <w:p>
            <w:pPr>
              <w:pStyle w:val="null3"/>
            </w:pPr>
            <w:r>
              <w:rPr>
                <w:rFonts w:ascii="仿宋_GB2312" w:hAnsi="仿宋_GB2312" w:cs="仿宋_GB2312" w:eastAsia="仿宋_GB2312"/>
              </w:rPr>
              <w:t>法定代表人参加开标会议的，须出具法定代表人证明书及法定代 表人合法有效的身份证扫描件；法定代表人授权他人参加开标会议的，须提供法定代表人授权委托书及被授权代表的身份证扫 描件；</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 被执行人” 、“重大税收违法案件当事人名单” 中，也未列入中国政府采购网“政府采购严重违法失信行为记录名单” 中，提供加盖公章的《汉中市政府采购供应商资格承诺函》扫描件。</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投标文件是否按招标文件要求签署、盖章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投标文件报价有效及唯一性</w:t>
            </w:r>
          </w:p>
        </w:tc>
        <w:tc>
          <w:tcPr>
            <w:tcW w:type="dxa" w:w="3322"/>
          </w:tcPr>
          <w:p>
            <w:pPr>
              <w:pStyle w:val="null3"/>
            </w:pPr>
            <w:r>
              <w:rPr>
                <w:rFonts w:ascii="仿宋_GB2312" w:hAnsi="仿宋_GB2312" w:cs="仿宋_GB2312" w:eastAsia="仿宋_GB2312"/>
              </w:rPr>
              <w:t>投标文件报价唯一，且没有高于采购预算总价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投标供应商的投标有效期符合招标文件的要求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投标保证金缴纳凭证复印件.docx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法定代表人或法定代表人被授权委托代理人的印鉴齐全</w:t>
            </w:r>
          </w:p>
        </w:tc>
        <w:tc>
          <w:tcPr>
            <w:tcW w:type="dxa" w:w="3322"/>
          </w:tcPr>
          <w:p>
            <w:pPr>
              <w:pStyle w:val="null3"/>
            </w:pPr>
            <w:r>
              <w:rPr>
                <w:rFonts w:ascii="仿宋_GB2312" w:hAnsi="仿宋_GB2312" w:cs="仿宋_GB2312" w:eastAsia="仿宋_GB2312"/>
              </w:rPr>
              <w:t>投标供应商法定代表人或其法定代表人被授权委托代理的印鉴齐全</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投标文件是否含有招标人不能接受的</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投标函 其他资料.docx 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提供2023年1月1日至今承担过类似项目业绩，每提供一个计3分，满分3分，不提供则不得分（类似项目业绩应附中标通知书或成交通知书、合同协议等证明材料，业绩时间以合同协议书签订时间为准）。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20分。带“★”的重要技术参数须实质性响应不得出现负偏离。带“▲”为重要参数，每有1项负偏离扣1分，扣完为止。评审依据：供应商提供相应的证明资料（包括但不限于检测报告、技术白皮书、产品彩页、厂家产品说明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详细评审响应方案.docx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产品认证</w:t>
            </w:r>
          </w:p>
        </w:tc>
        <w:tc>
          <w:tcPr>
            <w:tcW w:type="dxa" w:w="2492"/>
          </w:tcPr>
          <w:p>
            <w:pPr>
              <w:pStyle w:val="null3"/>
            </w:pPr>
            <w:r>
              <w:rPr>
                <w:rFonts w:ascii="仿宋_GB2312" w:hAnsi="仿宋_GB2312" w:cs="仿宋_GB2312" w:eastAsia="仿宋_GB2312"/>
              </w:rPr>
              <w:t>1、每提供一款所投农机机型有效期内的农业机械推广鉴定证书得1分，满分8分，不提供则本项不得分； 2、提供企业ISO9001质量体系认证证书得4分，不提供则不得分；3、提供第三方整机检测报告得4分，不提供则不得分。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投标人满足招标文件要求质保期的得2分，再此基础上承诺每增加一年质保期得1分(提供书面《承诺函》(格式不限)，承诺须明确增加的具体年限，每增加一年得1分，最多3分。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针对本项目的实施方案，包括但不限于：①运输方案 ②安装调试方案 ③人员培训方案，方案须全面，思路清晰、分析透彻，内容完整、方案科学合理得（4-6]分；方案贴合项目实际情况，内容基本合理得（2-4]分；方案不完整、可实施性不强、针对性不强或完全背离评审标准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针对本项目的进度保障方案，包括但不限于：①进度计划②应急保障措施，方案内容完整全面，对上述各项内容均有详细描述及说明得（3-5]分；方案内容基本完整合理得（1.5-3]分；方案不完整、不合理或完全背离评审标准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的设备供货渠道正规、技术资料齐全，保证所投设备无水货、假货、翻新货、无不良市场反馈，检验检测手续合法有效且无产权纠纷，并提供设备来源的合法证明文件（包括但不限于销售协议、代理协议、厂家授权等），方案内容全面完整，所提供的证明材料齐全得（3-5]分；方案内容基本完整，所提供的证明材料不够齐全得（1.5-3]分；方案不完整、不合理或完全背离评审标准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详细评审响应方案.docx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针对本项目的售后服务方案，包括但不限于：①质保服务 ② 响应及到场时间③ 备品备件④培训服务，内容完整全面，对上述各项内容均有描述及说明得满分；内容不够完整全面，对上述各项内容每缺一项扣1分，未按要求响应售后服务方案不得分。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详细评审响应方案.docx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 足招标文件要求最低的投标报价为 评审基准价，其价格分为满分，其 他响应人的价格分统一按照下列公式计算：投标供应商报价得分=（评审基准 价/报价）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详见附件：投标保证金缴纳凭证复印件.docx</w:t>
      </w:r>
    </w:p>
    <w:p>
      <w:pPr>
        <w:pStyle w:val="null3"/>
        <w:ind w:firstLine="960"/>
      </w:pPr>
      <w:r>
        <w:rPr>
          <w:rFonts w:ascii="仿宋_GB2312" w:hAnsi="仿宋_GB2312" w:cs="仿宋_GB2312" w:eastAsia="仿宋_GB2312"/>
        </w:rPr>
        <w:t>详见附件：详细评审响应方案.docx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