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版本号：KY2026-3-17520260519002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2026年“文化和自然遗产日”活动采购项目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KY2026-3-175</w:t>
      </w:r>
      <w:r>
        <w:br/>
      </w:r>
      <w:r>
        <w:br/>
      </w:r>
      <w:r>
        <w:br/>
      </w:r>
    </w:p>
    <w:p>
      <w:pPr>
        <w:pStyle w:val="null3"/>
        <w:jc w:val="center"/>
        <w:outlineLvl w:val="2"/>
      </w:pPr>
      <w:r>
        <w:rPr>
          <w:rFonts w:ascii="仿宋_GB2312" w:hAnsi="仿宋_GB2312" w:cs="仿宋_GB2312" w:eastAsia="仿宋_GB2312"/>
          <w:sz w:val="28"/>
          <w:b/>
        </w:rPr>
        <w:t>陕西省文化馆</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陕西省文化馆</w:t>
      </w:r>
      <w:r>
        <w:rPr>
          <w:rFonts w:ascii="仿宋_GB2312" w:hAnsi="仿宋_GB2312" w:cs="仿宋_GB2312" w:eastAsia="仿宋_GB2312"/>
        </w:rPr>
        <w:t>委托，拟对</w:t>
      </w:r>
      <w:r>
        <w:rPr>
          <w:rFonts w:ascii="仿宋_GB2312" w:hAnsi="仿宋_GB2312" w:cs="仿宋_GB2312" w:eastAsia="仿宋_GB2312"/>
        </w:rPr>
        <w:t>2026年“文化和自然遗产日”活动采购项目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KY2026-3-175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2026年“文化和自然遗产日”活动采购项目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2026年“文化和自然遗产日”活动采购项目，详见磋商文件第三部分。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采购包1（2026年“文化和自然遗产日”活动采购项目）：属于专门面向中小企业采购。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磋商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陕西省西安市西七路279号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18009138802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任萍萍、王琦、戈迪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采购包1保证金金额：7,500.00元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代理服务费收费标准：1、交费金额参照国家计委颁布的《招标代理服务收费管理暂行办法》（计价格[2002]1980号）及发改办价格[2003]857号文件的规定标准计取。2、本次中标服务费按服务计取。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陕西省文化馆</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陕西省文化馆</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联系人：任萍萍、王琦、戈迪</w:t>
      </w:r>
    </w:p>
    <w:p>
      <w:pPr>
        <w:pStyle w:val="null3"/>
      </w:pPr>
      <w:r>
        <w:rPr>
          <w:rFonts w:ascii="仿宋_GB2312" w:hAnsi="仿宋_GB2312" w:cs="仿宋_GB2312" w:eastAsia="仿宋_GB2312"/>
        </w:rPr>
        <w:t>联系电话：029-81206622-842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2026年“文化和自然遗产日”活动采购项目，详见磋商文件第三部分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2026年“文化和自然遗产日”活动采购项目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标的名称：2026年“文化和自然遗产日”活动采购项目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2026年“文化和自然遗产日”陕西省非遗宣传展示活动，旨在通过举办非遗大集、组织现场技艺展演等多元化形式，集中呈现三秦大地的非遗瑰宝。活动将邀请手艺人现场演示传统技艺并开展精彩表演，以沉浸式体验增强公众对传统工艺的认知与保护意识，切实推动非遗的活态传承。同时，活动致力于搭建跨区域技艺交流平台，促进融合创新，在提升陕西文化影响力的同时，全面助力文旅产业的升级与发展。</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0"/>
              <w:jc w:val="left"/>
            </w:pPr>
            <w:r>
              <w:rPr>
                <w:rFonts w:ascii="仿宋_GB2312" w:hAnsi="仿宋_GB2312" w:cs="仿宋_GB2312" w:eastAsia="仿宋_GB2312"/>
                <w:sz w:val="21"/>
              </w:rPr>
              <w:t>招标内容</w:t>
            </w:r>
          </w:p>
          <w:p>
            <w:pPr>
              <w:pStyle w:val="null3"/>
            </w:pPr>
            <w:r>
              <w:rPr>
                <w:rFonts w:ascii="仿宋_GB2312" w:hAnsi="仿宋_GB2312" w:cs="仿宋_GB2312" w:eastAsia="仿宋_GB2312"/>
                <w:sz w:val="21"/>
              </w:rPr>
              <w:t>本项目旨在打造高质量的非遗宣传展示活动，包含以下核心内容：</w:t>
            </w:r>
          </w:p>
          <w:p>
            <w:pPr>
              <w:pStyle w:val="null3"/>
            </w:pPr>
            <w:r>
              <w:rPr>
                <w:rFonts w:ascii="仿宋_GB2312" w:hAnsi="仿宋_GB2312" w:cs="仿宋_GB2312" w:eastAsia="仿宋_GB2312"/>
                <w:sz w:val="21"/>
              </w:rPr>
              <w:t>1.非遗大集整体设计与搭建：负责非遗大集的整体空间规划、视觉设计、物料制作、现场搭建、安装及后期拆除等全流程服务。</w:t>
            </w:r>
          </w:p>
          <w:p>
            <w:pPr>
              <w:pStyle w:val="null3"/>
            </w:pPr>
            <w:r>
              <w:rPr>
                <w:rFonts w:ascii="仿宋_GB2312" w:hAnsi="仿宋_GB2312" w:cs="仿宋_GB2312" w:eastAsia="仿宋_GB2312"/>
                <w:sz w:val="21"/>
              </w:rPr>
              <w:t>2.配套活动策划与执行：策划并组织开展非遗技艺现场展演、传承人互动演示等活动；负责非遗宣传资料的印制与发放，并做好现场统筹服务。</w:t>
            </w:r>
          </w:p>
          <w:p>
            <w:pPr>
              <w:pStyle w:val="null3"/>
            </w:pPr>
            <w:r>
              <w:rPr>
                <w:rFonts w:ascii="仿宋_GB2312" w:hAnsi="仿宋_GB2312" w:cs="仿宋_GB2312" w:eastAsia="仿宋_GB2312"/>
                <w:sz w:val="21"/>
              </w:rPr>
              <w:t>全媒体宣传推广：制定并执行活动前期预热、中期报道及后期成果展示的全方位宣传方案，扩大活动影响力。</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0"/>
              <w:jc w:val="left"/>
            </w:pPr>
            <w:r>
              <w:rPr>
                <w:rFonts w:ascii="仿宋_GB2312" w:hAnsi="仿宋_GB2312" w:cs="仿宋_GB2312" w:eastAsia="仿宋_GB2312"/>
                <w:sz w:val="21"/>
              </w:rPr>
              <w:t>技术要求</w:t>
            </w:r>
          </w:p>
          <w:p>
            <w:pPr>
              <w:pStyle w:val="null3"/>
            </w:pPr>
            <w:r>
              <w:rPr>
                <w:rFonts w:ascii="仿宋_GB2312" w:hAnsi="仿宋_GB2312" w:cs="仿宋_GB2312" w:eastAsia="仿宋_GB2312"/>
                <w:sz w:val="21"/>
              </w:rPr>
              <w:t>1.设计要求</w:t>
            </w:r>
          </w:p>
          <w:p>
            <w:pPr>
              <w:pStyle w:val="null3"/>
            </w:pPr>
            <w:r>
              <w:rPr>
                <w:rFonts w:ascii="仿宋_GB2312" w:hAnsi="仿宋_GB2312" w:cs="仿宋_GB2312" w:eastAsia="仿宋_GB2312"/>
                <w:sz w:val="21"/>
              </w:rPr>
              <w:t>（1）设计方案需紧扣活动主题，能够全面展示陕西省各类优秀非遗项目，彰显三秦文化特色。</w:t>
            </w:r>
          </w:p>
          <w:p>
            <w:pPr>
              <w:pStyle w:val="null3"/>
            </w:pPr>
            <w:r>
              <w:rPr>
                <w:rFonts w:ascii="仿宋_GB2312" w:hAnsi="仿宋_GB2312" w:cs="仿宋_GB2312" w:eastAsia="仿宋_GB2312"/>
                <w:sz w:val="21"/>
              </w:rPr>
              <w:t>（2）整体造型要求通透大气、视觉冲击力强，结构设计科学合理，必须确保搭建材料与施工工艺的安全可靠。</w:t>
            </w:r>
          </w:p>
          <w:p>
            <w:pPr>
              <w:pStyle w:val="null3"/>
            </w:pPr>
            <w:r>
              <w:rPr>
                <w:rFonts w:ascii="仿宋_GB2312" w:hAnsi="仿宋_GB2312" w:cs="仿宋_GB2312" w:eastAsia="仿宋_GB2312"/>
                <w:sz w:val="21"/>
              </w:rPr>
              <w:t>（3）科学规划功能分区，合理设置静态展品区、非遗技艺表演区、群众互动体验区等，确保各区域动线流畅、配套设施齐全。</w:t>
            </w:r>
          </w:p>
          <w:p>
            <w:pPr>
              <w:pStyle w:val="null3"/>
            </w:pPr>
            <w:r>
              <w:rPr>
                <w:rFonts w:ascii="仿宋_GB2312" w:hAnsi="仿宋_GB2312" w:cs="仿宋_GB2312" w:eastAsia="仿宋_GB2312"/>
                <w:sz w:val="21"/>
              </w:rPr>
              <w:t>（4）遵循“实效、特色、精致、节俭”的原则，通过图文展板、实物陈列、多媒体等多元化形式，生动展示非遗项目的文化内涵与独特魅力。</w:t>
            </w:r>
          </w:p>
          <w:p>
            <w:pPr>
              <w:pStyle w:val="null3"/>
            </w:pPr>
            <w:r>
              <w:rPr>
                <w:rFonts w:ascii="仿宋_GB2312" w:hAnsi="仿宋_GB2312" w:cs="仿宋_GB2312" w:eastAsia="仿宋_GB2312"/>
                <w:sz w:val="21"/>
              </w:rPr>
              <w:t>2.现场配置</w:t>
            </w:r>
          </w:p>
          <w:p>
            <w:pPr>
              <w:pStyle w:val="null3"/>
            </w:pPr>
            <w:r>
              <w:rPr>
                <w:rFonts w:ascii="仿宋_GB2312" w:hAnsi="仿宋_GB2312" w:cs="仿宋_GB2312" w:eastAsia="仿宋_GB2312"/>
                <w:sz w:val="21"/>
              </w:rPr>
              <w:t>（1）综合接待区：设置主接待台（咨询台），用于摆放活动宣传折页、非遗资料，并提供现场咨询引导服务。</w:t>
            </w:r>
          </w:p>
          <w:p>
            <w:pPr>
              <w:pStyle w:val="null3"/>
            </w:pPr>
            <w:r>
              <w:rPr>
                <w:rFonts w:ascii="仿宋_GB2312" w:hAnsi="仿宋_GB2312" w:cs="仿宋_GB2312" w:eastAsia="仿宋_GB2312"/>
                <w:sz w:val="21"/>
              </w:rPr>
              <w:t>（2）静态展示区：配置多样化、专业化的展台及展架，用于集中陈列非遗精品、手工艺品及图文资料。</w:t>
            </w:r>
          </w:p>
          <w:p>
            <w:pPr>
              <w:pStyle w:val="null3"/>
            </w:pPr>
            <w:r>
              <w:rPr>
                <w:rFonts w:ascii="仿宋_GB2312" w:hAnsi="仿宋_GB2312" w:cs="仿宋_GB2312" w:eastAsia="仿宋_GB2312"/>
                <w:sz w:val="21"/>
              </w:rPr>
              <w:t>（3）展演互动区：搭建专业的表演互动舞台或区域，配备必要的演艺设备，用于组织非遗传承人进行现场技艺演示、活态展示及观众互动体验。</w:t>
            </w:r>
          </w:p>
          <w:p>
            <w:pPr>
              <w:pStyle w:val="null3"/>
            </w:pPr>
            <w:r>
              <w:rPr>
                <w:rFonts w:ascii="仿宋_GB2312" w:hAnsi="仿宋_GB2312" w:cs="仿宋_GB2312" w:eastAsia="仿宋_GB2312"/>
                <w:sz w:val="21"/>
              </w:rPr>
              <w:t>3. 设计搭建服务要求</w:t>
            </w:r>
          </w:p>
          <w:p>
            <w:pPr>
              <w:pStyle w:val="null3"/>
            </w:pPr>
            <w:r>
              <w:rPr>
                <w:rFonts w:ascii="仿宋_GB2312" w:hAnsi="仿宋_GB2312" w:cs="仿宋_GB2312" w:eastAsia="仿宋_GB2312"/>
                <w:sz w:val="21"/>
              </w:rPr>
              <w:t>（1）版权与合规性</w:t>
            </w:r>
          </w:p>
          <w:p>
            <w:pPr>
              <w:pStyle w:val="null3"/>
            </w:pPr>
            <w:r>
              <w:rPr>
                <w:rFonts w:ascii="仿宋_GB2312" w:hAnsi="仿宋_GB2312" w:cs="仿宋_GB2312" w:eastAsia="仿宋_GB2312"/>
                <w:sz w:val="21"/>
              </w:rPr>
              <w:t>投标单位提供的所有设计方案、视觉素材及相关资料，必须拥有合法知识产权或已取得合法授权，确保绝无侵犯他人知识产权、肖像权等权益，且不违反现行法律法规。如因版权问题引发任何法律纠纷，中标单位须承担全部法律责任及经济赔偿，并确保采购方（陕西省文化馆）免受任何连带责任。</w:t>
            </w:r>
          </w:p>
          <w:p>
            <w:pPr>
              <w:pStyle w:val="null3"/>
            </w:pPr>
            <w:r>
              <w:rPr>
                <w:rFonts w:ascii="仿宋_GB2312" w:hAnsi="仿宋_GB2312" w:cs="仿宋_GB2312" w:eastAsia="仿宋_GB2312"/>
                <w:sz w:val="21"/>
              </w:rPr>
              <w:t>（2）安全保障与责任界定</w:t>
            </w:r>
          </w:p>
          <w:p>
            <w:pPr>
              <w:pStyle w:val="null3"/>
            </w:pPr>
            <w:r>
              <w:rPr>
                <w:rFonts w:ascii="仿宋_GB2312" w:hAnsi="仿宋_GB2312" w:cs="仿宋_GB2312" w:eastAsia="仿宋_GB2312"/>
                <w:sz w:val="21"/>
              </w:rPr>
              <w:t>中标单位是本项目现场安全的第一责任人。须制定详细的《安全施工与应急预案》，全面负责布展、搭建、活动展示期及撤展全过程中的施工安全、用电规范、结构稳固、展品保护及人员（含工作人员与观众）安全。若发生任何安全事故或人员伤亡，均由中标单位承担全部法律与经济责任，采购方不承担任何责任。</w:t>
            </w:r>
          </w:p>
          <w:p>
            <w:pPr>
              <w:pStyle w:val="null3"/>
            </w:pPr>
            <w:r>
              <w:rPr>
                <w:rFonts w:ascii="仿宋_GB2312" w:hAnsi="仿宋_GB2312" w:cs="仿宋_GB2312" w:eastAsia="仿宋_GB2312"/>
                <w:sz w:val="21"/>
              </w:rPr>
              <w:t>（3）搭建材质与环保标准</w:t>
            </w:r>
          </w:p>
          <w:p>
            <w:pPr>
              <w:pStyle w:val="null3"/>
            </w:pPr>
            <w:r>
              <w:rPr>
                <w:rFonts w:ascii="仿宋_GB2312" w:hAnsi="仿宋_GB2312" w:cs="仿宋_GB2312" w:eastAsia="仿宋_GB2312"/>
                <w:sz w:val="21"/>
              </w:rPr>
              <w:t>搭建材质须选用优质、安全、环保的合格产品。鼓励采用符合国家绿色会展标准的可循环利用或可降解材料（如环保板材、再生金属等），严禁使用有异味、易燃或对人体有害的劣质材料，确保现场环境健康，符合公共文化场所的安全与环保要求。</w:t>
            </w:r>
          </w:p>
          <w:p>
            <w:pPr>
              <w:pStyle w:val="null3"/>
            </w:pPr>
            <w:r>
              <w:rPr>
                <w:rFonts w:ascii="仿宋_GB2312" w:hAnsi="仿宋_GB2312" w:cs="仿宋_GB2312" w:eastAsia="仿宋_GB2312"/>
                <w:sz w:val="21"/>
              </w:rPr>
              <w:t>（4）人员配置与现场服务</w:t>
            </w:r>
          </w:p>
          <w:p>
            <w:pPr>
              <w:pStyle w:val="null3"/>
            </w:pPr>
            <w:r>
              <w:rPr>
                <w:rFonts w:ascii="仿宋_GB2312" w:hAnsi="仿宋_GB2312" w:cs="仿宋_GB2312" w:eastAsia="仿宋_GB2312"/>
                <w:sz w:val="21"/>
              </w:rPr>
              <w:t>中标单位须组建专业的项目服务团队，涵盖创意设计、工程制作、现场搭建、撤展清运及现场维护等全环节工作人员。项目负责人及核心技术人员需具备丰富的同类非遗或大型文旅活动执行经验，所有现场施工人员须具备相应的专业操作资质，并严格遵守场馆管理规定。</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0"/>
              <w:jc w:val="left"/>
            </w:pPr>
            <w:r>
              <w:rPr>
                <w:rFonts w:ascii="仿宋_GB2312" w:hAnsi="仿宋_GB2312" w:cs="仿宋_GB2312" w:eastAsia="仿宋_GB2312"/>
                <w:sz w:val="21"/>
              </w:rPr>
              <w:t>服务要求</w:t>
            </w:r>
          </w:p>
          <w:p>
            <w:pPr>
              <w:pStyle w:val="null3"/>
            </w:pPr>
            <w:r>
              <w:rPr>
                <w:rFonts w:ascii="仿宋_GB2312" w:hAnsi="仿宋_GB2312" w:cs="仿宋_GB2312" w:eastAsia="仿宋_GB2312"/>
                <w:sz w:val="21"/>
              </w:rPr>
              <w:t>(1)成交供应商拥有此次活动策划权，有权在采购人授意下处理活动内容设计、现场布置等相关事宜；</w:t>
            </w:r>
          </w:p>
          <w:p>
            <w:pPr>
              <w:pStyle w:val="null3"/>
            </w:pPr>
            <w:r>
              <w:rPr>
                <w:rFonts w:ascii="仿宋_GB2312" w:hAnsi="仿宋_GB2312" w:cs="仿宋_GB2312" w:eastAsia="仿宋_GB2312"/>
                <w:sz w:val="21"/>
              </w:rPr>
              <w:t>(2)成交供应商保证按采购人要求完成活动的所有筹备工作并达到要求；</w:t>
            </w:r>
          </w:p>
          <w:p>
            <w:pPr>
              <w:pStyle w:val="null3"/>
            </w:pPr>
            <w:r>
              <w:rPr>
                <w:rFonts w:ascii="仿宋_GB2312" w:hAnsi="仿宋_GB2312" w:cs="仿宋_GB2312" w:eastAsia="仿宋_GB2312"/>
                <w:sz w:val="21"/>
              </w:rPr>
              <w:t>(3)成交供应商保证现场工作的各个环节的顺利进行，并做好整体活动的协调配合工作；</w:t>
            </w:r>
          </w:p>
          <w:p>
            <w:pPr>
              <w:pStyle w:val="null3"/>
            </w:pPr>
            <w:r>
              <w:rPr>
                <w:rFonts w:ascii="仿宋_GB2312" w:hAnsi="仿宋_GB2312" w:cs="仿宋_GB2312" w:eastAsia="仿宋_GB2312"/>
                <w:sz w:val="21"/>
              </w:rPr>
              <w:t>(4)成交供应商负责现场工作人员的管理工作，保证所有工作人员按照工作流程及各项管理标准工作；</w:t>
            </w:r>
          </w:p>
          <w:p>
            <w:pPr>
              <w:pStyle w:val="null3"/>
            </w:pPr>
            <w:r>
              <w:rPr>
                <w:rFonts w:ascii="仿宋_GB2312" w:hAnsi="仿宋_GB2312" w:cs="仿宋_GB2312" w:eastAsia="仿宋_GB2312"/>
                <w:sz w:val="21"/>
              </w:rPr>
              <w:t>(5)活动结束后，成交供应商负责现场的清理工作；</w:t>
            </w:r>
          </w:p>
          <w:p>
            <w:pPr>
              <w:pStyle w:val="null3"/>
            </w:pPr>
            <w:r>
              <w:rPr>
                <w:rFonts w:ascii="仿宋_GB2312" w:hAnsi="仿宋_GB2312" w:cs="仿宋_GB2312" w:eastAsia="仿宋_GB2312"/>
                <w:sz w:val="21"/>
              </w:rPr>
              <w:t>(6)活动期间内发生的一切费用由成交供应商承担。</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0"/>
              <w:jc w:val="left"/>
            </w:pPr>
            <w:r>
              <w:rPr>
                <w:rFonts w:ascii="仿宋_GB2312" w:hAnsi="仿宋_GB2312" w:cs="仿宋_GB2312" w:eastAsia="仿宋_GB2312"/>
                <w:sz w:val="21"/>
              </w:rPr>
              <w:t>其它要求：</w:t>
            </w:r>
          </w:p>
          <w:p>
            <w:pPr>
              <w:pStyle w:val="null3"/>
            </w:pPr>
            <w:r>
              <w:rPr>
                <w:rFonts w:ascii="仿宋_GB2312" w:hAnsi="仿宋_GB2312" w:cs="仿宋_GB2312" w:eastAsia="仿宋_GB2312"/>
                <w:sz w:val="21"/>
              </w:rPr>
              <w:t>(1)成交供应商应保证采购人在项目中不受任何关于侵犯所有权和工业产权、著作权（版权）等知识产权的指控。</w:t>
            </w:r>
          </w:p>
          <w:p>
            <w:pPr>
              <w:pStyle w:val="null3"/>
            </w:pPr>
            <w:r>
              <w:rPr>
                <w:rFonts w:ascii="仿宋_GB2312" w:hAnsi="仿宋_GB2312" w:cs="仿宋_GB2312" w:eastAsia="仿宋_GB2312"/>
                <w:sz w:val="21"/>
              </w:rPr>
              <w:t>(2)未经采购人和供应商许可，双方都不得将磋商文件中关于采购人的需求情况、建设情况提供给任何第三方。</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服务期：2026年6月10至6月14日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西安市（陕西省文化馆曲江馆区）。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其他，项目整体完成且验收合格后，达到付款条件起5个工作日内，支付合同总金额的40.0%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1.甲乙双方必须遵守本合同并执行合同中的各项规定，保证本合同的正常履行。如有未尽事宜，由双方依法订立补充合同。 2.如因供应商工作人员在履行职务过程中的的疏忽、失职、过错等故意或者过失原因给采购方造成损失或侵害，包括但不限于采购方本身的财产损失、由此而导致的采购方对任何第三方的法律责任等，供应商对此均应承担全部的赔偿责任。解决合同纠纷的方式： 1.在执行本合同中发生的或与本合同有关的争端，双方应通过友好协商解决，经协商在30天内不能达成协议时，应向西安仲裁委员会提请仲裁。 2.诉讼费、律师费等应由败诉方负担。 3.在诉讼期间，除正在进行诉讼部分外，合同其他部分继续执行。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⑩《国务院办公厅关于在政府采购中实施本国产品标准及相关政策的通知》国办发〔2025〕34号；（不适用） ⑪若享受以上政策优惠的企业，提供相应声明函或品目范围内产品有效认证证书。如有最新颁布的政府采购政策，按最新的文件执行。 2、保证金的退还：自中标通知书发出之日起5个工作日内退还未中标人的磋商保证金,自采购合同签订之日起5个工作日内退还中标人的磋商保证金。合同签订后，中标人需将合同扫描件发送至指定联系人邮箱，邮箱地址为2896452103@qq.com，并以邮件接收时间为退付的基准时间。 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任萍萍，联系电话：029-81206622/81206633-842）。若电子响应文件与纸质响应文件不一致的，以电子响应文件为准。 4、竞争性磋商文件中所有的商务要求均为实质性要求，供应商必须响应并满足。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磋商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3.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 商务应答表.docx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分项报价表.docx 标的清单 报价表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中小企业声明函 残疾人福利性单位声明函 标的清单 商务应答表.docx 服务内容及服务要求应答表.docx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项目实际需求提供实施方案。内容包含：①版块划分、形式制定方案；②非遗大集整体设计与搭建；③配套活动策划与执行；④全媒体宣传推广；⑤撤展清运。满分20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总体方案及合理化建议</w:t>
            </w:r>
          </w:p>
        </w:tc>
        <w:tc>
          <w:tcPr>
            <w:tcW w:type="dxa" w:w="2492"/>
          </w:tcPr>
          <w:p>
            <w:pPr>
              <w:pStyle w:val="null3"/>
            </w:pPr>
            <w:r>
              <w:rPr>
                <w:rFonts w:ascii="仿宋_GB2312" w:hAnsi="仿宋_GB2312" w:cs="仿宋_GB2312" w:eastAsia="仿宋_GB2312"/>
              </w:rPr>
              <w:t>根据项目实际情况制定总体方案以及提出合理化建议。内容包含：①对项目背景、目标的分析；②对项目工作重点、难点的分析；③围绕本项目主题活动，整合行业资源， 充分体现活动特点；④对活动程序、活动内容、步骤方案能够明确。满分16分。每有一项缺项扣4分，每有一项内容中有缺陷，扣2分。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详细评审-总体方案及合理化建议.docx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项目实际需求提供提供质量保障方案。内容包含：①质量目标及控制方案；②质量保证措施；③问题解决方案全面具体；④拟投入设备及管理措施（提供设备品牌、型号、功能等内容的设备清单及相关证明文件）。满分16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根据项目实际需求提供应急方案，内容包含：①活动现场安保应急预案；②突发公共卫生事件防控预案；③突发事件应急预案；④针对活动的突发停电、火灾事故、人员踩踏、伤员救急、安全施工与应急预案等安全预案。满分16分。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详细评审-应急方案.docx</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供应商提供针对本项目拟投入的服务团队需涵盖创意设计、工程制作、现场搭建、撤展清运及现场维护等全环节工作人员且人员资质齐全、比例合理、持证上岗，包括但不限于：①团队人员名单、分工及职责；②团队架构分工、岗位分工职责、团队负责人、团队成员、团队岗位制度；③项目负责人及核心技术人员的同类非遗或大型文旅活动执行经验。满分9分，每有一项缺项扣3分，每有一项内容中有缺陷，扣1.5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详细评审-团队人员配置.docx</w:t>
            </w:r>
          </w:p>
        </w:tc>
      </w:tr>
      <w:tr>
        <w:tc>
          <w:tcPr>
            <w:tcW w:type="dxa" w:w="831"/>
            <w:vMerge/>
          </w:tcPr>
          <w:p/>
        </w:tc>
        <w:tc>
          <w:tcPr>
            <w:tcW w:type="dxa" w:w="1661"/>
          </w:tcPr>
          <w:p>
            <w:pPr>
              <w:pStyle w:val="null3"/>
            </w:pPr>
            <w:r>
              <w:rPr>
                <w:rFonts w:ascii="仿宋_GB2312" w:hAnsi="仿宋_GB2312" w:cs="仿宋_GB2312" w:eastAsia="仿宋_GB2312"/>
              </w:rPr>
              <w:t>保障承诺</w:t>
            </w:r>
          </w:p>
        </w:tc>
        <w:tc>
          <w:tcPr>
            <w:tcW w:type="dxa" w:w="2492"/>
          </w:tcPr>
          <w:p>
            <w:pPr>
              <w:pStyle w:val="null3"/>
            </w:pPr>
            <w:r>
              <w:rPr>
                <w:rFonts w:ascii="仿宋_GB2312" w:hAnsi="仿宋_GB2312" w:cs="仿宋_GB2312" w:eastAsia="仿宋_GB2312"/>
              </w:rPr>
              <w:t>供应商提供保障本次活动良好顺利完成的其他保障承诺，根据服务单位的实际情况，结合供应商自身实力，作出其他有利于本项目及采购人的承诺，包括但不限于：①知识产权合规承诺；②环保方案与搭建材质承诺。满分4分。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详细评审-保障承诺.docx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供应商提供2023年至今类似项目业绩，须提供完整合同并加盖供应商公章，每提供1份得1分，最高得9分，未提供或证明材料不完整不计分。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详见附件：详细评审-总体方案及合理化建议.docx</w:t>
      </w:r>
    </w:p>
    <w:p>
      <w:pPr>
        <w:pStyle w:val="null3"/>
        <w:ind w:firstLine="960"/>
      </w:pPr>
      <w:r>
        <w:rPr>
          <w:rFonts w:ascii="仿宋_GB2312" w:hAnsi="仿宋_GB2312" w:cs="仿宋_GB2312" w:eastAsia="仿宋_GB2312"/>
        </w:rPr>
        <w:t>详见附件：详细评审-质量保障方案.docx</w:t>
      </w:r>
    </w:p>
    <w:p>
      <w:pPr>
        <w:pStyle w:val="null3"/>
        <w:ind w:firstLine="960"/>
      </w:pPr>
      <w:r>
        <w:rPr>
          <w:rFonts w:ascii="仿宋_GB2312" w:hAnsi="仿宋_GB2312" w:cs="仿宋_GB2312" w:eastAsia="仿宋_GB2312"/>
        </w:rPr>
        <w:t>详见附件：详细评审-应急方案.docx</w:t>
      </w:r>
    </w:p>
    <w:p>
      <w:pPr>
        <w:pStyle w:val="null3"/>
        <w:ind w:firstLine="960"/>
      </w:pPr>
      <w:r>
        <w:rPr>
          <w:rFonts w:ascii="仿宋_GB2312" w:hAnsi="仿宋_GB2312" w:cs="仿宋_GB2312" w:eastAsia="仿宋_GB2312"/>
        </w:rPr>
        <w:t>详见附件：详细评审-团队人员配置.docx</w:t>
      </w:r>
    </w:p>
    <w:p>
      <w:pPr>
        <w:pStyle w:val="null3"/>
        <w:ind w:firstLine="960"/>
      </w:pPr>
      <w:r>
        <w:rPr>
          <w:rFonts w:ascii="仿宋_GB2312" w:hAnsi="仿宋_GB2312" w:cs="仿宋_GB2312" w:eastAsia="仿宋_GB2312"/>
        </w:rPr>
        <w:t>详见附件：详细评审-保障承诺.docx</w:t>
      </w:r>
    </w:p>
    <w:p>
      <w:pPr>
        <w:pStyle w:val="null3"/>
        <w:ind w:firstLine="960"/>
      </w:pPr>
      <w:r>
        <w:rPr>
          <w:rFonts w:ascii="仿宋_GB2312" w:hAnsi="仿宋_GB2312" w:cs="仿宋_GB2312" w:eastAsia="仿宋_GB2312"/>
        </w:rPr>
        <w:t>详见附件：详细评审-业绩.docx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