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版本号：CG-JMYC-2026-05720260903002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2026年西乡县大河镇大河社区石马山通村道路修复工程建设项目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CG-JMYC-2026-057</w:t>
      </w:r>
      <w:r>
        <w:br/>
      </w:r>
      <w:r>
        <w:br/>
      </w:r>
      <w:r>
        <w:br/>
      </w:r>
    </w:p>
    <w:p>
      <w:pPr>
        <w:pStyle w:val="null3"/>
        <w:jc w:val="center"/>
        <w:outlineLvl w:val="2"/>
      </w:pPr>
      <w:r>
        <w:rPr>
          <w:rFonts w:ascii="仿宋_GB2312" w:hAnsi="仿宋_GB2312" w:cs="仿宋_GB2312" w:eastAsia="仿宋_GB2312"/>
          <w:sz w:val="28"/>
          <w:b/>
        </w:rPr>
        <w:t>西乡县大河镇人民政府</w:t>
      </w:r>
    </w:p>
    <w:p>
      <w:pPr>
        <w:pStyle w:val="null3"/>
        <w:jc w:val="center"/>
        <w:outlineLvl w:val="2"/>
      </w:pPr>
      <w:r>
        <w:rPr>
          <w:rFonts w:ascii="仿宋_GB2312" w:hAnsi="仿宋_GB2312" w:cs="仿宋_GB2312" w:eastAsia="仿宋_GB2312"/>
          <w:sz w:val="28"/>
          <w:b/>
        </w:rPr>
        <w:t>陕西金沐烨城项目管理有限公司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陕西金沐烨城项目管理有限公司</w:t>
      </w:r>
      <w:r>
        <w:rPr>
          <w:rFonts w:ascii="仿宋_GB2312" w:hAnsi="仿宋_GB2312" w:cs="仿宋_GB2312" w:eastAsia="仿宋_GB2312"/>
        </w:rPr>
        <w:t>（以下简称“代理机构”）受</w:t>
      </w:r>
      <w:r>
        <w:rPr>
          <w:rFonts w:ascii="仿宋_GB2312" w:hAnsi="仿宋_GB2312" w:cs="仿宋_GB2312" w:eastAsia="仿宋_GB2312"/>
        </w:rPr>
        <w:t>西乡县大河镇人民政府</w:t>
      </w:r>
      <w:r>
        <w:rPr>
          <w:rFonts w:ascii="仿宋_GB2312" w:hAnsi="仿宋_GB2312" w:cs="仿宋_GB2312" w:eastAsia="仿宋_GB2312"/>
        </w:rPr>
        <w:t>委托，拟对</w:t>
      </w:r>
      <w:r>
        <w:rPr>
          <w:rFonts w:ascii="仿宋_GB2312" w:hAnsi="仿宋_GB2312" w:cs="仿宋_GB2312" w:eastAsia="仿宋_GB2312"/>
        </w:rPr>
        <w:t>2026年西乡县大河镇大河社区石马山通村道路修复工程建设项目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CG-JMYC-2026-057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2026年西乡县大河镇大河社区石马山通村道路修复工程建设项目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西乡县大河镇大河社区石马山通村道路修复工程建设项目位于西乡县大河镇大河社区石马山村，主要建设内容为已滑坡边坡治理，清理边坡塌方，对路面悬空段进行挖除修复，重新铺筑18cm水泥混凝土面层+18cm开山石渣基层，对边坡滑塌路段增设挡土墙，修复路基边沟，增设混凝土防撞护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采购包1（2026年西乡县大河镇大河社区石马山通村道路修复工程建设项目）：属于专门面向中小企业采购。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1、主体资格：供应商为具有独⽴承担⺠事责任能⼒的企业法⼈、 事业法⼈、 其他组织或⾃然⼈， 提供营业执照（事业单位须事业单位法⼈证、 组织机构代码证等证明⽂件； 其他组织应提供合法证明⽂件、 ⾃然⼈提供⾝份证明⽂件）</w:t>
      </w:r>
    </w:p>
    <w:p>
      <w:pPr>
        <w:pStyle w:val="null3"/>
      </w:pPr>
      <w:r>
        <w:rPr>
          <w:rFonts w:ascii="仿宋_GB2312" w:hAnsi="仿宋_GB2312" w:cs="仿宋_GB2312" w:eastAsia="仿宋_GB2312"/>
        </w:rPr>
        <w:t>2、供应商资质要求：供应商具有公路工程或市政公用工程施工总承包三级以上（含三级）资质，具有有效的安全生产许可证；</w:t>
      </w:r>
    </w:p>
    <w:p>
      <w:pPr>
        <w:pStyle w:val="null3"/>
      </w:pPr>
      <w:r>
        <w:rPr>
          <w:rFonts w:ascii="仿宋_GB2312" w:hAnsi="仿宋_GB2312" w:cs="仿宋_GB2312" w:eastAsia="仿宋_GB2312"/>
        </w:rPr>
        <w:t>3、拟派项⽬负责⼈资质和专业要求：拟派项目经理须具有公路工程或市政公用工程专业注册建造师二级（含二级）以上资格和安全生产考核合格B证，且无在建项目；</w:t>
      </w:r>
    </w:p>
    <w:p>
      <w:pPr>
        <w:pStyle w:val="null3"/>
      </w:pPr>
      <w:r>
        <w:rPr>
          <w:rFonts w:ascii="仿宋_GB2312" w:hAnsi="仿宋_GB2312" w:cs="仿宋_GB2312" w:eastAsia="仿宋_GB2312"/>
        </w:rPr>
        <w:t>4、磋商代表要求：供应商应授权合法的人员参加磋商，其中法定代表人直接参加的，须出具法定代表人身份证明书及法人身份证原件；授权代表参加的，须出具法定代表人授权书及被授权人身份证原件；</w:t>
      </w:r>
    </w:p>
    <w:p>
      <w:pPr>
        <w:pStyle w:val="null3"/>
      </w:pPr>
      <w:r>
        <w:rPr>
          <w:rFonts w:ascii="仿宋_GB2312" w:hAnsi="仿宋_GB2312" w:cs="仿宋_GB2312" w:eastAsia="仿宋_GB2312"/>
        </w:rPr>
        <w:t>5、政府采购供应商资格承诺函：供应商须按照汉财办采管[2024]20号文件通知要求，提供《汉中市政府采购供应商资格承诺函》；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西乡县大河镇人民政府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西乡县大河镇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0916—6313961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陕西金沐烨城项目管理有限公司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陕西省汉中市汉台区陕西省汉中市汉台区汉中路街道办事处南关正街汉上第一街12幢办公楼19层1-4室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18392621855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华小平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采购包1：1,040,919.33元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开户名称：陕西金沐烨城项目管理有限公司</w:t>
            </w:r>
          </w:p>
          <w:p>
            <w:pPr>
              <w:pStyle w:val="null3"/>
            </w:pPr>
            <w:r>
              <w:rPr>
                <w:rFonts w:ascii="仿宋_GB2312" w:hAnsi="仿宋_GB2312" w:cs="仿宋_GB2312" w:eastAsia="仿宋_GB2312"/>
              </w:rPr>
              <w:t>开户银行：中国银行汉中陕西理工大学支行</w:t>
            </w:r>
          </w:p>
          <w:p>
            <w:pPr>
              <w:pStyle w:val="null3"/>
            </w:pPr>
            <w:r>
              <w:rPr>
                <w:rFonts w:ascii="仿宋_GB2312" w:hAnsi="仿宋_GB2312" w:cs="仿宋_GB2312" w:eastAsia="仿宋_GB2312"/>
              </w:rPr>
              <w:t>银行账号：103313983701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招标代理服务收费管理暂行办法》计价[2002]1980号和《国家发改委关于招标代理服务收费有关问题的通知》（发改办价格〔2003〕857号）文件标准计算。2、缴费采用银行转账方式一次性交纳。 开户名称：陕西金沐烨城项目管理有限公司 开户银行：中国工商银行股份有限公司汉中北团结街支行 银行账号：2606050309200192113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西乡县大河镇人民政府</w:t>
      </w:r>
      <w:r>
        <w:rPr>
          <w:rFonts w:ascii="仿宋_GB2312" w:hAnsi="仿宋_GB2312" w:cs="仿宋_GB2312" w:eastAsia="仿宋_GB2312"/>
        </w:rPr>
        <w:t>和</w:t>
      </w:r>
      <w:r>
        <w:rPr>
          <w:rFonts w:ascii="仿宋_GB2312" w:hAnsi="仿宋_GB2312" w:cs="仿宋_GB2312" w:eastAsia="仿宋_GB2312"/>
        </w:rPr>
        <w:t>陕西金沐烨城项目管理有限公司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西乡县大河镇人民政府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陕西金沐烨城项目管理有限公司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西乡县大河镇人民政府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陕西金沐烨城项目管理有限公司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符合国家现⾏有关施⼯质量验收规范“合格”标准。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联系人：陈强</w:t>
      </w:r>
    </w:p>
    <w:p>
      <w:pPr>
        <w:pStyle w:val="null3"/>
      </w:pPr>
      <w:r>
        <w:rPr>
          <w:rFonts w:ascii="仿宋_GB2312" w:hAnsi="仿宋_GB2312" w:cs="仿宋_GB2312" w:eastAsia="仿宋_GB2312"/>
        </w:rPr>
        <w:t>联系电话：18392621855</w:t>
      </w:r>
    </w:p>
    <w:p>
      <w:pPr>
        <w:pStyle w:val="null3"/>
      </w:pPr>
      <w:r>
        <w:rPr>
          <w:rFonts w:ascii="仿宋_GB2312" w:hAnsi="仿宋_GB2312" w:cs="仿宋_GB2312" w:eastAsia="仿宋_GB2312"/>
        </w:rPr>
        <w:t>地址：陕西省汉中市西乡县西乡县汉⽩路西段中图⽯油东10⽶院内代理部</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1,040,919.33</w:t>
      </w:r>
    </w:p>
    <w:p>
      <w:pPr>
        <w:pStyle w:val="null3"/>
      </w:pPr>
      <w:r>
        <w:rPr>
          <w:rFonts w:ascii="仿宋_GB2312" w:hAnsi="仿宋_GB2312" w:cs="仿宋_GB2312" w:eastAsia="仿宋_GB2312"/>
        </w:rPr>
        <w:t>采购包最高限价（元）: 1,040,919.33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通村道路修复</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1,040,919.33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标的名称：通村道路修复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一、工程概况：</w:t>
            </w:r>
          </w:p>
          <w:p>
            <w:pPr>
              <w:pStyle w:val="null3"/>
            </w:pPr>
            <w:r>
              <w:rPr>
                <w:rFonts w:ascii="仿宋_GB2312" w:hAnsi="仿宋_GB2312" w:cs="仿宋_GB2312" w:eastAsia="仿宋_GB2312"/>
              </w:rPr>
              <w:t xml:space="preserve">  2026年西乡县大河镇大河社区石马山通村道路修复工程建设项目位于西乡县大河镇大河社区石马山村，主要建设内容为已滑坡边坡治理，清理边坡塌方，对路面悬空段进行挖除修复，重新铺筑18cm水泥混凝土面层+18cm开山石渣基层，对边坡滑塌路段增设挡土墙，修复路基边沟，增设混凝土防撞护栏。</w:t>
            </w:r>
          </w:p>
          <w:p>
            <w:pPr>
              <w:pStyle w:val="null3"/>
            </w:pPr>
            <w:r>
              <w:rPr>
                <w:rFonts w:ascii="仿宋_GB2312" w:hAnsi="仿宋_GB2312" w:cs="仿宋_GB2312" w:eastAsia="仿宋_GB2312"/>
              </w:rPr>
              <w:t>二、编制依据：</w:t>
            </w:r>
          </w:p>
          <w:p>
            <w:pPr>
              <w:pStyle w:val="null3"/>
            </w:pPr>
            <w:r>
              <w:rPr>
                <w:rFonts w:ascii="仿宋_GB2312" w:hAnsi="仿宋_GB2312" w:cs="仿宋_GB2312" w:eastAsia="仿宋_GB2312"/>
              </w:rPr>
              <w:t>1、汉中信智源路桥设计有限公司设计的工程施工图；</w:t>
            </w:r>
          </w:p>
          <w:p>
            <w:pPr>
              <w:pStyle w:val="null3"/>
            </w:pPr>
            <w:r>
              <w:rPr>
                <w:rFonts w:ascii="仿宋_GB2312" w:hAnsi="仿宋_GB2312" w:cs="仿宋_GB2312" w:eastAsia="仿宋_GB2312"/>
              </w:rPr>
              <w:t>2、《公路工程建设项目概算预算编制办法》（JTG 3830-2018）；</w:t>
            </w:r>
          </w:p>
          <w:p>
            <w:pPr>
              <w:pStyle w:val="null3"/>
            </w:pPr>
            <w:r>
              <w:rPr>
                <w:rFonts w:ascii="仿宋_GB2312" w:hAnsi="仿宋_GB2312" w:cs="仿宋_GB2312" w:eastAsia="仿宋_GB2312"/>
              </w:rPr>
              <w:t>3、《公路工程预算定额》（JTG/T 3832-2018)；</w:t>
            </w:r>
          </w:p>
          <w:p>
            <w:pPr>
              <w:pStyle w:val="null3"/>
            </w:pPr>
            <w:r>
              <w:rPr>
                <w:rFonts w:ascii="仿宋_GB2312" w:hAnsi="仿宋_GB2312" w:cs="仿宋_GB2312" w:eastAsia="仿宋_GB2312"/>
              </w:rPr>
              <w:t>4、《公路工程机械台班费用定额》JTG/T3833-2018；</w:t>
            </w:r>
          </w:p>
          <w:p>
            <w:pPr>
              <w:pStyle w:val="null3"/>
            </w:pPr>
            <w:r>
              <w:rPr>
                <w:rFonts w:ascii="仿宋_GB2312" w:hAnsi="仿宋_GB2312" w:cs="仿宋_GB2312" w:eastAsia="仿宋_GB2312"/>
              </w:rPr>
              <w:t>5、《陕西省公路工程补充预算定额》(试行)；</w:t>
            </w:r>
          </w:p>
          <w:p>
            <w:pPr>
              <w:pStyle w:val="null3"/>
            </w:pPr>
            <w:r>
              <w:rPr>
                <w:rFonts w:ascii="仿宋_GB2312" w:hAnsi="仿宋_GB2312" w:cs="仿宋_GB2312" w:eastAsia="仿宋_GB2312"/>
              </w:rPr>
              <w:t>6、中华人民共和国交通运输部公告2018年第86号文）。</w:t>
            </w:r>
          </w:p>
          <w:p>
            <w:pPr>
              <w:pStyle w:val="null3"/>
            </w:pPr>
            <w:r>
              <w:rPr>
                <w:rFonts w:ascii="仿宋_GB2312" w:hAnsi="仿宋_GB2312" w:cs="仿宋_GB2312" w:eastAsia="仿宋_GB2312"/>
              </w:rPr>
              <w:t>7、根据陕西省交通运输厅关于印发《&lt;公路工程建设项目投资估算编制办法&gt;&lt;公路工程建设项目概算预算编制办法&gt;补充规定》的通知（陕交发[2019]93号）规定，陕西省公路工程生产工人人工单价为105.89元/工日。</w:t>
            </w:r>
          </w:p>
          <w:p>
            <w:pPr>
              <w:pStyle w:val="null3"/>
            </w:pPr>
            <w:r>
              <w:rPr>
                <w:rFonts w:ascii="仿宋_GB2312" w:hAnsi="仿宋_GB2312" w:cs="仿宋_GB2312" w:eastAsia="仿宋_GB2312"/>
              </w:rPr>
              <w:t>8、外购材料及部分地方材料单价根据陕西省交通厅定额站发布的2026年6月份信息价、汉中市建设工程造价信息2026年6月价格信息结合调查市场价格加计至工地运杂费，运杂费按陕西交通运输工程造价事务中心关于印发《陕西省公路工程主要材料运杂费参考标准》的通知计算。</w:t>
            </w:r>
          </w:p>
          <w:p>
            <w:pPr>
              <w:pStyle w:val="null3"/>
            </w:pPr>
            <w:r>
              <w:rPr>
                <w:rFonts w:ascii="仿宋_GB2312" w:hAnsi="仿宋_GB2312" w:cs="仿宋_GB2312" w:eastAsia="仿宋_GB2312"/>
              </w:rPr>
              <w:t>9、机械使用费按《公路工程机械台班费用定额》JTG/T 3833-2018》执行，可变费用中涉及的柴油、电等单价均为当地市场价格，不变费用按交办公路[2016]66号文规定调整。车船使用税和养路费标准按2012年1月10日陕西省人民政府令第153号公布的《陕西省车船税征收办法》。</w:t>
            </w:r>
          </w:p>
          <w:p>
            <w:pPr>
              <w:pStyle w:val="null3"/>
            </w:pPr>
            <w:r>
              <w:rPr>
                <w:rFonts w:ascii="仿宋_GB2312" w:hAnsi="仿宋_GB2312" w:cs="仿宋_GB2312" w:eastAsia="仿宋_GB2312"/>
              </w:rPr>
              <w:t>10、交通运输部办公厅关于《公路工程营业税改征增值税计价依据调整方案》的通知(交办公路[2016]66号)。</w:t>
            </w:r>
          </w:p>
          <w:p>
            <w:pPr>
              <w:pStyle w:val="null3"/>
            </w:pPr>
            <w:r>
              <w:rPr>
                <w:rFonts w:ascii="仿宋_GB2312" w:hAnsi="仿宋_GB2312" w:cs="仿宋_GB2312" w:eastAsia="仿宋_GB2312"/>
              </w:rPr>
              <w:t>11、交通运输部公告2019年第26号文件税金调整为9%。</w:t>
            </w:r>
          </w:p>
          <w:p>
            <w:pPr>
              <w:pStyle w:val="null3"/>
            </w:pPr>
            <w:r>
              <w:rPr>
                <w:rFonts w:ascii="仿宋_GB2312" w:hAnsi="仿宋_GB2312" w:cs="仿宋_GB2312" w:eastAsia="仿宋_GB2312"/>
              </w:rPr>
              <w:t>12、费率标准按2018新编办法规定计取。</w:t>
            </w:r>
          </w:p>
          <w:p>
            <w:pPr>
              <w:pStyle w:val="null3"/>
            </w:pPr>
            <w:r>
              <w:rPr>
                <w:rFonts w:ascii="仿宋_GB2312" w:hAnsi="仿宋_GB2312" w:cs="仿宋_GB2312" w:eastAsia="仿宋_GB2312"/>
              </w:rPr>
              <w:t xml:space="preserve"> 利润按直接费与间接费之和扣除规费的7.42%计算；税金按直接费、间接费与利润之和乘以建筑业增值税率计算，本项目建筑业增值税税率为9%。</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符合国家现⾏有关施⼯质量验收规范“合格”要求。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工期：90日历天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供应商为具有独⽴承担⺠事责任能⼒的企业法⼈、 事业法⼈、 其他组织或⾃然⼈， 提供营业执照（事业单位须事业单位法⼈证、 组织机构代码证等证明⽂件； 其他组织应提供合法证明⽂件、 ⾃然⼈提供⾝份证明⽂件）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供应商具有公路工程或市政公用工程施工总承包三级以上（含三级）资质，具有有效的安全生产许可证；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拟派项⽬负责⼈资质和专业要求</w:t>
            </w:r>
          </w:p>
        </w:tc>
        <w:tc>
          <w:tcPr>
            <w:tcW w:type="dxa" w:w="3322"/>
          </w:tcPr>
          <w:p>
            <w:pPr>
              <w:pStyle w:val="null3"/>
            </w:pPr>
            <w:r>
              <w:rPr>
                <w:rFonts w:ascii="仿宋_GB2312" w:hAnsi="仿宋_GB2312" w:cs="仿宋_GB2312" w:eastAsia="仿宋_GB2312"/>
              </w:rPr>
              <w:t>拟派项目经理须具有公路工程或市政公用工程专业注册建造师二级（含二级）以上资格和安全生产考核合格B证，且无在建项目；</w:t>
            </w:r>
          </w:p>
        </w:tc>
        <w:tc>
          <w:tcPr>
            <w:tcW w:type="dxa" w:w="1661"/>
          </w:tcPr>
          <w:p>
            <w:pPr>
              <w:pStyle w:val="null3"/>
            </w:pPr>
            <w:r>
              <w:rPr>
                <w:rFonts w:ascii="仿宋_GB2312" w:hAnsi="仿宋_GB2312" w:cs="仿宋_GB2312" w:eastAsia="仿宋_GB2312"/>
              </w:rPr>
              <w:t>项目经理和主要技术管理人员配置.docx 资格证明文件.docx 拟委任的项目经理情况表.docx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磋商代表要求</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供应商应授权合法的人员参加磋商，其中法定代表人直接参加的，须出具法定代表人身份证明书及法人身份证原件；授权代表参加的，须出具法定代表人授权书及被授权人身份证原件；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政府采购供应商资格承诺函</w:t>
            </w:r>
          </w:p>
        </w:tc>
        <w:tc>
          <w:tcPr>
            <w:tcW w:type="dxa" w:w="3322"/>
          </w:tcPr>
          <w:p>
            <w:pPr>
              <w:pStyle w:val="null3"/>
            </w:pPr>
            <w:r>
              <w:rPr>
                <w:rFonts w:ascii="仿宋_GB2312" w:hAnsi="仿宋_GB2312" w:cs="仿宋_GB2312" w:eastAsia="仿宋_GB2312"/>
              </w:rPr>
              <w:t>供应商须按照汉财办采管[2024]20号文件通知要求，提供《汉中市政府采购供应商资格承诺函》；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磋商响应文件按照磋商文件要求的格式编写，内容无重大缺漏项。</w:t>
            </w:r>
          </w:p>
        </w:tc>
        <w:tc>
          <w:tcPr>
            <w:tcW w:type="dxa" w:w="1661"/>
          </w:tcPr>
          <w:p>
            <w:pPr>
              <w:pStyle w:val="null3"/>
            </w:pPr>
            <w:r>
              <w:rPr>
                <w:rFonts w:ascii="仿宋_GB2312" w:hAnsi="仿宋_GB2312" w:cs="仿宋_GB2312" w:eastAsia="仿宋_GB2312"/>
              </w:rPr>
              <w:t>项目经理和主要技术管理人员配置.docx 技术方案.docx 已标价工程量清单 磋商保证金.docx 技术服务合同条款及其他商务要求应答表.docx 中小企业声明函 资格证明文件.docx 响应文件封面 类似业绩情况表.docx 政府采购供应商拒绝政府采购领域商业贿赂承诺书.docx 项目管理机构组成表 残疾人福利性单位声明函 报价函 标的清单 响应函 监狱企业的证明文件 拟委任的项目经理情况表.docx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项目经理和主要技术管理人员配置.docx 技术方案.docx 已标价工程量清单 磋商保证金.docx 技术服务合同条款及其他商务要求应答表.docx 中小企业声明函 资格证明文件.docx 响应文件封面 类似业绩情况表.docx 政府采购供应商拒绝政府采购领域商业贿赂承诺书.docx 项目管理机构组成表 残疾人福利性单位声明函 报价函 标的清单 响应函 监狱企业的证明文件 拟委任的项目经理情况表.docx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磋商报价未超过招标最高限价或采购预算。</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技术服务合同条款及其他商务要求应答表.docx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磋商保证金符合采购文件要求。</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⽆法律、法规和采购⽂件规定的其他投标⽆效情形。</w:t>
            </w:r>
          </w:p>
        </w:tc>
        <w:tc>
          <w:tcPr>
            <w:tcW w:type="dxa" w:w="1661"/>
          </w:tcPr>
          <w:p>
            <w:pPr>
              <w:pStyle w:val="null3"/>
            </w:pPr>
            <w:r>
              <w:rPr>
                <w:rFonts w:ascii="仿宋_GB2312" w:hAnsi="仿宋_GB2312" w:cs="仿宋_GB2312" w:eastAsia="仿宋_GB2312"/>
              </w:rPr>
              <w:t>项目经理和主要技术管理人员配置.docx 技术方案.docx 已标价工程量清单 磋商保证金.docx 技术服务合同条款及其他商务要求应答表.docx 中小企业声明函 资格证明文件.docx 响应文件封面 类似业绩情况表.docx 政府采购供应商拒绝政府采购领域商业贿赂承诺书.docx 项目管理机构组成表 残疾人福利性单位声明函 报价函 标的清单 响应函 监狱企业的证明文件 拟委任的项目经理情况表.docx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投标人针对本项目编制完整的施工方案，内容包含但不限于：①边坡治理方案②路面悬空修复施工方案③挡土墙施工方案④路基边沟修复方案⑤混凝土防撞护栏增设施工方案。评审标准：各项内容全面详细、阐述条理清晰详尽、符合本项目采购需求、对项目的理解准确、针对性强能有效保障本项目实施得 10.0 分；评审内容任意一项缺项扣 2.0 分，扣完为止；评审内容有缺陷的每项缺陷扣 1 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新技术、新材料、新工艺</w:t>
            </w:r>
          </w:p>
        </w:tc>
        <w:tc>
          <w:tcPr>
            <w:tcW w:type="dxa" w:w="2492"/>
          </w:tcPr>
          <w:p>
            <w:pPr>
              <w:pStyle w:val="null3"/>
            </w:pPr>
            <w:r>
              <w:rPr>
                <w:rFonts w:ascii="仿宋_GB2312" w:hAnsi="仿宋_GB2312" w:cs="仿宋_GB2312" w:eastAsia="仿宋_GB2312"/>
              </w:rPr>
              <w:t>每提供 1 项国家或行业推广的适用于公路边坡治理、路基加固、混凝土路面施工的新技术、新材料、新工艺应用方案，且方案明确应用部位、预期效果及实施步骤，得 1 分，最高得 3 分；仅提及技术名称，无具体应用方案的，不得分。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主要技术、管理人员配置</w:t>
            </w:r>
          </w:p>
        </w:tc>
        <w:tc>
          <w:tcPr>
            <w:tcW w:type="dxa" w:w="2492"/>
          </w:tcPr>
          <w:p>
            <w:pPr>
              <w:pStyle w:val="null3"/>
            </w:pPr>
            <w:r>
              <w:rPr>
                <w:rFonts w:ascii="仿宋_GB2312" w:hAnsi="仿宋_GB2312" w:cs="仿宋_GB2312" w:eastAsia="仿宋_GB2312"/>
              </w:rPr>
              <w:t>1.供应商每提供 1 名拟派主要技术管理人员，得 1.5 分，满分 9 分；证明材料：应提供项目总工、安全员、质量员、施工员、材料员、资料员等的身份证、毕业证、职业资格证书等扫描件，未提供或提供的证明材料不全，该人员此项不得分。 2.拟派项目总工具有⾼级职称的得3分； 具有中级职称的得2分； 具有初级职称的得1分。（须提供项目总工⾝份证及职称证书扫描件， 未提供相关证明材料不得分。）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拟委任的项目经理情况表.docx</w:t>
            </w:r>
          </w:p>
          <w:p>
            <w:pPr>
              <w:pStyle w:val="null3"/>
            </w:pPr>
            <w:r>
              <w:rPr>
                <w:rFonts w:ascii="仿宋_GB2312" w:hAnsi="仿宋_GB2312" w:cs="仿宋_GB2312" w:eastAsia="仿宋_GB2312"/>
              </w:rPr>
              <w:t>项目经理和主要技术管理人员配置.docx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提供2023年⾄今的类似项⽬业绩证明材料（以中标通知书和合同为准），每提供1个得2.5分，最⾼得5分；未提供不得分。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类似业绩情况表.docx</w:t>
            </w:r>
          </w:p>
        </w:tc>
      </w:tr>
      <w:tr>
        <w:tc>
          <w:tcPr>
            <w:tcW w:type="dxa" w:w="831"/>
            <w:vMerge/>
          </w:tcPr>
          <w:p/>
        </w:tc>
        <w:tc>
          <w:tcPr>
            <w:tcW w:type="dxa" w:w="1661"/>
          </w:tcPr>
          <w:p>
            <w:pPr>
              <w:pStyle w:val="null3"/>
            </w:pPr>
            <w:r>
              <w:rPr>
                <w:rFonts w:ascii="仿宋_GB2312" w:hAnsi="仿宋_GB2312" w:cs="仿宋_GB2312" w:eastAsia="仿宋_GB2312"/>
              </w:rPr>
              <w:t>工程质量技术组织措施</w:t>
            </w:r>
          </w:p>
        </w:tc>
        <w:tc>
          <w:tcPr>
            <w:tcW w:type="dxa" w:w="2492"/>
          </w:tcPr>
          <w:p>
            <w:pPr>
              <w:pStyle w:val="null3"/>
            </w:pPr>
            <w:r>
              <w:rPr>
                <w:rFonts w:ascii="仿宋_GB2312" w:hAnsi="仿宋_GB2312" w:cs="仿宋_GB2312" w:eastAsia="仿宋_GB2312"/>
              </w:rPr>
              <w:t>投标人针对本项目编制完整的工程质量技术组织措施，内容包含但不限于：①质量管理组织架构图②原材料进场检验制度③各分项工程施工工序质量控制点清单（边坡治理、挡土墙、基层面层、护栏、边沟等）④隐蔽工程验收程序⑤竣工验收流程及标准。评审标准：各项内容全面详细、阐述条理清晰详尽、符合本项目采购需求、对项目的理解准确、针对性强能有效保障本项目实施得 10.0 分；评审内容任意一项缺项扣 2.0 分，扣完为止；评审内容有缺陷的每项缺陷扣 1 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安全文明施工保证体系与措施</w:t>
            </w:r>
          </w:p>
        </w:tc>
        <w:tc>
          <w:tcPr>
            <w:tcW w:type="dxa" w:w="2492"/>
          </w:tcPr>
          <w:p>
            <w:pPr>
              <w:pStyle w:val="null3"/>
            </w:pPr>
            <w:r>
              <w:rPr>
                <w:rFonts w:ascii="仿宋_GB2312" w:hAnsi="仿宋_GB2312" w:cs="仿宋_GB2312" w:eastAsia="仿宋_GB2312"/>
              </w:rPr>
              <w:t>投标人针对本项目编制完整的安全文明施工保证体系与措施，内容包含但不限于：①安全生产管理制度（含安全责任制、安全教育培训计划）②安全防护措施清单（含边坡高危作业、基坑临边防护、临时用电安全、挡土墙及护栏支模浇筑安全、交通导行防护）③文明施工措施（含现场围挡、土石方及材料堆放、作业场地清理）④环境保护措施（含弃土处置、扬尘控制、噪音控制、施工污水及雨水处置）⑤边坡失稳、坍塌专项应急预案。评审标准：各项内容全面详细、阐述条理清晰详尽、符合本项目采购需求、对项目的理解准确、针对性强能有效保障本项目实施得 10.0 分；评审内容任意一项缺项扣 2.0 分，扣完为止；评审内容有缺陷的每项缺陷扣 1 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施工进度及工期保证措施</w:t>
            </w:r>
          </w:p>
        </w:tc>
        <w:tc>
          <w:tcPr>
            <w:tcW w:type="dxa" w:w="2492"/>
          </w:tcPr>
          <w:p>
            <w:pPr>
              <w:pStyle w:val="null3"/>
            </w:pPr>
            <w:r>
              <w:rPr>
                <w:rFonts w:ascii="仿宋_GB2312" w:hAnsi="仿宋_GB2312" w:cs="仿宋_GB2312" w:eastAsia="仿宋_GB2312"/>
              </w:rPr>
              <w:t>1. 进度计划完整性：提供详细的横道图或网络图，明确各分项工程的起止时间和关键线路（边坡塌方清理、边坡治理、悬空段挖除、挡土墙、基层面层铺筑、边沟、防撞护栏等），得 3 分；提供简单的进度计划，明确主要分项工程的起止时间，得 2 分；仅提供总工期安排，无分项工程进度计划，得 1 分；未提供不得分。2. 工期保证措施：同时提供人员保障、材料保障、设备保障、应急赶工措施，得 4 分；提供 3 项保障措施，得 3 分；提供 1‑2 项保障措施，得 1 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劳动力及主要施工设备配置</w:t>
            </w:r>
          </w:p>
        </w:tc>
        <w:tc>
          <w:tcPr>
            <w:tcW w:type="dxa" w:w="2492"/>
          </w:tcPr>
          <w:p>
            <w:pPr>
              <w:pStyle w:val="null3"/>
            </w:pPr>
            <w:r>
              <w:rPr>
                <w:rFonts w:ascii="仿宋_GB2312" w:hAnsi="仿宋_GB2312" w:cs="仿宋_GB2312" w:eastAsia="仿宋_GB2312"/>
              </w:rPr>
              <w:t>1. 劳动力配置（4 分）（1）工种配置明细：完整列明普工、各专业技术工种、特种作业工种（土石方作业、钢筋工、模板工、混凝土工、边坡作业特种工等）的具体人数，工种覆盖本项目全部施工工序，得 2 分；仅列明主要工种人数，缺失部分辅助工种，得 1 分；仅提供总人数，未细分任何工种不得分。（2）进出场时间计划：明确标注每个工种的准确进场日期、退场日期，得 1 分；仅标注大致进场阶段（如 “施工前期”“主体阶段”），得 0.5 分；未标注任何进场时间不得分。（3）与进度计划匹配性：劳动力投入节奏与施工总进度计划、关键线路工序节点完全对应，高峰期用工配置充足，得 1 分；基本匹配施工进度安排，局部偏差不影响关键工期，得 0.5 分；配置计划与进度计划明显矛盾不得分。2. 主要施工设备配置（4 分）（1）设备清单完整性：完整列明所有核心施工设备的名称、规格型号、核心参数、数量（挖掘机、破碎机、装载机、混凝土搅拌及运输设备、振捣设备、压实设备等），得 2 分；列明设备名称及数量，缺失规格型号或参数，得 1 分；仅罗列设备名称，无数量信息，不得分。（2）进场计划与设备状态：明确标注每台设备的进场时间，同时注明设备权属（自有 / 租赁）及有效期内的检验合格证明情况，得 1 分；仅标注进场时间，未说明设备状态及合规性，得 0.5 分；未标注进场时间，不得分。（3）与施工需求匹配性：设备选型、数量完全匹配本项目边坡治理、土石方开挖、混凝土浇筑、路基路面施工工艺、工程量及工期要求，核心设备有备用保障，得 1 分；基本匹配施工需求，无明显缺失，得 0.5 分；核心设备缺失或性能明显不满足施工要求不得分。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以各供应商满足磋商文件要求且最后磋商报价最低的为磋商基准价，其价格分为满分。其他供应商的价格分统一按照下列公式计算：价格分＝（磋商基准价/最后磋商报价）×35（得分保留两位小数）</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详见附件：类似业绩情况表.docx</w:t>
      </w:r>
    </w:p>
    <w:p>
      <w:pPr>
        <w:pStyle w:val="null3"/>
        <w:ind w:firstLine="960"/>
      </w:pPr>
      <w:r>
        <w:rPr>
          <w:rFonts w:ascii="仿宋_GB2312" w:hAnsi="仿宋_GB2312" w:cs="仿宋_GB2312" w:eastAsia="仿宋_GB2312"/>
        </w:rPr>
        <w:t>详见附件：拟委任的项目经理情况表.docx</w:t>
      </w:r>
    </w:p>
    <w:p>
      <w:pPr>
        <w:pStyle w:val="null3"/>
        <w:ind w:firstLine="960"/>
      </w:pPr>
      <w:r>
        <w:rPr>
          <w:rFonts w:ascii="仿宋_GB2312" w:hAnsi="仿宋_GB2312" w:cs="仿宋_GB2312" w:eastAsia="仿宋_GB2312"/>
        </w:rPr>
        <w:t>详见附件：项目经理和主要技术管理人员配置.docx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详见附件：公路工程施工合同.docx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