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EE1C5">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eastAsia" w:ascii="仿宋" w:hAnsi="仿宋" w:eastAsia="仿宋" w:cs="仿宋"/>
          <w:b/>
          <w:color w:val="auto"/>
          <w:sz w:val="32"/>
        </w:rPr>
      </w:pPr>
    </w:p>
    <w:p w14:paraId="1AF254A1">
      <w:pPr>
        <w:jc w:val="center"/>
        <w:rPr>
          <w:rFonts w:hint="eastAsia" w:ascii="仿宋" w:hAnsi="仿宋" w:eastAsia="仿宋" w:cs="仿宋"/>
          <w:b/>
          <w:color w:val="333333"/>
          <w:sz w:val="48"/>
          <w:szCs w:val="48"/>
        </w:rPr>
      </w:pPr>
    </w:p>
    <w:p w14:paraId="20497FD5">
      <w:pPr>
        <w:jc w:val="center"/>
        <w:rPr>
          <w:rFonts w:hint="eastAsia" w:ascii="仿宋" w:hAnsi="仿宋" w:eastAsia="仿宋" w:cs="仿宋"/>
          <w:b/>
          <w:sz w:val="48"/>
          <w:szCs w:val="48"/>
        </w:rPr>
      </w:pPr>
      <w:r>
        <w:rPr>
          <w:rFonts w:hint="eastAsia" w:ascii="仿宋" w:hAnsi="仿宋" w:eastAsia="仿宋" w:cs="仿宋"/>
          <w:b/>
          <w:color w:val="333333"/>
          <w:sz w:val="48"/>
          <w:szCs w:val="48"/>
        </w:rPr>
        <w:t>202</w:t>
      </w:r>
      <w:r>
        <w:rPr>
          <w:rFonts w:hint="eastAsia" w:ascii="仿宋" w:hAnsi="仿宋" w:eastAsia="仿宋" w:cs="仿宋"/>
          <w:b/>
          <w:color w:val="333333"/>
          <w:sz w:val="48"/>
          <w:szCs w:val="48"/>
          <w:lang w:val="en-US" w:eastAsia="zh-CN"/>
        </w:rPr>
        <w:t>6</w:t>
      </w:r>
      <w:r>
        <w:rPr>
          <w:rFonts w:hint="eastAsia" w:ascii="仿宋" w:hAnsi="仿宋" w:eastAsia="仿宋" w:cs="仿宋"/>
          <w:b/>
          <w:color w:val="333333"/>
          <w:sz w:val="48"/>
          <w:szCs w:val="48"/>
        </w:rPr>
        <w:t>年馆藏纸质图书</w:t>
      </w:r>
      <w:bookmarkStart w:id="0" w:name="_GoBack"/>
      <w:bookmarkEnd w:id="0"/>
      <w:r>
        <w:rPr>
          <w:rFonts w:hint="eastAsia" w:ascii="仿宋" w:hAnsi="仿宋" w:eastAsia="仿宋" w:cs="仿宋"/>
          <w:b/>
          <w:color w:val="333333"/>
          <w:sz w:val="48"/>
          <w:szCs w:val="48"/>
        </w:rPr>
        <w:t>采购项目</w:t>
      </w:r>
    </w:p>
    <w:p w14:paraId="5FC3DE00">
      <w:pPr>
        <w:pStyle w:val="3"/>
        <w:ind w:firstLine="420" w:firstLineChars="200"/>
        <w:jc w:val="center"/>
        <w:rPr>
          <w:rFonts w:hint="eastAsia" w:ascii="仿宋" w:hAnsi="仿宋" w:eastAsia="仿宋" w:cs="仿宋"/>
          <w:szCs w:val="32"/>
        </w:rPr>
      </w:pPr>
    </w:p>
    <w:p w14:paraId="41E42110">
      <w:pPr>
        <w:pStyle w:val="3"/>
        <w:ind w:firstLine="420" w:firstLineChars="200"/>
        <w:jc w:val="center"/>
        <w:rPr>
          <w:rFonts w:hint="eastAsia" w:ascii="仿宋" w:hAnsi="仿宋" w:eastAsia="仿宋" w:cs="仿宋"/>
          <w:szCs w:val="32"/>
        </w:rPr>
      </w:pPr>
    </w:p>
    <w:p w14:paraId="4CEF3DA7">
      <w:pPr>
        <w:pStyle w:val="3"/>
        <w:ind w:firstLine="420" w:firstLineChars="200"/>
        <w:rPr>
          <w:rFonts w:hint="eastAsia" w:ascii="仿宋" w:hAnsi="仿宋" w:eastAsia="仿宋" w:cs="仿宋"/>
          <w:szCs w:val="32"/>
        </w:rPr>
      </w:pPr>
    </w:p>
    <w:p w14:paraId="615452FF">
      <w:pPr>
        <w:jc w:val="center"/>
        <w:rPr>
          <w:rFonts w:hint="eastAsia" w:ascii="仿宋" w:hAnsi="仿宋" w:eastAsia="仿宋" w:cs="仿宋"/>
          <w:b/>
          <w:color w:val="333333"/>
          <w:sz w:val="48"/>
          <w:szCs w:val="48"/>
        </w:rPr>
      </w:pPr>
      <w:r>
        <w:rPr>
          <w:rFonts w:hint="eastAsia" w:ascii="仿宋" w:hAnsi="仿宋" w:eastAsia="仿宋" w:cs="仿宋"/>
          <w:b/>
          <w:color w:val="333333"/>
          <w:sz w:val="48"/>
          <w:szCs w:val="48"/>
        </w:rPr>
        <w:t>合　　同</w:t>
      </w:r>
    </w:p>
    <w:p w14:paraId="3B50BF2E">
      <w:pPr>
        <w:pStyle w:val="2"/>
        <w:rPr>
          <w:rFonts w:hint="eastAsia" w:ascii="仿宋" w:hAnsi="仿宋" w:eastAsia="仿宋" w:cs="仿宋"/>
        </w:rPr>
      </w:pPr>
    </w:p>
    <w:p w14:paraId="440EBBE8">
      <w:pPr>
        <w:pStyle w:val="3"/>
        <w:ind w:firstLine="420" w:firstLineChars="200"/>
        <w:rPr>
          <w:rFonts w:hint="eastAsia" w:ascii="仿宋" w:hAnsi="仿宋" w:eastAsia="仿宋" w:cs="仿宋"/>
          <w:szCs w:val="32"/>
          <w:u w:val="single"/>
        </w:rPr>
      </w:pPr>
    </w:p>
    <w:p w14:paraId="2E771F47">
      <w:pPr>
        <w:pStyle w:val="3"/>
        <w:ind w:firstLine="420" w:firstLineChars="200"/>
        <w:rPr>
          <w:rFonts w:hint="eastAsia" w:ascii="仿宋" w:hAnsi="仿宋" w:eastAsia="仿宋" w:cs="仿宋"/>
          <w:szCs w:val="32"/>
        </w:rPr>
      </w:pPr>
    </w:p>
    <w:p w14:paraId="7711CB6F">
      <w:pPr>
        <w:pStyle w:val="3"/>
        <w:ind w:firstLine="420" w:firstLineChars="200"/>
        <w:rPr>
          <w:rFonts w:hint="eastAsia" w:ascii="仿宋" w:hAnsi="仿宋" w:eastAsia="仿宋" w:cs="仿宋"/>
          <w:szCs w:val="32"/>
        </w:rPr>
      </w:pPr>
    </w:p>
    <w:p w14:paraId="596D15ED">
      <w:pPr>
        <w:pStyle w:val="3"/>
        <w:ind w:firstLine="420" w:firstLineChars="200"/>
        <w:rPr>
          <w:rFonts w:hint="eastAsia" w:ascii="仿宋" w:hAnsi="仿宋" w:eastAsia="仿宋" w:cs="仿宋"/>
          <w:szCs w:val="32"/>
        </w:rPr>
      </w:pPr>
    </w:p>
    <w:p w14:paraId="1DBD2E26">
      <w:pPr>
        <w:pStyle w:val="3"/>
        <w:ind w:firstLine="420" w:firstLineChars="200"/>
        <w:rPr>
          <w:rFonts w:hint="eastAsia" w:ascii="仿宋" w:hAnsi="仿宋" w:eastAsia="仿宋" w:cs="仿宋"/>
          <w:szCs w:val="32"/>
        </w:rPr>
      </w:pPr>
    </w:p>
    <w:p w14:paraId="5BA4C746">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color w:val="auto"/>
          <w:sz w:val="32"/>
        </w:rPr>
        <w:t>合同编号：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SZT2026-SN-SC-ZC-HW-0497</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b/>
          <w:bCs/>
          <w:color w:val="auto"/>
          <w:sz w:val="24"/>
          <w:szCs w:val="24"/>
          <w:highlight w:val="none"/>
          <w:u w:val="none"/>
        </w:rPr>
        <w:t xml:space="preserve"> </w:t>
      </w:r>
    </w:p>
    <w:p w14:paraId="340F94FC">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eastAsia" w:ascii="仿宋" w:hAnsi="仿宋" w:eastAsia="仿宋" w:cs="仿宋"/>
          <w:lang w:val="en-US"/>
        </w:rPr>
      </w:pPr>
      <w:r>
        <w:rPr>
          <w:rFonts w:hint="eastAsia" w:ascii="仿宋" w:hAnsi="仿宋" w:eastAsia="仿宋" w:cs="仿宋"/>
          <w:b/>
          <w:color w:val="auto"/>
          <w:sz w:val="32"/>
        </w:rPr>
        <w:t>采购内容：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202</w:t>
      </w:r>
      <w:r>
        <w:rPr>
          <w:rFonts w:hint="eastAsia" w:ascii="仿宋" w:hAnsi="仿宋" w:eastAsia="仿宋" w:cs="仿宋"/>
          <w:sz w:val="24"/>
          <w:szCs w:val="24"/>
          <w:u w:val="single"/>
          <w:lang w:val="en-US" w:eastAsia="zh-CN"/>
        </w:rPr>
        <w:t>6</w:t>
      </w:r>
      <w:r>
        <w:rPr>
          <w:rFonts w:hint="eastAsia" w:ascii="仿宋" w:hAnsi="仿宋" w:eastAsia="仿宋" w:cs="仿宋"/>
          <w:sz w:val="24"/>
          <w:szCs w:val="24"/>
          <w:u w:val="single"/>
        </w:rPr>
        <w:t>年馆藏纸质图书</w:t>
      </w:r>
      <w:r>
        <w:rPr>
          <w:rFonts w:hint="eastAsia" w:ascii="仿宋" w:hAnsi="仿宋" w:eastAsia="仿宋" w:cs="仿宋"/>
          <w:sz w:val="24"/>
          <w:szCs w:val="24"/>
          <w:u w:val="single"/>
          <w:lang w:eastAsia="zh-CN"/>
        </w:rPr>
        <w:t>（第</w:t>
      </w:r>
      <w:r>
        <w:rPr>
          <w:rFonts w:hint="eastAsia" w:ascii="仿宋" w:hAnsi="仿宋" w:eastAsia="仿宋" w:cs="仿宋"/>
          <w:sz w:val="24"/>
          <w:szCs w:val="24"/>
          <w:u w:val="single"/>
          <w:lang w:val="en-US" w:eastAsia="zh-CN"/>
        </w:rPr>
        <w:t xml:space="preserve">  包</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p>
    <w:p w14:paraId="2AE9EA96">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jc w:val="both"/>
        <w:textAlignment w:val="auto"/>
        <w:rPr>
          <w:rFonts w:hint="eastAsia" w:ascii="仿宋" w:hAnsi="仿宋" w:eastAsia="仿宋" w:cs="仿宋"/>
        </w:rPr>
      </w:pPr>
      <w:r>
        <w:rPr>
          <w:rFonts w:hint="eastAsia" w:ascii="仿宋" w:hAnsi="仿宋" w:eastAsia="仿宋" w:cs="仿宋"/>
          <w:b/>
          <w:color w:val="auto"/>
          <w:sz w:val="32"/>
        </w:rPr>
        <w:t>甲　　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陕西国防工业职业技术学院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9AAFB60">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textAlignment w:val="auto"/>
        <w:rPr>
          <w:rFonts w:hint="eastAsia" w:ascii="仿宋" w:hAnsi="仿宋" w:eastAsia="仿宋" w:cs="仿宋"/>
          <w:u w:val="single"/>
        </w:rPr>
      </w:pPr>
      <w:r>
        <w:rPr>
          <w:rFonts w:hint="eastAsia" w:ascii="仿宋" w:hAnsi="仿宋" w:eastAsia="仿宋" w:cs="仿宋"/>
        </w:rPr>
        <w:t xml:space="preserve">     </w:t>
      </w:r>
      <w:r>
        <w:rPr>
          <w:rFonts w:hint="eastAsia" w:ascii="仿宋" w:hAnsi="仿宋" w:eastAsia="仿宋" w:cs="仿宋"/>
          <w:b/>
          <w:color w:val="auto"/>
          <w:sz w:val="32"/>
        </w:rPr>
        <w:t xml:space="preserve">  </w:t>
      </w:r>
      <w:r>
        <w:rPr>
          <w:rFonts w:hint="eastAsia" w:ascii="仿宋" w:hAnsi="仿宋" w:eastAsia="仿宋" w:cs="仿宋"/>
          <w:b/>
          <w:color w:val="auto"/>
          <w:sz w:val="32"/>
          <w:lang w:val="en-US" w:eastAsia="zh-CN"/>
        </w:rPr>
        <w:t xml:space="preserve"> </w:t>
      </w:r>
      <w:r>
        <w:rPr>
          <w:rFonts w:hint="eastAsia" w:ascii="仿宋" w:hAnsi="仿宋" w:eastAsia="仿宋" w:cs="仿宋"/>
          <w:b/>
          <w:color w:val="auto"/>
          <w:sz w:val="32"/>
        </w:rPr>
        <w:t xml:space="preserve"> </w:t>
      </w:r>
      <w:r>
        <w:rPr>
          <w:rFonts w:hint="eastAsia" w:ascii="仿宋" w:hAnsi="仿宋" w:eastAsia="仿宋" w:cs="仿宋"/>
          <w:b/>
          <w:color w:val="auto"/>
          <w:sz w:val="32"/>
          <w:lang w:val="en-US" w:eastAsia="zh-CN"/>
        </w:rPr>
        <w:t xml:space="preserve"> </w:t>
      </w:r>
      <w:r>
        <w:rPr>
          <w:rFonts w:hint="eastAsia" w:ascii="仿宋" w:hAnsi="仿宋" w:eastAsia="仿宋" w:cs="仿宋"/>
          <w:b/>
          <w:color w:val="auto"/>
          <w:sz w:val="32"/>
        </w:rPr>
        <w:t>乙　　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E660349">
      <w:pPr>
        <w:pStyle w:val="6"/>
        <w:ind w:firstLine="1406" w:firstLineChars="500"/>
        <w:jc w:val="both"/>
        <w:outlineLvl w:val="1"/>
        <w:rPr>
          <w:rFonts w:hint="eastAsia" w:ascii="仿宋" w:hAnsi="仿宋" w:eastAsia="仿宋" w:cs="仿宋"/>
          <w:u w:val="single"/>
          <w:lang w:val="en-US" w:eastAsia="zh-CN"/>
        </w:rPr>
      </w:pPr>
      <w:r>
        <w:rPr>
          <w:rFonts w:hint="eastAsia" w:ascii="仿宋" w:hAnsi="仿宋" w:eastAsia="仿宋" w:cs="仿宋"/>
          <w:b/>
          <w:color w:val="auto"/>
          <w:spacing w:val="-20"/>
          <w:sz w:val="32"/>
          <w:szCs w:val="22"/>
          <w:lang w:val="en-US" w:eastAsia="zh-CN" w:bidi="ar-SA"/>
        </w:rPr>
        <w:t>鉴  证  方：</w:t>
      </w:r>
      <w:r>
        <w:rPr>
          <w:rFonts w:hint="eastAsia" w:ascii="仿宋" w:hAnsi="仿宋" w:eastAsia="仿宋" w:cs="仿宋"/>
          <w:sz w:val="24"/>
          <w:szCs w:val="24"/>
          <w:u w:val="single"/>
          <w:lang w:val="en-US" w:eastAsia="zh-CN" w:bidi="ar-SA"/>
        </w:rPr>
        <w:t xml:space="preserve">    陕西中技招标有限公司共同编制   </w:t>
      </w:r>
    </w:p>
    <w:p w14:paraId="3D819755">
      <w:pPr>
        <w:pStyle w:val="6"/>
        <w:jc w:val="center"/>
        <w:outlineLvl w:val="1"/>
        <w:rPr>
          <w:rFonts w:hint="eastAsia" w:ascii="仿宋" w:hAnsi="仿宋" w:eastAsia="仿宋" w:cs="仿宋"/>
          <w:u w:val="single"/>
          <w:lang w:val="en-US" w:eastAsia="zh-CN"/>
        </w:rPr>
      </w:pPr>
    </w:p>
    <w:p w14:paraId="556C5338">
      <w:pPr>
        <w:pStyle w:val="6"/>
        <w:jc w:val="center"/>
        <w:outlineLvl w:val="1"/>
        <w:rPr>
          <w:rFonts w:hint="eastAsia" w:ascii="仿宋" w:hAnsi="仿宋" w:eastAsia="仿宋" w:cs="仿宋"/>
          <w:u w:val="single"/>
          <w:lang w:val="en-US" w:eastAsia="zh-CN"/>
        </w:rPr>
      </w:pPr>
    </w:p>
    <w:p w14:paraId="532C3615">
      <w:pPr>
        <w:pStyle w:val="6"/>
        <w:jc w:val="center"/>
        <w:outlineLvl w:val="1"/>
        <w:rPr>
          <w:rFonts w:hint="eastAsia" w:ascii="仿宋" w:hAnsi="仿宋" w:eastAsia="仿宋" w:cs="仿宋"/>
          <w:u w:val="single"/>
          <w:lang w:val="en-US" w:eastAsia="zh-CN"/>
        </w:rPr>
      </w:pPr>
    </w:p>
    <w:p w14:paraId="05943CFD">
      <w:pPr>
        <w:pStyle w:val="6"/>
        <w:jc w:val="center"/>
        <w:outlineLvl w:val="1"/>
        <w:rPr>
          <w:rFonts w:hint="eastAsia" w:ascii="仿宋" w:hAnsi="仿宋" w:eastAsia="仿宋" w:cs="仿宋"/>
          <w:u w:val="single"/>
          <w:lang w:val="en-US" w:eastAsia="zh-CN"/>
        </w:rPr>
      </w:pPr>
    </w:p>
    <w:p w14:paraId="6878FFAB">
      <w:pPr>
        <w:pStyle w:val="6"/>
        <w:jc w:val="center"/>
        <w:outlineLvl w:val="1"/>
        <w:rPr>
          <w:rFonts w:hint="eastAsia" w:ascii="仿宋" w:hAnsi="仿宋" w:eastAsia="仿宋" w:cs="仿宋"/>
          <w:u w:val="single"/>
          <w:lang w:val="en-US" w:eastAsia="zh-CN"/>
        </w:rPr>
      </w:pPr>
    </w:p>
    <w:p w14:paraId="0C358A92">
      <w:pPr>
        <w:pStyle w:val="6"/>
        <w:jc w:val="center"/>
        <w:outlineLvl w:val="1"/>
        <w:rPr>
          <w:rFonts w:hint="eastAsia" w:ascii="仿宋" w:hAnsi="仿宋" w:eastAsia="仿宋" w:cs="仿宋"/>
          <w:u w:val="single"/>
          <w:lang w:val="en-US" w:eastAsia="zh-CN"/>
        </w:rPr>
      </w:pPr>
    </w:p>
    <w:p w14:paraId="1E53FF8A">
      <w:pPr>
        <w:pStyle w:val="6"/>
        <w:jc w:val="both"/>
        <w:outlineLvl w:val="1"/>
        <w:rPr>
          <w:rFonts w:hint="eastAsia" w:ascii="仿宋" w:hAnsi="仿宋" w:eastAsia="仿宋" w:cs="仿宋"/>
          <w:u w:val="single"/>
          <w:lang w:val="en-US" w:eastAsia="zh-CN"/>
        </w:rPr>
      </w:pPr>
    </w:p>
    <w:p w14:paraId="64BB6A90">
      <w:pPr>
        <w:pStyle w:val="6"/>
        <w:jc w:val="center"/>
        <w:outlineLvl w:val="1"/>
        <w:rPr>
          <w:rFonts w:hint="eastAsia" w:ascii="仿宋" w:hAnsi="仿宋" w:eastAsia="仿宋" w:cs="仿宋"/>
          <w:b/>
          <w:sz w:val="36"/>
          <w:szCs w:val="36"/>
          <w:highlight w:val="none"/>
          <w:lang w:val="en-US" w:eastAsia="zh-CN"/>
        </w:rPr>
      </w:pPr>
      <w:r>
        <w:rPr>
          <w:rFonts w:hint="eastAsia" w:ascii="仿宋" w:hAnsi="仿宋" w:eastAsia="仿宋" w:cs="仿宋"/>
          <w:b/>
          <w:sz w:val="36"/>
          <w:szCs w:val="36"/>
          <w:highlight w:val="none"/>
        </w:rPr>
        <w:t>202</w:t>
      </w:r>
      <w:r>
        <w:rPr>
          <w:rFonts w:hint="eastAsia" w:ascii="仿宋" w:hAnsi="仿宋" w:eastAsia="仿宋" w:cs="仿宋"/>
          <w:b/>
          <w:sz w:val="36"/>
          <w:szCs w:val="36"/>
          <w:highlight w:val="none"/>
          <w:lang w:val="en-US" w:eastAsia="zh-CN"/>
        </w:rPr>
        <w:t>6</w:t>
      </w:r>
      <w:r>
        <w:rPr>
          <w:rFonts w:hint="eastAsia" w:ascii="仿宋" w:hAnsi="仿宋" w:eastAsia="仿宋" w:cs="仿宋"/>
          <w:b/>
          <w:sz w:val="36"/>
          <w:szCs w:val="36"/>
          <w:highlight w:val="none"/>
        </w:rPr>
        <w:t>年馆藏纸质图书采购项目</w:t>
      </w:r>
      <w:r>
        <w:rPr>
          <w:rFonts w:hint="eastAsia" w:ascii="仿宋" w:hAnsi="仿宋" w:eastAsia="仿宋" w:cs="仿宋"/>
          <w:b/>
          <w:sz w:val="36"/>
          <w:szCs w:val="36"/>
          <w:highlight w:val="none"/>
          <w:lang w:val="en-US" w:eastAsia="zh-CN"/>
        </w:rPr>
        <w:t>合同</w:t>
      </w:r>
    </w:p>
    <w:p w14:paraId="5A946D38">
      <w:pPr>
        <w:pStyle w:val="2"/>
        <w:rPr>
          <w:rFonts w:hint="eastAsia" w:ascii="仿宋" w:hAnsi="仿宋" w:eastAsia="仿宋" w:cs="仿宋"/>
          <w:sz w:val="24"/>
          <w:szCs w:val="24"/>
        </w:rPr>
      </w:pPr>
    </w:p>
    <w:p w14:paraId="045B73E9">
      <w:pPr>
        <w:keepNext w:val="0"/>
        <w:keepLines w:val="0"/>
        <w:pageBreakBefore w:val="0"/>
        <w:widowControl w:val="0"/>
        <w:kinsoku/>
        <w:wordWrap/>
        <w:overflowPunct/>
        <w:topLinePunct w:val="0"/>
        <w:autoSpaceDE/>
        <w:autoSpaceDN/>
        <w:bidi w:val="0"/>
        <w:adjustRightInd w:val="0"/>
        <w:snapToGrid w:val="0"/>
        <w:spacing w:after="625" w:afterLines="200"/>
        <w:textAlignment w:val="auto"/>
        <w:rPr>
          <w:rFonts w:hint="eastAsia" w:ascii="仿宋" w:hAnsi="仿宋" w:eastAsia="仿宋" w:cs="仿宋"/>
          <w:sz w:val="24"/>
          <w:szCs w:val="24"/>
          <w:u w:val="single"/>
        </w:rPr>
      </w:pPr>
      <w:r>
        <w:rPr>
          <w:rFonts w:hint="eastAsia" w:ascii="仿宋" w:hAnsi="仿宋" w:eastAsia="仿宋" w:cs="仿宋"/>
          <w:b/>
          <w:sz w:val="24"/>
          <w:szCs w:val="24"/>
        </w:rPr>
        <w:t>甲　　方：</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陕西国防工业职业技术学院  </w:t>
      </w:r>
    </w:p>
    <w:p w14:paraId="4B27D0C1">
      <w:pPr>
        <w:keepNext w:val="0"/>
        <w:keepLines w:val="0"/>
        <w:pageBreakBefore w:val="0"/>
        <w:widowControl w:val="0"/>
        <w:kinsoku/>
        <w:wordWrap/>
        <w:overflowPunct/>
        <w:topLinePunct w:val="0"/>
        <w:autoSpaceDE/>
        <w:autoSpaceDN/>
        <w:bidi w:val="0"/>
        <w:adjustRightInd w:val="0"/>
        <w:snapToGrid w:val="0"/>
        <w:spacing w:after="625" w:afterLines="200"/>
        <w:textAlignment w:val="auto"/>
        <w:rPr>
          <w:rFonts w:hint="eastAsia" w:ascii="仿宋" w:hAnsi="仿宋" w:eastAsia="仿宋" w:cs="仿宋"/>
          <w:b/>
          <w:sz w:val="24"/>
          <w:szCs w:val="24"/>
        </w:rPr>
      </w:pPr>
      <w:r>
        <w:rPr>
          <w:rFonts w:hint="eastAsia" w:ascii="仿宋" w:hAnsi="仿宋" w:eastAsia="仿宋" w:cs="仿宋"/>
          <w:b/>
          <w:sz w:val="24"/>
          <w:szCs w:val="24"/>
        </w:rPr>
        <w:t>乙　　方：</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b/>
          <w:sz w:val="24"/>
          <w:szCs w:val="24"/>
        </w:rPr>
        <w:t xml:space="preserve">                                              </w:t>
      </w:r>
    </w:p>
    <w:p w14:paraId="4A8339C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甲方与乙方依据《中华人民共和国民法典》及其他有关法律法规，遵循平等、自愿、公平和诚实信用的原则，甲、乙双方就陕西</w:t>
      </w:r>
      <w:r>
        <w:rPr>
          <w:rFonts w:hint="eastAsia" w:ascii="仿宋" w:hAnsi="仿宋" w:eastAsia="仿宋" w:cs="仿宋"/>
          <w:color w:val="auto"/>
          <w:sz w:val="24"/>
          <w:szCs w:val="24"/>
          <w:highlight w:val="none"/>
          <w:lang w:eastAsia="zh-CN"/>
        </w:rPr>
        <w:t>国防</w:t>
      </w:r>
      <w:r>
        <w:rPr>
          <w:rFonts w:hint="eastAsia" w:ascii="仿宋" w:hAnsi="仿宋" w:eastAsia="仿宋" w:cs="仿宋"/>
          <w:sz w:val="24"/>
          <w:szCs w:val="24"/>
        </w:rPr>
        <w:t>工业职业技术学院</w:t>
      </w:r>
      <w:r>
        <w:rPr>
          <w:rFonts w:hint="eastAsia" w:ascii="仿宋" w:hAnsi="仿宋" w:eastAsia="仿宋" w:cs="仿宋"/>
          <w:sz w:val="24"/>
          <w:szCs w:val="24"/>
          <w:lang w:eastAsia="zh-CN"/>
        </w:rPr>
        <w:t>2026</w:t>
      </w:r>
      <w:r>
        <w:rPr>
          <w:rFonts w:hint="eastAsia" w:ascii="仿宋" w:hAnsi="仿宋" w:eastAsia="仿宋" w:cs="仿宋"/>
          <w:sz w:val="24"/>
          <w:szCs w:val="24"/>
        </w:rPr>
        <w:t>年度馆藏纸质图书采购项目第</w:t>
      </w:r>
      <w:r>
        <w:rPr>
          <w:rFonts w:hint="eastAsia" w:ascii="仿宋" w:hAnsi="仿宋" w:eastAsia="仿宋" w:cs="仿宋"/>
          <w:sz w:val="24"/>
          <w:szCs w:val="24"/>
          <w:u w:val="single"/>
        </w:rPr>
        <w:t xml:space="preserve">          </w:t>
      </w:r>
      <w:r>
        <w:rPr>
          <w:rFonts w:hint="eastAsia" w:ascii="仿宋" w:hAnsi="仿宋" w:eastAsia="仿宋" w:cs="仿宋"/>
          <w:sz w:val="24"/>
          <w:szCs w:val="24"/>
        </w:rPr>
        <w:t>包相关事项达成一致意见，订立本合同。</w:t>
      </w:r>
    </w:p>
    <w:p w14:paraId="6741B7EB">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一、项目范围</w:t>
      </w:r>
    </w:p>
    <w:p w14:paraId="775A81F1">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陕西国防工业职业技术学院202</w:t>
      </w:r>
      <w:r>
        <w:rPr>
          <w:rFonts w:hint="eastAsia" w:ascii="仿宋" w:hAnsi="仿宋" w:eastAsia="仿宋" w:cs="仿宋"/>
          <w:sz w:val="24"/>
          <w:szCs w:val="24"/>
          <w:lang w:val="en-US" w:eastAsia="zh-CN"/>
        </w:rPr>
        <w:t>6</w:t>
      </w:r>
      <w:r>
        <w:rPr>
          <w:rFonts w:hint="eastAsia" w:ascii="仿宋" w:hAnsi="仿宋" w:eastAsia="仿宋" w:cs="仿宋"/>
          <w:sz w:val="24"/>
          <w:szCs w:val="24"/>
        </w:rPr>
        <w:t>年馆藏纸质图书采购项目、第</w:t>
      </w:r>
      <w:r>
        <w:rPr>
          <w:rFonts w:hint="eastAsia" w:ascii="仿宋" w:hAnsi="仿宋" w:eastAsia="仿宋" w:cs="仿宋"/>
          <w:sz w:val="24"/>
          <w:szCs w:val="24"/>
          <w:u w:val="single"/>
        </w:rPr>
        <w:t xml:space="preserve">      </w:t>
      </w:r>
      <w:r>
        <w:rPr>
          <w:rFonts w:hint="eastAsia" w:ascii="仿宋" w:hAnsi="仿宋" w:eastAsia="仿宋" w:cs="仿宋"/>
          <w:sz w:val="24"/>
          <w:szCs w:val="24"/>
        </w:rPr>
        <w:t>包的招标文件、澄清文件及采购合同所涵盖的全部内容。</w:t>
      </w:r>
    </w:p>
    <w:p w14:paraId="5186E61D">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二、交货期、交货地点、质量要求及质保期</w:t>
      </w:r>
    </w:p>
    <w:p w14:paraId="0E03B03F">
      <w:pPr>
        <w:pStyle w:val="3"/>
        <w:spacing w:line="336"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t>交货的时间：</w:t>
      </w:r>
      <w:r>
        <w:rPr>
          <w:rFonts w:hint="eastAsia" w:ascii="仿宋" w:hAnsi="仿宋" w:eastAsia="仿宋" w:cs="仿宋"/>
          <w:sz w:val="24"/>
          <w:szCs w:val="24"/>
          <w:u w:val="single"/>
          <w:lang w:val="en-US" w:eastAsia="zh-CN"/>
        </w:rPr>
        <w:t xml:space="preserve">                    </w:t>
      </w:r>
    </w:p>
    <w:p w14:paraId="3F21AC87">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到书率及到书周期：收到采购人图书馆订购单之日起，预订中文图书应在</w:t>
      </w:r>
      <w:r>
        <w:rPr>
          <w:rFonts w:hint="eastAsia" w:ascii="仿宋" w:hAnsi="仿宋" w:eastAsia="仿宋" w:cs="仿宋"/>
          <w:sz w:val="24"/>
          <w:szCs w:val="24"/>
          <w:lang w:val="en-US" w:eastAsia="zh-CN"/>
        </w:rPr>
        <w:t>30</w:t>
      </w:r>
      <w:r>
        <w:rPr>
          <w:rFonts w:hint="eastAsia" w:ascii="仿宋" w:hAnsi="仿宋" w:eastAsia="仿宋" w:cs="仿宋"/>
          <w:sz w:val="24"/>
          <w:szCs w:val="24"/>
        </w:rPr>
        <w:t>个自然日内送书到指定地点，到书率不低于95%；现采中文图书应在10个自然日内送书到指定地点，到书率不低于98%。</w:t>
      </w:r>
    </w:p>
    <w:p w14:paraId="73B915E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交货地点：陕西国防工业职业技术学院指定地点；</w:t>
      </w:r>
    </w:p>
    <w:p w14:paraId="74FE818F">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质量要求：合格（达到国家性强制合格标准）；</w:t>
      </w:r>
    </w:p>
    <w:p w14:paraId="40A7B005">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质保期：</w:t>
      </w:r>
      <w:r>
        <w:rPr>
          <w:rFonts w:hint="eastAsia" w:ascii="仿宋" w:hAnsi="仿宋" w:eastAsia="仿宋" w:cs="仿宋"/>
          <w:sz w:val="24"/>
          <w:szCs w:val="24"/>
          <w:lang w:val="en-US" w:eastAsia="zh-CN"/>
        </w:rPr>
        <w:t>三</w:t>
      </w:r>
      <w:r>
        <w:rPr>
          <w:rFonts w:hint="eastAsia" w:ascii="仿宋" w:hAnsi="仿宋" w:eastAsia="仿宋" w:cs="仿宋"/>
          <w:sz w:val="24"/>
          <w:szCs w:val="24"/>
        </w:rPr>
        <w:t>年</w:t>
      </w:r>
    </w:p>
    <w:p w14:paraId="5BC80A8C">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三、合同文件及解释</w:t>
      </w:r>
    </w:p>
    <w:p w14:paraId="2E6611FF">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合同协议书</w:t>
      </w:r>
    </w:p>
    <w:p w14:paraId="23E1E3FC">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中标通知书</w:t>
      </w:r>
    </w:p>
    <w:p w14:paraId="7F7844F6">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招标文件及相关补遗文件</w:t>
      </w:r>
    </w:p>
    <w:p w14:paraId="7B426AAF">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投标函及投标函附录</w:t>
      </w:r>
    </w:p>
    <w:p w14:paraId="1048ED00">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技术标准、规范。</w:t>
      </w:r>
    </w:p>
    <w:p w14:paraId="6B05A976">
      <w:pPr>
        <w:pStyle w:val="3"/>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其他合同文件</w:t>
      </w:r>
    </w:p>
    <w:p w14:paraId="3E6B4EF6">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四、合同价款、结算与支付</w:t>
      </w:r>
    </w:p>
    <w:p w14:paraId="61A8D8A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本合同固定总价合同</w:t>
      </w:r>
    </w:p>
    <w:p w14:paraId="4766424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本合同价款总价：人民币大写：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该总价包括但不限于：人工费、材料费（材质要求符合国家相关标准）、包装、运输、仓储、保管、装卸（卸货至甲方指定地点）、保险、税金、利润、运杂费（含保险）、措施费、市场价格风险、社会干扰因素排除费用在内等一切费用。</w:t>
      </w:r>
    </w:p>
    <w:tbl>
      <w:tblPr>
        <w:tblStyle w:val="4"/>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2"/>
        <w:gridCol w:w="2781"/>
        <w:gridCol w:w="3587"/>
      </w:tblGrid>
      <w:tr w14:paraId="490B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372" w:type="dxa"/>
            <w:shd w:val="clear" w:color="auto" w:fill="auto"/>
            <w:noWrap w:val="0"/>
            <w:vAlign w:val="center"/>
          </w:tcPr>
          <w:p w14:paraId="0CCDB16D">
            <w:pPr>
              <w:pStyle w:val="3"/>
              <w:spacing w:line="240" w:lineRule="auto"/>
              <w:jc w:val="center"/>
              <w:rPr>
                <w:rFonts w:hint="eastAsia" w:ascii="仿宋" w:hAnsi="仿宋" w:eastAsia="仿宋" w:cs="仿宋"/>
                <w:sz w:val="24"/>
                <w:szCs w:val="24"/>
              </w:rPr>
            </w:pPr>
            <w:r>
              <w:rPr>
                <w:rFonts w:hint="eastAsia" w:ascii="仿宋" w:hAnsi="仿宋" w:eastAsia="仿宋" w:cs="仿宋"/>
                <w:sz w:val="24"/>
                <w:szCs w:val="24"/>
              </w:rPr>
              <w:t>货物名称</w:t>
            </w:r>
          </w:p>
        </w:tc>
        <w:tc>
          <w:tcPr>
            <w:tcW w:w="2781" w:type="dxa"/>
            <w:shd w:val="clear" w:color="auto" w:fill="auto"/>
            <w:noWrap w:val="0"/>
            <w:vAlign w:val="center"/>
          </w:tcPr>
          <w:p w14:paraId="208E6B86">
            <w:pPr>
              <w:pStyle w:val="3"/>
              <w:spacing w:line="240" w:lineRule="auto"/>
              <w:jc w:val="center"/>
              <w:rPr>
                <w:rFonts w:hint="eastAsia" w:ascii="仿宋" w:hAnsi="仿宋" w:eastAsia="仿宋" w:cs="仿宋"/>
                <w:sz w:val="24"/>
                <w:szCs w:val="24"/>
              </w:rPr>
            </w:pPr>
            <w:r>
              <w:rPr>
                <w:rFonts w:hint="eastAsia" w:ascii="仿宋" w:hAnsi="仿宋" w:eastAsia="仿宋" w:cs="仿宋"/>
                <w:sz w:val="24"/>
                <w:szCs w:val="24"/>
              </w:rPr>
              <w:t>码洋价</w:t>
            </w:r>
          </w:p>
        </w:tc>
        <w:tc>
          <w:tcPr>
            <w:tcW w:w="3587" w:type="dxa"/>
            <w:shd w:val="clear" w:color="auto" w:fill="auto"/>
            <w:noWrap w:val="0"/>
            <w:vAlign w:val="center"/>
          </w:tcPr>
          <w:p w14:paraId="666F67C0">
            <w:pPr>
              <w:pStyle w:val="3"/>
              <w:spacing w:line="240" w:lineRule="auto"/>
              <w:jc w:val="center"/>
              <w:rPr>
                <w:rFonts w:hint="eastAsia" w:ascii="仿宋" w:hAnsi="仿宋" w:eastAsia="仿宋" w:cs="仿宋"/>
                <w:sz w:val="24"/>
                <w:szCs w:val="24"/>
              </w:rPr>
            </w:pPr>
            <w:r>
              <w:rPr>
                <w:rFonts w:hint="eastAsia" w:ascii="仿宋" w:hAnsi="仿宋" w:eastAsia="仿宋" w:cs="仿宋"/>
                <w:sz w:val="24"/>
                <w:szCs w:val="24"/>
              </w:rPr>
              <w:t>折扣（%）</w:t>
            </w:r>
          </w:p>
        </w:tc>
      </w:tr>
      <w:tr w14:paraId="2770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72" w:type="dxa"/>
            <w:shd w:val="clear" w:color="auto" w:fill="auto"/>
            <w:noWrap w:val="0"/>
            <w:vAlign w:val="center"/>
          </w:tcPr>
          <w:p w14:paraId="1A6C3218">
            <w:pPr>
              <w:pStyle w:val="3"/>
              <w:spacing w:line="336" w:lineRule="auto"/>
              <w:jc w:val="center"/>
              <w:rPr>
                <w:rFonts w:hint="eastAsia" w:ascii="仿宋" w:hAnsi="仿宋" w:eastAsia="仿宋" w:cs="仿宋"/>
                <w:sz w:val="24"/>
                <w:szCs w:val="24"/>
              </w:rPr>
            </w:pPr>
          </w:p>
        </w:tc>
        <w:tc>
          <w:tcPr>
            <w:tcW w:w="2781" w:type="dxa"/>
            <w:shd w:val="clear" w:color="auto" w:fill="auto"/>
            <w:noWrap w:val="0"/>
            <w:vAlign w:val="center"/>
          </w:tcPr>
          <w:p w14:paraId="6587E0BE">
            <w:pPr>
              <w:pStyle w:val="3"/>
              <w:spacing w:line="240" w:lineRule="auto"/>
              <w:jc w:val="center"/>
              <w:rPr>
                <w:rFonts w:hint="eastAsia" w:ascii="仿宋" w:hAnsi="仿宋" w:eastAsia="仿宋" w:cs="仿宋"/>
                <w:sz w:val="24"/>
                <w:szCs w:val="24"/>
              </w:rPr>
            </w:pPr>
            <w:r>
              <w:rPr>
                <w:rFonts w:hint="eastAsia" w:ascii="仿宋" w:hAnsi="仿宋" w:eastAsia="仿宋" w:cs="仿宋"/>
                <w:sz w:val="24"/>
                <w:szCs w:val="24"/>
              </w:rPr>
              <w:t>每包的总金额</w:t>
            </w:r>
          </w:p>
        </w:tc>
        <w:tc>
          <w:tcPr>
            <w:tcW w:w="3587" w:type="dxa"/>
            <w:shd w:val="clear" w:color="auto" w:fill="auto"/>
            <w:noWrap w:val="0"/>
            <w:vAlign w:val="center"/>
          </w:tcPr>
          <w:p w14:paraId="7DD37C1E">
            <w:pPr>
              <w:pStyle w:val="3"/>
              <w:spacing w:line="336" w:lineRule="auto"/>
              <w:jc w:val="center"/>
              <w:rPr>
                <w:rFonts w:hint="eastAsia" w:ascii="仿宋" w:hAnsi="仿宋" w:eastAsia="仿宋" w:cs="仿宋"/>
                <w:sz w:val="24"/>
                <w:szCs w:val="24"/>
              </w:rPr>
            </w:pPr>
          </w:p>
        </w:tc>
      </w:tr>
    </w:tbl>
    <w:p w14:paraId="54972FB9">
      <w:pPr>
        <w:pStyle w:val="3"/>
        <w:numPr>
          <w:ilvl w:val="0"/>
          <w:numId w:val="1"/>
        </w:numPr>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支付方式:</w:t>
      </w:r>
    </w:p>
    <w:p w14:paraId="7E24312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合同款支付全部通过银行转账。</w:t>
      </w:r>
    </w:p>
    <w:p w14:paraId="76C7E0A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名称：</w:t>
      </w:r>
    </w:p>
    <w:p w14:paraId="4B18CB4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2BBC7BC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账号：</w:t>
      </w:r>
    </w:p>
    <w:p w14:paraId="4252C1C9">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乙方确认上述账户为合同履行期间乙方唯一收款账户，若因乙方提供账户错误或账户更换导致乙方未收到款项的，由乙方承担一切责任。</w:t>
      </w:r>
    </w:p>
    <w:p w14:paraId="1CCB3169">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 付款方式:</w:t>
      </w:r>
    </w:p>
    <w:p w14:paraId="5FFEE8B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签订合同前乙方向甲方缴纳</w:t>
      </w:r>
      <w:r>
        <w:rPr>
          <w:rFonts w:hint="eastAsia" w:ascii="仿宋" w:hAnsi="仿宋" w:eastAsia="仿宋" w:cs="仿宋"/>
          <w:sz w:val="24"/>
          <w:szCs w:val="24"/>
          <w:lang w:val="en-US" w:eastAsia="zh-CN"/>
        </w:rPr>
        <w:t>合同金额</w:t>
      </w:r>
      <w:r>
        <w:rPr>
          <w:rFonts w:hint="eastAsia" w:ascii="仿宋" w:hAnsi="仿宋" w:eastAsia="仿宋" w:cs="仿宋"/>
          <w:sz w:val="24"/>
          <w:szCs w:val="24"/>
        </w:rPr>
        <w:t>的5%作为履约保证金，项目终验完成后无任何质量问题办理退还手续。</w:t>
      </w:r>
    </w:p>
    <w:p w14:paraId="2D6DB069">
      <w:pPr>
        <w:pStyle w:val="3"/>
        <w:spacing w:line="336" w:lineRule="auto"/>
        <w:ind w:firstLine="480" w:firstLineChars="200"/>
        <w:rPr>
          <w:rFonts w:hint="default" w:ascii="仿宋" w:hAnsi="仿宋" w:eastAsia="仿宋" w:cs="仿宋"/>
          <w:sz w:val="24"/>
          <w:szCs w:val="24"/>
          <w:lang w:val="en-US"/>
        </w:rPr>
      </w:pPr>
      <w:r>
        <w:rPr>
          <w:rFonts w:hint="default" w:ascii="仿宋" w:hAnsi="仿宋" w:eastAsia="仿宋" w:cs="仿宋"/>
          <w:sz w:val="24"/>
          <w:szCs w:val="24"/>
          <w:lang w:val="en-US" w:eastAsia="zh-CN"/>
        </w:rPr>
        <w:t>全部图书验收合格后，乙方按国家有关财税规定向甲方开具全额完税销售发票，甲方支付全额货款</w:t>
      </w:r>
      <w:r>
        <w:rPr>
          <w:rFonts w:hint="eastAsia" w:ascii="仿宋" w:hAnsi="仿宋" w:eastAsia="仿宋" w:cs="仿宋"/>
          <w:sz w:val="24"/>
          <w:szCs w:val="24"/>
          <w:lang w:val="en-US" w:eastAsia="zh-CN"/>
        </w:rPr>
        <w:t>。</w:t>
      </w:r>
    </w:p>
    <w:p w14:paraId="1C93B7F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3．结算方式</w:t>
      </w:r>
    </w:p>
    <w:p w14:paraId="5579B9D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 按照甲方最终书面验收确认的实际供货数</w:t>
      </w:r>
      <w:r>
        <w:rPr>
          <w:rFonts w:hint="eastAsia" w:ascii="仿宋" w:hAnsi="仿宋" w:eastAsia="仿宋" w:cs="仿宋"/>
          <w:sz w:val="24"/>
          <w:szCs w:val="24"/>
          <w:highlight w:val="none"/>
        </w:rPr>
        <w:t>量</w:t>
      </w:r>
      <w:r>
        <w:rPr>
          <w:rFonts w:hint="eastAsia" w:ascii="仿宋" w:hAnsi="仿宋" w:eastAsia="仿宋" w:cs="仿宋"/>
          <w:sz w:val="24"/>
          <w:szCs w:val="24"/>
          <w:highlight w:val="none"/>
          <w:lang w:eastAsia="zh-CN"/>
        </w:rPr>
        <w:t>及金额</w:t>
      </w:r>
      <w:r>
        <w:rPr>
          <w:rFonts w:hint="eastAsia" w:ascii="仿宋" w:hAnsi="仿宋" w:eastAsia="仿宋" w:cs="仿宋"/>
          <w:sz w:val="24"/>
          <w:szCs w:val="24"/>
        </w:rPr>
        <w:t>以** % 折扣进行结算。</w:t>
      </w:r>
    </w:p>
    <w:p w14:paraId="18DDF96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 凡因乙方投标漏项、误报等导致的费用差异均由乙方自行承担，且必须按合同约定继续履行此部分合同内容，结算时不予调整。</w:t>
      </w:r>
    </w:p>
    <w:p w14:paraId="2956D651">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五、权利与义务</w:t>
      </w:r>
    </w:p>
    <w:p w14:paraId="63C2F2B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（一）甲方的权利与义务</w:t>
      </w:r>
    </w:p>
    <w:p w14:paraId="56422A75">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甲方应向乙方提供订购计划（包括教材名称、出版单位、作者、数量等信息资料）。</w:t>
      </w:r>
    </w:p>
    <w:p w14:paraId="2E6FBFC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甲方有权要求乙方供货的项目内容符合国家及同行业相关规范，符合国家验收标准，能够通过国家验收。</w:t>
      </w:r>
    </w:p>
    <w:p w14:paraId="15224AC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甲方有权要求乙方配合甲方完成所采购项目内容的验收工作。</w:t>
      </w:r>
    </w:p>
    <w:p w14:paraId="26E3047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甲方有权要求乙方提供的产品所涉及的第三方权利进行免责。</w:t>
      </w:r>
    </w:p>
    <w:p w14:paraId="45B8955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甲方有义务保证按合同所规定的内容及时间支付乙方相关费用。</w:t>
      </w:r>
    </w:p>
    <w:p w14:paraId="793136E8">
      <w:pPr>
        <w:pStyle w:val="3"/>
        <w:spacing w:line="336" w:lineRule="auto"/>
        <w:ind w:firstLine="480" w:firstLineChars="200"/>
        <w:rPr>
          <w:rFonts w:hint="eastAsia" w:ascii="仿宋" w:hAnsi="仿宋" w:eastAsia="仿宋" w:cs="仿宋"/>
          <w:sz w:val="24"/>
          <w:szCs w:val="24"/>
          <w:u w:val="single"/>
          <w:lang w:eastAsia="zh-CN"/>
        </w:rPr>
      </w:pPr>
      <w:r>
        <w:rPr>
          <w:rFonts w:hint="eastAsia" w:ascii="仿宋" w:hAnsi="仿宋" w:eastAsia="仿宋" w:cs="仿宋"/>
          <w:sz w:val="24"/>
          <w:szCs w:val="24"/>
        </w:rPr>
        <w:t>6</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甲方项目负责人为</w:t>
      </w:r>
      <w:r>
        <w:rPr>
          <w:rFonts w:hint="eastAsia" w:ascii="仿宋" w:hAnsi="仿宋" w:eastAsia="仿宋" w:cs="仿宋"/>
          <w:sz w:val="24"/>
          <w:szCs w:val="24"/>
          <w:u w:val="single"/>
        </w:rPr>
        <w:t xml:space="preserve">             （手机:        ）</w:t>
      </w:r>
      <w:r>
        <w:rPr>
          <w:rFonts w:hint="eastAsia" w:ascii="仿宋" w:hAnsi="仿宋" w:eastAsia="仿宋" w:cs="仿宋"/>
          <w:sz w:val="24"/>
          <w:szCs w:val="24"/>
          <w:u w:val="single"/>
          <w:lang w:eastAsia="zh-CN"/>
        </w:rPr>
        <w:t>。</w:t>
      </w:r>
    </w:p>
    <w:p w14:paraId="5CC0EA2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乙方不能按甲方要求及时供货，甲方有单方解除合同的权利。解除合同的同时，甲方有权利与评标报告中排名第二的供应商签订新的供货合同。</w:t>
      </w:r>
    </w:p>
    <w:p w14:paraId="157475C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因乙方原因供货延误，给甲方造成损失或被第三方要求索赔的，乙方应全额承担，包括但不限于向第三方赔偿、行政罚款、处理纠纷产生的律师费、诉讼费、保全费及其他各项费用。</w:t>
      </w:r>
    </w:p>
    <w:p w14:paraId="092B54B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对乙方的加工人员和材料，甲方有权进行审核，审核不合格的甲方有权要求乙方无条件更换，更换时间不能超过24 小时。</w:t>
      </w:r>
    </w:p>
    <w:p w14:paraId="1DF2EF61">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（二）乙方的权利与义务</w:t>
      </w:r>
    </w:p>
    <w:p w14:paraId="67FC70F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乙方应按本合同的规定供货，并保证产品全新、符合出厂标准规格、型号、数量、参数等与合同约定完全一致，无任何质量问题。</w:t>
      </w:r>
    </w:p>
    <w:p w14:paraId="16A5CFF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乙方有义务配合甲方参与项目的验收工作，并确保所供货物符合本项目国家现行标准。</w:t>
      </w:r>
    </w:p>
    <w:p w14:paraId="23935D9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乙方项目负责人为</w:t>
      </w:r>
      <w:r>
        <w:rPr>
          <w:rFonts w:hint="eastAsia" w:ascii="仿宋" w:hAnsi="仿宋" w:eastAsia="仿宋" w:cs="仿宋"/>
          <w:sz w:val="24"/>
          <w:szCs w:val="24"/>
          <w:u w:val="single"/>
        </w:rPr>
        <w:t xml:space="preserve">             （手机:        ）</w:t>
      </w:r>
      <w:r>
        <w:rPr>
          <w:rFonts w:hint="eastAsia" w:ascii="仿宋" w:hAnsi="仿宋" w:eastAsia="仿宋" w:cs="仿宋"/>
          <w:sz w:val="24"/>
          <w:szCs w:val="24"/>
        </w:rPr>
        <w:t>。</w:t>
      </w:r>
    </w:p>
    <w:p w14:paraId="5365C6A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必须按照订单的要求详细准确地制作送货清单（清单随货同行），随书提供图书总清单一份和每包书清单一式两份，总清单上要注明订单号、批次号、本批书种数、册数、码洋，分包清单注明该包书的码洋，书名、书号、定价、出版社、复本等详细信息，以便于图书的验收。并负责按时、保质、保量地送货上门，并协助甲方准确清点分类、入库和按要求摆放整齐。</w:t>
      </w:r>
    </w:p>
    <w:p w14:paraId="4D6543A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乙方产品进场时应充分了解甲方的现场各项管理标准文件，并在进场后全面服从甲方的管理制度、管理细则等。</w:t>
      </w:r>
    </w:p>
    <w:p w14:paraId="10C4A8B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遵守招标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29A1AFD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按甲方指定地点将货物码放整齐，及时清运过程中产生的垃圾，保持现场整洁。</w:t>
      </w:r>
    </w:p>
    <w:p w14:paraId="51CC032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遵守国家对交通、市容和实施过程中噪音的管理规定。</w:t>
      </w:r>
    </w:p>
    <w:p w14:paraId="7322C825">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乙方应在收到甲方订购清单后15 日内完成备货，如有缺货等情况的，乙方应在12 小时内以书面形式告知甲方，以便甲方及时协调处理。</w:t>
      </w:r>
    </w:p>
    <w:p w14:paraId="3367011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对于乙方明确无法按期供货的书籍或乙方逾期超过两日未送达的书籍，甲方有权从其他合法渠道另行订购，因此产生的相关费用及超出的费用由乙方承担。</w:t>
      </w:r>
    </w:p>
    <w:p w14:paraId="35096FE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甲方因计划变动等原因需要调换、补缺或退货时，乙方应当在收到甲方通知后24 小时内完成调换、补缺或者退货。</w:t>
      </w:r>
    </w:p>
    <w:p w14:paraId="2EC04B5F">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加工技术要求</w:t>
      </w:r>
    </w:p>
    <w:p w14:paraId="46794FC7">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（1）乙方必须能够提供印刷和机读目录，包括采访数据和编目MARC 数据，数据格式符合《CALIS 联合目录中文图书著录细则》，图书分类标准以《中国图书馆分类法》为准，并能适用于甲方使用的管理系统（乙方可提供MARC 数据样本以及其编目人员经CALIS 或国家图书馆培训合格证明）。同时，确保所提供的数据能正常传递、下载、数据导入并及时更新。</w:t>
      </w:r>
    </w:p>
    <w:p w14:paraId="21DE1DA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（2）乙方须提供甲方需要的图书加工服务，主要包括：</w:t>
      </w:r>
    </w:p>
    <w:p w14:paraId="1B87C88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提供粘贴防盗磁条：使用指定厂商的</w:t>
      </w:r>
      <w:r>
        <w:rPr>
          <w:rFonts w:hint="eastAsia" w:ascii="仿宋" w:hAnsi="仿宋" w:eastAsia="仿宋" w:cs="仿宋"/>
          <w:sz w:val="24"/>
          <w:szCs w:val="24"/>
          <w:lang w:val="en-US" w:eastAsia="zh-CN"/>
        </w:rPr>
        <w:t>15</w:t>
      </w:r>
      <w:r>
        <w:rPr>
          <w:rFonts w:hint="eastAsia" w:ascii="仿宋" w:hAnsi="仿宋" w:eastAsia="仿宋" w:cs="仿宋"/>
          <w:sz w:val="24"/>
          <w:szCs w:val="24"/>
        </w:rPr>
        <w:t>厘米钴基复合充销磁条，一般图书300页以内安放2 根， 300 页以上3根。要求埋设磁条贴近图书装订缝处，牢固隐蔽不易发现。</w:t>
      </w:r>
    </w:p>
    <w:p w14:paraId="2AB8EDE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承担符合招标单位要求的新书初加工工作，包括盖馆藏章、贴磁条、贴条码、贴书标和保护膜、盖种次号章、盖日期章等。</w:t>
      </w:r>
    </w:p>
    <w:p w14:paraId="06170E5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承担符合招标单位要求的新书上机编目、录入馆藏数据工作。</w:t>
      </w:r>
    </w:p>
    <w:p w14:paraId="70CAB80D">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特价书加工完成后，由中标人负责完成图书的上架工作。</w:t>
      </w:r>
    </w:p>
    <w:p w14:paraId="032298F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以上服务涉及的相关材料及人工等一切费用均由乙方承担。</w:t>
      </w:r>
    </w:p>
    <w:p w14:paraId="37075AD3">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六、质量要求、技术标准</w:t>
      </w:r>
    </w:p>
    <w:p w14:paraId="4B861D0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1.关于1、2、3包，</w:t>
      </w:r>
      <w:r>
        <w:rPr>
          <w:rFonts w:hint="eastAsia" w:ascii="仿宋" w:hAnsi="仿宋" w:eastAsia="仿宋" w:cs="仿宋"/>
          <w:color w:val="auto"/>
          <w:sz w:val="24"/>
          <w:szCs w:val="24"/>
        </w:rPr>
        <w:t>乙方必须能满足我校对高等教育出版社、科学出版社、机械工业出版社、化学工业出版社、电子工业出版社、人民邮电出版社、清华大学出版社、</w:t>
      </w:r>
      <w:r>
        <w:rPr>
          <w:rFonts w:hint="eastAsia" w:ascii="仿宋" w:hAnsi="仿宋" w:eastAsia="仿宋" w:cs="仿宋"/>
          <w:color w:val="auto"/>
          <w:sz w:val="24"/>
          <w:szCs w:val="24"/>
          <w:lang w:val="en-US" w:eastAsia="zh-CN"/>
        </w:rPr>
        <w:t>北京理工大学出版社、</w:t>
      </w:r>
      <w:r>
        <w:rPr>
          <w:rFonts w:hint="eastAsia" w:ascii="仿宋" w:hAnsi="仿宋" w:eastAsia="仿宋" w:cs="仿宋"/>
          <w:color w:val="auto"/>
          <w:sz w:val="24"/>
          <w:szCs w:val="24"/>
        </w:rPr>
        <w:t>建筑工业出版社、商务印书馆、人民出版社、人民文学出版社、作家出版社、北京大学出版社、中华书局、中国人民大学出版社、三联书店</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国防工业出版社</w:t>
      </w:r>
      <w:r>
        <w:rPr>
          <w:rFonts w:hint="eastAsia" w:ascii="仿宋" w:hAnsi="仿宋" w:eastAsia="仿宋" w:cs="仿宋"/>
          <w:sz w:val="24"/>
          <w:szCs w:val="24"/>
        </w:rPr>
        <w:t>的用书需求。</w:t>
      </w:r>
    </w:p>
    <w:p w14:paraId="0115C9C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乙方必须保证提供的图书为国家正规出版社的正版图书，不得加入盗版图书及其它类型非法出版物。若出现有盗版或其它类型非法出版物，一经查实，甲方将拒付书款，终止合同。同时，乙方承担因此给甲方造成的所有经济损失和法律责任。</w:t>
      </w:r>
    </w:p>
    <w:p w14:paraId="31BD8A29">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．乙方所供图书必须与甲方提供的图书采购订单相符，不得更换或搭配未订购的图书，如果出现违例，超出订单以外的图书甲方将不予以付款。</w:t>
      </w:r>
    </w:p>
    <w:p w14:paraId="153F1F1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在验收图书的过程中，如发现因出版信息、预定信息不完整造成的不适合本馆收藏的，及其他原因造成重订、错订等图书，乙方应保证无条件退货。因包装或运输过程造成的图书质量问题或损失，由乙方负责。乙方需派出人员驻校进行加工，并且费用自理。</w:t>
      </w:r>
    </w:p>
    <w:p w14:paraId="2C1C33F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．对于出现开胶、散页、倒装、缺页、污损等有质量问题的图书，无论加工与否，</w:t>
      </w:r>
      <w:r>
        <w:rPr>
          <w:rFonts w:hint="eastAsia" w:ascii="仿宋" w:hAnsi="仿宋" w:eastAsia="仿宋" w:cs="仿宋"/>
          <w:sz w:val="24"/>
          <w:szCs w:val="24"/>
          <w:lang w:val="en-US" w:eastAsia="zh-CN"/>
        </w:rPr>
        <w:t>投标单位必须无条件及时退换</w:t>
      </w:r>
      <w:r>
        <w:rPr>
          <w:rFonts w:hint="eastAsia" w:ascii="仿宋" w:hAnsi="仿宋" w:eastAsia="仿宋" w:cs="仿宋"/>
          <w:sz w:val="24"/>
          <w:szCs w:val="24"/>
        </w:rPr>
        <w:t>。</w:t>
      </w:r>
    </w:p>
    <w:p w14:paraId="45EB4C4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．服务期内出现的质量问题由成交单位负责解决并承担所有费用。</w:t>
      </w:r>
    </w:p>
    <w:p w14:paraId="7AAC7E3A">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七、运输及交货要求</w:t>
      </w:r>
    </w:p>
    <w:p w14:paraId="4DF637D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乙方应当按照甲方的统一计划安排，保证按时、保质保量的将货物运送至甲方指定地点，并负责现场搬运、拆包、入库等。</w:t>
      </w:r>
    </w:p>
    <w:p w14:paraId="6805C9C5">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乙方应当按照国家标准及甲方要求以防水纸双层打包，因包装不当、防护措施不妥等引起的逾期交货责任、给甲方造成的所有损失及产生的相关费用均由乙方承担。</w:t>
      </w:r>
    </w:p>
    <w:p w14:paraId="43D9CB5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交付甲方的为正式出版社出版的书籍，不能有错页、缺页、漏页、倒装、污损、错误等情况，并完全满足合同约定要求。随书提供图书总清单一份和每包书清单一式两份，总清单上要注明订单号、批次号、本批书种数、册数、码洋，分包清单注明该包书的码洋，书名、书号、定价、出版社、复本等详细信息。送书同时将本批书的编目MARC 数据发送到甲方指定地方。图书在经甲方验收前发生的费用及毁损、灭失等一切风险均由乙方负责。</w:t>
      </w:r>
    </w:p>
    <w:p w14:paraId="609CCE02">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八、交货地点</w:t>
      </w:r>
    </w:p>
    <w:p w14:paraId="4349B8A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具体交货地点由甲方指定（乙方负责运输，运费、运杂费及保险费已包括在合同总价内）。同时，乙方承担图书交付甲方前所有风险。</w:t>
      </w:r>
    </w:p>
    <w:p w14:paraId="311B5DE6">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九、货物验收</w:t>
      </w:r>
    </w:p>
    <w:p w14:paraId="457B138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1．乙方在发货之前，应对书籍质量、数量、规格等进行准确和全面检验，并提供书籍出版机构的原始单据、版权声明等。</w:t>
      </w:r>
    </w:p>
    <w:p w14:paraId="0B177B55">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2、甲方将在货物到达指定地点后现场组织验收，甲方的初步验收不作为甲方对乙方质量的认可，亦不作为付款依据。如果货物达不到国家的质量及企业标准或与投标时封存样品不符，甲方有权拒绝接收。</w:t>
      </w:r>
    </w:p>
    <w:p w14:paraId="2512275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在货物到达甲方指定地点后，应安排专人或图书加工人员会同甲方一起对货物进行开包验收，验收过程中如出现开包后图书缺失或损坏等情况，乙方应当在24小时内予以补换或者退货，并承担逾期交货的违约责任。</w:t>
      </w:r>
    </w:p>
    <w:p w14:paraId="4C9F81C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4．在验收图书的过程中，如发现因出版信息、预定信息不完整造成的不适合本馆收藏的，及其他原因造成重订、错订等图书，乙方应无条件退货并在24小时内办理完退货手续。</w:t>
      </w:r>
    </w:p>
    <w:p w14:paraId="0B66B79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5．甲方对订购的书籍品种、数量、质量进行核对无误后入库。</w:t>
      </w:r>
    </w:p>
    <w:p w14:paraId="0C3BAF3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6．对于出现开胶、散页、倒装、缺页、污损、模糊不清、开线等有质量问题的图书，无论加工与否，乙方承诺24小时内无条件补换或退货，并承担逾期交货的违约责任。</w:t>
      </w:r>
    </w:p>
    <w:p w14:paraId="6F2E3C8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货物经甲方验收不合格的，乙方必须在接到通知后24小时内完成补换或者退货并通过验收。如经补换后验收仍不合格的，甲方可单方解除合同并提出索赔。采购代理机构将把中标资格授予评审排序下一名的中标候选人。</w:t>
      </w:r>
    </w:p>
    <w:p w14:paraId="1495D42F">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8．验收依据</w:t>
      </w:r>
    </w:p>
    <w:p w14:paraId="157343F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（1）合同文本及合同补充文件（条款）。</w:t>
      </w:r>
    </w:p>
    <w:p w14:paraId="706C049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（2）招标文件。</w:t>
      </w:r>
    </w:p>
    <w:p w14:paraId="2DCA975F">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（3）投标文件。</w:t>
      </w:r>
    </w:p>
    <w:p w14:paraId="511E005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（4）服务质量。</w:t>
      </w:r>
    </w:p>
    <w:p w14:paraId="19DADFFB">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十、售后服务</w:t>
      </w:r>
    </w:p>
    <w:p w14:paraId="1F05A19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1．该产品质保期</w:t>
      </w:r>
      <w:r>
        <w:rPr>
          <w:rFonts w:hint="eastAsia" w:ascii="仿宋" w:hAnsi="仿宋" w:eastAsia="仿宋" w:cs="仿宋"/>
          <w:sz w:val="24"/>
          <w:szCs w:val="24"/>
          <w:lang w:val="en-US" w:eastAsia="zh-CN"/>
        </w:rPr>
        <w:t>三</w:t>
      </w:r>
      <w:r>
        <w:rPr>
          <w:rFonts w:hint="eastAsia" w:ascii="仿宋" w:hAnsi="仿宋" w:eastAsia="仿宋" w:cs="仿宋"/>
          <w:sz w:val="24"/>
          <w:szCs w:val="24"/>
        </w:rPr>
        <w:t>年，自甲方书面验收合格之日起算。质保期内以旧换新（产生的所有费用由乙方承担）。</w:t>
      </w:r>
    </w:p>
    <w:p w14:paraId="612ECB09">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2．乙方承诺及时提供全国各大出版社出版的最新图书目录信息，书目数据完整（包括但不限于：ISBN、书名、作者、价格、</w:t>
      </w:r>
      <w:r>
        <w:rPr>
          <w:rFonts w:hint="eastAsia"/>
          <w:lang w:val="en-US" w:eastAsia="zh-CN"/>
        </w:rPr>
        <w:t>摘要</w:t>
      </w:r>
      <w:r>
        <w:rPr>
          <w:rFonts w:hint="eastAsia" w:ascii="仿宋" w:hAnsi="仿宋" w:eastAsia="仿宋" w:cs="仿宋"/>
          <w:lang w:eastAsia="zh-CN"/>
        </w:rPr>
        <w:t>、</w:t>
      </w:r>
      <w:r>
        <w:rPr>
          <w:rFonts w:hint="eastAsia" w:ascii="仿宋" w:hAnsi="仿宋" w:eastAsia="仿宋" w:cs="仿宋"/>
          <w:sz w:val="24"/>
          <w:szCs w:val="24"/>
        </w:rPr>
        <w:t>读者对象、丛编、版本、开本、页码等详细信息），及时提供甲方需求的各种能体现甲方办学特色的专题采购书目。</w:t>
      </w:r>
    </w:p>
    <w:p w14:paraId="6DB8AA7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3．当甲方采购的图书出版实际价格比订单价格高出30%或ISBN 和书名等信息与采访数据不符时，乙方承诺及时与甲方联系确认后再组织发货，否则，甲方有权拒收。</w:t>
      </w:r>
    </w:p>
    <w:p w14:paraId="396245F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4．乙方承诺为甲方采购图书进行必要的查重工作。采购图书到达甲方后重复的，甲方有权要求乙方无条件退换。</w:t>
      </w:r>
    </w:p>
    <w:p w14:paraId="61DA212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5．正版保证：乙方对其所提供的图书终身保证正版，凡是在使用过程中发现盗版书籍，乙方及时更换，并且承担相应的赔偿，承担相应的法律责任。</w:t>
      </w:r>
    </w:p>
    <w:p w14:paraId="71CFC68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6．质保期满后，乙方终身负责维护。因人为故意造成损坏，所涉及材料成本费用由甲方承担，乙方承诺不收取材料成本以外的其它费用。</w:t>
      </w:r>
    </w:p>
    <w:p w14:paraId="0C610485">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十一、保密条款</w:t>
      </w:r>
    </w:p>
    <w:p w14:paraId="5376D21A">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双方承诺，除非法律另有规定或双方一致同意，任何一方不得将本协议的内容向第三方透露，否则，应向对方承担相应的违约责任。</w:t>
      </w:r>
    </w:p>
    <w:p w14:paraId="6D09667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758C348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A5FCAB8">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十二、违约责任</w:t>
      </w:r>
    </w:p>
    <w:p w14:paraId="2E7D8CB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乙方向甲方提供的图书</w:t>
      </w:r>
      <w:r>
        <w:rPr>
          <w:rFonts w:hint="eastAsia" w:ascii="仿宋" w:hAnsi="仿宋" w:eastAsia="仿宋" w:cs="仿宋"/>
          <w:sz w:val="24"/>
          <w:szCs w:val="24"/>
          <w:lang w:val="en-US" w:eastAsia="zh-CN"/>
        </w:rPr>
        <w:t>应为</w:t>
      </w:r>
      <w:r>
        <w:rPr>
          <w:rFonts w:hint="eastAsia" w:ascii="仿宋" w:hAnsi="仿宋" w:eastAsia="仿宋" w:cs="仿宋"/>
          <w:sz w:val="24"/>
          <w:szCs w:val="24"/>
        </w:rPr>
        <w:t>国家正规出版社的正版图书，若出现有盗版或其它类型非法出版物，由此造成的一切法律责任、不良影响均由乙方承担。如给甲方造成了经济损失，乙方应承担该批图</w:t>
      </w:r>
      <w:r>
        <w:rPr>
          <w:rFonts w:hint="eastAsia" w:ascii="仿宋" w:hAnsi="仿宋" w:eastAsia="仿宋" w:cs="仿宋"/>
          <w:sz w:val="24"/>
          <w:szCs w:val="24"/>
          <w:highlight w:val="none"/>
        </w:rPr>
        <w:t>书2倍的</w:t>
      </w:r>
      <w:r>
        <w:rPr>
          <w:rFonts w:hint="eastAsia" w:ascii="仿宋" w:hAnsi="仿宋" w:eastAsia="仿宋" w:cs="仿宋"/>
          <w:sz w:val="24"/>
          <w:szCs w:val="24"/>
        </w:rPr>
        <w:t>违约金，并赔偿甲方的全部损失（包含但不限于罚款、赔偿款及甲方因此支付的诉讼费、律师费、公告费、保全费、交通费等）。同时，甲方有权拒付乙方的一切款项。</w:t>
      </w:r>
    </w:p>
    <w:p w14:paraId="19A6A817">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2. </w:t>
      </w:r>
      <w:r>
        <w:rPr>
          <w:rFonts w:hint="eastAsia" w:ascii="仿宋" w:hAnsi="仿宋" w:eastAsia="仿宋" w:cs="仿宋"/>
          <w:sz w:val="24"/>
          <w:szCs w:val="24"/>
          <w:highlight w:val="none"/>
        </w:rPr>
        <w:t>所</w:t>
      </w:r>
      <w:r>
        <w:rPr>
          <w:rFonts w:hint="eastAsia" w:ascii="仿宋" w:hAnsi="仿宋" w:eastAsia="仿宋" w:cs="仿宋"/>
          <w:sz w:val="24"/>
          <w:szCs w:val="24"/>
          <w:highlight w:val="none"/>
          <w:lang w:val="en-US" w:eastAsia="zh-CN"/>
        </w:rPr>
        <w:t>供</w:t>
      </w:r>
      <w:r>
        <w:rPr>
          <w:rFonts w:hint="eastAsia" w:ascii="仿宋" w:hAnsi="仿宋" w:eastAsia="仿宋" w:cs="仿宋"/>
          <w:sz w:val="24"/>
          <w:szCs w:val="24"/>
        </w:rPr>
        <w:t>图书出现任何质量问题，乙方应当无条件更换，乙方收到甲方通知后，拒绝更换的，甲方有权立即终止协议，拒付乙方的一切图书款，同时，乙方应当按照未更换图书价格两倍向甲方支付违约金，如因此给甲方造成损失的，</w:t>
      </w:r>
      <w:r>
        <w:rPr>
          <w:rFonts w:hint="eastAsia" w:ascii="仿宋" w:hAnsi="仿宋" w:eastAsia="仿宋" w:cs="仿宋"/>
          <w:color w:val="auto"/>
          <w:sz w:val="24"/>
          <w:szCs w:val="24"/>
          <w:lang w:val="en-US" w:eastAsia="zh-CN"/>
        </w:rPr>
        <w:t>乙方</w:t>
      </w:r>
      <w:r>
        <w:rPr>
          <w:rFonts w:hint="eastAsia" w:ascii="仿宋" w:hAnsi="仿宋" w:eastAsia="仿宋" w:cs="仿宋"/>
          <w:sz w:val="24"/>
          <w:szCs w:val="24"/>
        </w:rPr>
        <w:t>承担赔偿责任。</w:t>
      </w:r>
    </w:p>
    <w:p w14:paraId="5F3BC84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3. </w:t>
      </w:r>
      <w:r>
        <w:rPr>
          <w:rFonts w:hint="eastAsia" w:ascii="仿宋" w:hAnsi="仿宋" w:eastAsia="仿宋" w:cs="仿宋"/>
          <w:sz w:val="24"/>
          <w:szCs w:val="24"/>
        </w:rPr>
        <w:t>乙方如未能按照合同约定时间交付图书，每逾期一日，按每种（本）未到位图书总码洋的10%承担违约金；乙方逾期超过5 日的，甲方有权解除合同，乙方除应当按照本次甲方订购图书总码洋的10%承担违约金外，还应承担因此给甲方造成的全部损失。</w:t>
      </w:r>
    </w:p>
    <w:p w14:paraId="454A0A0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4. </w:t>
      </w:r>
      <w:r>
        <w:rPr>
          <w:rFonts w:hint="eastAsia" w:ascii="仿宋" w:hAnsi="仿宋" w:eastAsia="仿宋" w:cs="仿宋"/>
          <w:sz w:val="24"/>
          <w:szCs w:val="24"/>
        </w:rPr>
        <w:t>若因甲方临时急需图书，乙方收到甲方采购单后48 小时内回复，并通过自身渠道采购，尽量保证2—6 日确保到书入库。</w:t>
      </w:r>
    </w:p>
    <w:p w14:paraId="10AB483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5. </w:t>
      </w:r>
      <w:r>
        <w:rPr>
          <w:rFonts w:hint="eastAsia" w:ascii="仿宋" w:hAnsi="仿宋" w:eastAsia="仿宋" w:cs="仿宋"/>
          <w:sz w:val="24"/>
          <w:szCs w:val="24"/>
        </w:rPr>
        <w:t>乙方应保证交付甲方的图书为正品，且享有完全的所有权及知识产权，因乙方权利瑕疵给甲方造成损失的，乙方承担全部赔偿责任，包括但不限于赔偿款、罚款、律师费、诉讼费、保全费及处理纠纷产生的全部费用。</w:t>
      </w:r>
    </w:p>
    <w:p w14:paraId="48199254">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十三、合同的解除及争议解决</w:t>
      </w:r>
    </w:p>
    <w:p w14:paraId="50AFBD9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履行期限内，乙方出现违反本合同解除条件的行为，甲方选择解除合同的，解除通知到达乙方即发生法律效力,甲方可采取直接给付乙方的方式发出，乙方签收即意味着通知到达乙方和生效；也可采用特快专递的方式发出，特快专递送达乙方即意味着该通知到达乙方和生效，乙方拒绝签收特快专递，经邮递人员注明收件人拒收的，该通知即时生效。</w:t>
      </w:r>
    </w:p>
    <w:p w14:paraId="27777AD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甲方选择解除合同的，乙方应当在收到解除通知后三日内，返还甲方已支付款项并将</w:t>
      </w:r>
      <w:r>
        <w:rPr>
          <w:rFonts w:hint="eastAsia" w:ascii="仿宋" w:hAnsi="仿宋" w:eastAsia="仿宋" w:cs="仿宋"/>
          <w:sz w:val="24"/>
          <w:szCs w:val="24"/>
          <w:lang w:val="en-US" w:eastAsia="zh-CN"/>
        </w:rPr>
        <w:t>所供</w:t>
      </w:r>
      <w:r>
        <w:rPr>
          <w:rFonts w:hint="eastAsia" w:ascii="仿宋" w:hAnsi="仿宋" w:eastAsia="仿宋" w:cs="仿宋"/>
          <w:sz w:val="24"/>
          <w:szCs w:val="24"/>
          <w:highlight w:val="none"/>
          <w:lang w:val="en-US" w:eastAsia="zh-CN"/>
        </w:rPr>
        <w:t>图书</w:t>
      </w:r>
      <w:r>
        <w:rPr>
          <w:rFonts w:hint="eastAsia" w:ascii="仿宋" w:hAnsi="仿宋" w:eastAsia="仿宋" w:cs="仿宋"/>
          <w:sz w:val="24"/>
          <w:szCs w:val="24"/>
        </w:rPr>
        <w:t>自行拉回，逾期三日拉走的，视为乙方放弃，甲方有权自行处置且不承担任何责任。</w:t>
      </w:r>
    </w:p>
    <w:p w14:paraId="57DD2259">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6A6AED2D">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十四、协议期限</w:t>
      </w:r>
    </w:p>
    <w:p w14:paraId="1B2DA012">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合同经甲、乙双方法定代表人或者代表人签字并加盖公章(或合同章)即行生效。</w:t>
      </w:r>
    </w:p>
    <w:p w14:paraId="0FFB88D0">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合同签订之日起双方即直接产生权利与义务的关系，合同执行过程中出现的问题应按照合同法等有关规定办理。</w:t>
      </w:r>
    </w:p>
    <w:p w14:paraId="6DF8E297">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合同在执行过程中出现的未尽事宜，双方在不违背本合同和招标文件的原则下协商解决，协商结果以“纪要”形式盖章记录在案，作为本合同的附件，与本合同具有同等效力。</w:t>
      </w:r>
    </w:p>
    <w:p w14:paraId="02ED8DD0">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十五、不可抗力</w:t>
      </w:r>
    </w:p>
    <w:p w14:paraId="750390D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项下的“不可抗力”是指不能预见，不能避免且不能克服的客观情况，使得本合同一方当事人无法履行合同义务，不可抗力事由发生三日内，不能履行合同方应当向对方发出书面通知。不可抗力之政治因素及自然灾害：如战争、严重火灾、水灾、风灾和地震属于不可抗力的事故。</w:t>
      </w:r>
    </w:p>
    <w:p w14:paraId="6775ACA4">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32280308">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如不可抗力时间延续120 天以上的，各方通过协商达成在合理的时间内继续履行合同，或部分履行合同，或终止合同的履行。</w:t>
      </w:r>
    </w:p>
    <w:p w14:paraId="05A1DC68">
      <w:pPr>
        <w:pStyle w:val="3"/>
        <w:spacing w:line="336"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一方迟延履行后发生不可抗力的，不能免除责任。</w:t>
      </w:r>
    </w:p>
    <w:p w14:paraId="55ED4AB0">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十六、通知和合同修改</w:t>
      </w:r>
    </w:p>
    <w:p w14:paraId="1FB8AEC6">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本合同一方给另一方的通知，都应以书面的形式（信函、传真）发送至对方，对本合同条款进行任何改动，均须由甲乙双方签署书面合同修改签证，方为有效。</w:t>
      </w:r>
    </w:p>
    <w:p w14:paraId="7639E98C">
      <w:pPr>
        <w:pStyle w:val="3"/>
        <w:spacing w:before="156" w:beforeLines="50" w:after="156" w:afterLines="50" w:line="336" w:lineRule="auto"/>
        <w:rPr>
          <w:rFonts w:hint="eastAsia" w:ascii="仿宋" w:hAnsi="仿宋" w:eastAsia="仿宋" w:cs="仿宋"/>
          <w:b/>
          <w:sz w:val="24"/>
          <w:szCs w:val="24"/>
        </w:rPr>
      </w:pPr>
      <w:r>
        <w:rPr>
          <w:rFonts w:hint="eastAsia" w:ascii="仿宋" w:hAnsi="仿宋" w:eastAsia="仿宋" w:cs="仿宋"/>
          <w:b/>
          <w:sz w:val="24"/>
          <w:szCs w:val="24"/>
        </w:rPr>
        <w:t>十七、其他规定</w:t>
      </w:r>
    </w:p>
    <w:p w14:paraId="1BFCBC61">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本协议的附件为本协议不可分割的部分，与本协议正文具有同等的法律效力。协议附件与本协议约定不一致的，以本协议的约定为准，除非双方一致同意并以书面形式表示以协议附件为准。</w:t>
      </w:r>
    </w:p>
    <w:p w14:paraId="4B7D0D1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本合同甲、乙双方均同意以上条款内容。</w:t>
      </w:r>
    </w:p>
    <w:p w14:paraId="0DF2A143">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本合同一式捌份，甲方陆份，乙方贰份，捌份协议具有同等效力。自双方法定代表人或授权代表人签字、并加盖单位公章之日起生效。</w:t>
      </w:r>
    </w:p>
    <w:p w14:paraId="712BF54C">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本合同的订立、履行、变更、终止、解释等均适用中华人民共和国法律。</w:t>
      </w:r>
    </w:p>
    <w:p w14:paraId="0098228B">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本合同未尽事宜由双方共同协商，另行订立补充协议，补充协议与本协议具有同样的法律效力。如果本合同之附件与本合同规定不符, 以本合同规定为准。</w:t>
      </w:r>
    </w:p>
    <w:p w14:paraId="72FE2C8E">
      <w:pPr>
        <w:pStyle w:val="3"/>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（以下无正文，为合同签章页）</w:t>
      </w:r>
    </w:p>
    <w:p w14:paraId="3F057171">
      <w:pPr>
        <w:pStyle w:val="3"/>
        <w:spacing w:line="336" w:lineRule="auto"/>
        <w:ind w:firstLine="480" w:firstLineChars="200"/>
        <w:rPr>
          <w:rFonts w:hint="eastAsia" w:ascii="仿宋" w:hAnsi="仿宋" w:eastAsia="仿宋" w:cs="仿宋"/>
          <w:sz w:val="24"/>
          <w:szCs w:val="24"/>
        </w:rPr>
      </w:pPr>
    </w:p>
    <w:p w14:paraId="4697129E">
      <w:pPr>
        <w:pStyle w:val="3"/>
        <w:spacing w:line="336" w:lineRule="auto"/>
        <w:ind w:firstLine="480" w:firstLineChars="200"/>
        <w:rPr>
          <w:rFonts w:hint="eastAsia" w:ascii="仿宋" w:hAnsi="仿宋" w:eastAsia="仿宋" w:cs="仿宋"/>
          <w:sz w:val="24"/>
          <w:szCs w:val="24"/>
        </w:rPr>
      </w:pPr>
    </w:p>
    <w:p w14:paraId="25F899BA">
      <w:pPr>
        <w:pStyle w:val="3"/>
        <w:spacing w:line="336" w:lineRule="auto"/>
        <w:rPr>
          <w:rFonts w:hint="eastAsia" w:ascii="仿宋" w:hAnsi="仿宋" w:eastAsia="仿宋" w:cs="仿宋"/>
          <w:sz w:val="24"/>
          <w:szCs w:val="24"/>
        </w:rPr>
      </w:pPr>
    </w:p>
    <w:tbl>
      <w:tblPr>
        <w:tblStyle w:val="4"/>
        <w:tblW w:w="9039" w:type="dxa"/>
        <w:tblInd w:w="108" w:type="dxa"/>
        <w:tblLayout w:type="fixed"/>
        <w:tblCellMar>
          <w:top w:w="0" w:type="dxa"/>
          <w:left w:w="108" w:type="dxa"/>
          <w:bottom w:w="0" w:type="dxa"/>
          <w:right w:w="108" w:type="dxa"/>
        </w:tblCellMar>
      </w:tblPr>
      <w:tblGrid>
        <w:gridCol w:w="4911"/>
        <w:gridCol w:w="4128"/>
      </w:tblGrid>
      <w:tr w14:paraId="16DCF42C">
        <w:tblPrEx>
          <w:tblCellMar>
            <w:top w:w="0" w:type="dxa"/>
            <w:left w:w="108" w:type="dxa"/>
            <w:bottom w:w="0" w:type="dxa"/>
            <w:right w:w="108" w:type="dxa"/>
          </w:tblCellMar>
        </w:tblPrEx>
        <w:trPr>
          <w:trHeight w:val="903" w:hRule="atLeast"/>
        </w:trPr>
        <w:tc>
          <w:tcPr>
            <w:tcW w:w="4911" w:type="dxa"/>
            <w:tcBorders>
              <w:top w:val="single" w:color="000000" w:sz="8" w:space="0"/>
              <w:left w:val="single" w:color="000000" w:sz="8" w:space="0"/>
              <w:bottom w:val="single" w:color="000000" w:sz="8" w:space="0"/>
            </w:tcBorders>
            <w:shd w:val="clear" w:color="auto" w:fill="auto"/>
            <w:noWrap w:val="0"/>
            <w:vAlign w:val="center"/>
          </w:tcPr>
          <w:p w14:paraId="142BC64A">
            <w:pPr>
              <w:snapToGrid w:val="0"/>
              <w:rPr>
                <w:rFonts w:hint="eastAsia" w:ascii="仿宋" w:hAnsi="仿宋" w:eastAsia="仿宋" w:cs="仿宋"/>
                <w:sz w:val="24"/>
                <w:szCs w:val="24"/>
              </w:rPr>
            </w:pPr>
            <w:r>
              <w:rPr>
                <w:rFonts w:hint="eastAsia" w:ascii="仿宋" w:hAnsi="仿宋" w:eastAsia="仿宋" w:cs="仿宋"/>
                <w:color w:val="000000"/>
                <w:sz w:val="24"/>
                <w:szCs w:val="24"/>
              </w:rPr>
              <w:t>甲  方</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34D36A03">
            <w:pPr>
              <w:snapToGrid w:val="0"/>
              <w:rPr>
                <w:rFonts w:hint="eastAsia" w:ascii="仿宋" w:hAnsi="仿宋" w:eastAsia="仿宋" w:cs="仿宋"/>
                <w:sz w:val="24"/>
                <w:szCs w:val="24"/>
              </w:rPr>
            </w:pPr>
            <w:r>
              <w:rPr>
                <w:rFonts w:hint="eastAsia" w:ascii="仿宋" w:hAnsi="仿宋" w:eastAsia="仿宋" w:cs="仿宋"/>
                <w:color w:val="000000"/>
                <w:sz w:val="24"/>
                <w:szCs w:val="24"/>
              </w:rPr>
              <w:t>乙  方</w:t>
            </w:r>
          </w:p>
        </w:tc>
      </w:tr>
      <w:tr w14:paraId="4EC5131C">
        <w:tblPrEx>
          <w:tblCellMar>
            <w:top w:w="0" w:type="dxa"/>
            <w:left w:w="108" w:type="dxa"/>
            <w:bottom w:w="0" w:type="dxa"/>
            <w:right w:w="108" w:type="dxa"/>
          </w:tblCellMar>
        </w:tblPrEx>
        <w:trPr>
          <w:trHeight w:val="1480" w:hRule="atLeast"/>
        </w:trPr>
        <w:tc>
          <w:tcPr>
            <w:tcW w:w="4911" w:type="dxa"/>
            <w:tcBorders>
              <w:top w:val="single" w:color="000000" w:sz="8" w:space="0"/>
              <w:left w:val="single" w:color="000000" w:sz="8" w:space="0"/>
              <w:bottom w:val="single" w:color="000000" w:sz="8" w:space="0"/>
            </w:tcBorders>
            <w:shd w:val="clear" w:color="auto" w:fill="auto"/>
            <w:noWrap w:val="0"/>
            <w:vAlign w:val="center"/>
          </w:tcPr>
          <w:p w14:paraId="4C79BBD5">
            <w:pPr>
              <w:rPr>
                <w:rFonts w:hint="eastAsia" w:ascii="仿宋" w:hAnsi="仿宋" w:eastAsia="仿宋" w:cs="仿宋"/>
                <w:sz w:val="24"/>
                <w:szCs w:val="24"/>
              </w:rPr>
            </w:pPr>
            <w:r>
              <w:rPr>
                <w:rFonts w:hint="eastAsia" w:ascii="仿宋" w:hAnsi="仿宋" w:eastAsia="仿宋" w:cs="仿宋"/>
                <w:sz w:val="24"/>
                <w:szCs w:val="24"/>
              </w:rPr>
              <w:t>陕西国防工业职业技术学院（盖章）</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2F96FDF">
            <w:pPr>
              <w:snapToGrid w:val="0"/>
              <w:ind w:right="420"/>
              <w:rPr>
                <w:rFonts w:hint="eastAsia" w:ascii="仿宋" w:hAnsi="仿宋" w:eastAsia="仿宋" w:cs="仿宋"/>
                <w:sz w:val="24"/>
                <w:szCs w:val="24"/>
              </w:rPr>
            </w:pPr>
            <w:r>
              <w:rPr>
                <w:rFonts w:hint="eastAsia" w:ascii="仿宋" w:hAnsi="仿宋" w:eastAsia="仿宋" w:cs="仿宋"/>
                <w:sz w:val="24"/>
                <w:szCs w:val="24"/>
              </w:rPr>
              <w:t>单位名称                    （盖章）</w:t>
            </w:r>
          </w:p>
        </w:tc>
      </w:tr>
      <w:tr w14:paraId="4A6A563B">
        <w:tblPrEx>
          <w:tblCellMar>
            <w:top w:w="0" w:type="dxa"/>
            <w:left w:w="108" w:type="dxa"/>
            <w:bottom w:w="0" w:type="dxa"/>
            <w:right w:w="108" w:type="dxa"/>
          </w:tblCellMar>
        </w:tblPrEx>
        <w:trPr>
          <w:trHeight w:val="903" w:hRule="atLeast"/>
        </w:trPr>
        <w:tc>
          <w:tcPr>
            <w:tcW w:w="4911" w:type="dxa"/>
            <w:tcBorders>
              <w:top w:val="single" w:color="000000" w:sz="8" w:space="0"/>
              <w:left w:val="single" w:color="000000" w:sz="8" w:space="0"/>
              <w:bottom w:val="single" w:color="000000" w:sz="8" w:space="0"/>
            </w:tcBorders>
            <w:shd w:val="clear" w:color="auto" w:fill="auto"/>
            <w:noWrap w:val="0"/>
            <w:vAlign w:val="center"/>
          </w:tcPr>
          <w:p w14:paraId="2CB8DAA3">
            <w:pPr>
              <w:rPr>
                <w:rFonts w:hint="eastAsia" w:ascii="仿宋" w:hAnsi="仿宋" w:eastAsia="仿宋" w:cs="仿宋"/>
                <w:sz w:val="24"/>
                <w:szCs w:val="24"/>
              </w:rPr>
            </w:pPr>
            <w:r>
              <w:rPr>
                <w:rFonts w:hint="eastAsia" w:ascii="仿宋" w:hAnsi="仿宋" w:eastAsia="仿宋" w:cs="仿宋"/>
                <w:sz w:val="24"/>
                <w:szCs w:val="24"/>
              </w:rPr>
              <w:t>地址：陕西省西安市鄠邑区人民路8号</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147C9018">
            <w:pPr>
              <w:rPr>
                <w:rFonts w:hint="eastAsia" w:ascii="仿宋" w:hAnsi="仿宋" w:eastAsia="仿宋" w:cs="仿宋"/>
                <w:sz w:val="24"/>
                <w:szCs w:val="24"/>
              </w:rPr>
            </w:pPr>
            <w:r>
              <w:rPr>
                <w:rFonts w:hint="eastAsia" w:ascii="仿宋" w:hAnsi="仿宋" w:eastAsia="仿宋" w:cs="仿宋"/>
                <w:sz w:val="24"/>
                <w:szCs w:val="24"/>
              </w:rPr>
              <w:t xml:space="preserve">地址： </w:t>
            </w:r>
          </w:p>
        </w:tc>
      </w:tr>
      <w:tr w14:paraId="0DABF871">
        <w:tblPrEx>
          <w:tblCellMar>
            <w:top w:w="0" w:type="dxa"/>
            <w:left w:w="108" w:type="dxa"/>
            <w:bottom w:w="0" w:type="dxa"/>
            <w:right w:w="108" w:type="dxa"/>
          </w:tblCellMar>
        </w:tblPrEx>
        <w:trPr>
          <w:trHeight w:val="903" w:hRule="atLeast"/>
        </w:trPr>
        <w:tc>
          <w:tcPr>
            <w:tcW w:w="4911" w:type="dxa"/>
            <w:tcBorders>
              <w:top w:val="single" w:color="000000" w:sz="4" w:space="0"/>
              <w:left w:val="single" w:color="000000" w:sz="8" w:space="0"/>
              <w:bottom w:val="single" w:color="000000" w:sz="8" w:space="0"/>
            </w:tcBorders>
            <w:shd w:val="clear" w:color="auto" w:fill="auto"/>
            <w:noWrap w:val="0"/>
            <w:vAlign w:val="center"/>
          </w:tcPr>
          <w:p w14:paraId="3BF13F28">
            <w:pPr>
              <w:rPr>
                <w:rFonts w:hint="eastAsia" w:ascii="仿宋" w:hAnsi="仿宋" w:eastAsia="仿宋" w:cs="仿宋"/>
                <w:sz w:val="24"/>
                <w:szCs w:val="24"/>
              </w:rPr>
            </w:pPr>
            <w:r>
              <w:rPr>
                <w:rFonts w:hint="eastAsia" w:ascii="仿宋" w:hAnsi="仿宋" w:eastAsia="仿宋" w:cs="仿宋"/>
                <w:sz w:val="24"/>
                <w:szCs w:val="24"/>
              </w:rPr>
              <w:t>被授权代表：（签字）</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4397D41">
            <w:pPr>
              <w:rPr>
                <w:rFonts w:hint="eastAsia" w:ascii="仿宋" w:hAnsi="仿宋" w:eastAsia="仿宋" w:cs="仿宋"/>
                <w:sz w:val="24"/>
                <w:szCs w:val="24"/>
              </w:rPr>
            </w:pPr>
            <w:r>
              <w:rPr>
                <w:rFonts w:hint="eastAsia" w:ascii="仿宋" w:hAnsi="仿宋" w:eastAsia="仿宋" w:cs="仿宋"/>
                <w:sz w:val="24"/>
                <w:szCs w:val="24"/>
              </w:rPr>
              <w:t>被授权代表：（签字）</w:t>
            </w:r>
          </w:p>
        </w:tc>
      </w:tr>
      <w:tr w14:paraId="2AE6E1C4">
        <w:tblPrEx>
          <w:tblCellMar>
            <w:top w:w="0" w:type="dxa"/>
            <w:left w:w="108" w:type="dxa"/>
            <w:bottom w:w="0" w:type="dxa"/>
            <w:right w:w="108" w:type="dxa"/>
          </w:tblCellMar>
        </w:tblPrEx>
        <w:trPr>
          <w:trHeight w:val="903" w:hRule="atLeast"/>
        </w:trPr>
        <w:tc>
          <w:tcPr>
            <w:tcW w:w="4911" w:type="dxa"/>
            <w:tcBorders>
              <w:top w:val="single" w:color="000000" w:sz="8" w:space="0"/>
              <w:left w:val="single" w:color="000000" w:sz="8" w:space="0"/>
              <w:bottom w:val="single" w:color="000000" w:sz="8" w:space="0"/>
            </w:tcBorders>
            <w:shd w:val="clear" w:color="auto" w:fill="auto"/>
            <w:noWrap w:val="0"/>
            <w:vAlign w:val="center"/>
          </w:tcPr>
          <w:p w14:paraId="15401C33">
            <w:pPr>
              <w:rPr>
                <w:rFonts w:hint="eastAsia" w:ascii="仿宋" w:hAnsi="仿宋" w:eastAsia="仿宋" w:cs="仿宋"/>
                <w:sz w:val="24"/>
                <w:szCs w:val="24"/>
              </w:rPr>
            </w:pPr>
            <w:r>
              <w:rPr>
                <w:rFonts w:hint="eastAsia" w:ascii="仿宋" w:hAnsi="仿宋" w:eastAsia="仿宋" w:cs="仿宋"/>
                <w:sz w:val="24"/>
                <w:szCs w:val="24"/>
              </w:rPr>
              <w:t>电话：029-81480108</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2B0BEFE8">
            <w:pPr>
              <w:snapToGrid w:val="0"/>
              <w:rPr>
                <w:rFonts w:hint="eastAsia" w:ascii="仿宋" w:hAnsi="仿宋" w:eastAsia="仿宋" w:cs="仿宋"/>
                <w:sz w:val="24"/>
                <w:szCs w:val="24"/>
              </w:rPr>
            </w:pPr>
            <w:r>
              <w:rPr>
                <w:rFonts w:hint="eastAsia" w:ascii="仿宋" w:hAnsi="仿宋" w:eastAsia="仿宋" w:cs="仿宋"/>
                <w:sz w:val="24"/>
                <w:szCs w:val="24"/>
              </w:rPr>
              <w:t>电话：</w:t>
            </w:r>
          </w:p>
        </w:tc>
      </w:tr>
      <w:tr w14:paraId="7C096A17">
        <w:tblPrEx>
          <w:tblCellMar>
            <w:top w:w="0" w:type="dxa"/>
            <w:left w:w="108" w:type="dxa"/>
            <w:bottom w:w="0" w:type="dxa"/>
            <w:right w:w="108" w:type="dxa"/>
          </w:tblCellMar>
        </w:tblPrEx>
        <w:trPr>
          <w:trHeight w:val="1368" w:hRule="atLeast"/>
        </w:trPr>
        <w:tc>
          <w:tcPr>
            <w:tcW w:w="4911" w:type="dxa"/>
            <w:tcBorders>
              <w:top w:val="single" w:color="000000" w:sz="4" w:space="0"/>
              <w:left w:val="single" w:color="000000" w:sz="8" w:space="0"/>
              <w:bottom w:val="single" w:color="000000" w:sz="4" w:space="0"/>
            </w:tcBorders>
            <w:shd w:val="clear" w:color="auto" w:fill="auto"/>
            <w:noWrap w:val="0"/>
            <w:vAlign w:val="center"/>
          </w:tcPr>
          <w:p w14:paraId="3C26DC9B">
            <w:pPr>
              <w:pStyle w:val="2"/>
              <w:rPr>
                <w:rFonts w:hint="eastAsia" w:ascii="仿宋" w:hAnsi="仿宋" w:eastAsia="仿宋" w:cs="仿宋"/>
                <w:sz w:val="24"/>
                <w:szCs w:val="24"/>
              </w:rPr>
            </w:pPr>
            <w:r>
              <w:rPr>
                <w:rFonts w:hint="eastAsia" w:ascii="仿宋" w:hAnsi="仿宋" w:eastAsia="仿宋" w:cs="仿宋"/>
                <w:color w:val="auto"/>
                <w:kern w:val="0"/>
                <w:sz w:val="24"/>
                <w:szCs w:val="24"/>
              </w:rPr>
              <w:t>开户行：西安鄠邑农村商业银行余下支行</w:t>
            </w:r>
          </w:p>
        </w:tc>
        <w:tc>
          <w:tcPr>
            <w:tcW w:w="4128"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07A83DAF">
            <w:pPr>
              <w:rPr>
                <w:rFonts w:hint="eastAsia" w:ascii="仿宋" w:hAnsi="仿宋" w:eastAsia="仿宋" w:cs="仿宋"/>
                <w:sz w:val="24"/>
                <w:szCs w:val="24"/>
              </w:rPr>
            </w:pPr>
            <w:r>
              <w:rPr>
                <w:rFonts w:hint="eastAsia" w:ascii="仿宋" w:hAnsi="仿宋" w:eastAsia="仿宋" w:cs="仿宋"/>
                <w:sz w:val="24"/>
                <w:szCs w:val="24"/>
              </w:rPr>
              <w:t xml:space="preserve">开户行： </w:t>
            </w:r>
          </w:p>
        </w:tc>
      </w:tr>
      <w:tr w14:paraId="5D57D97A">
        <w:tblPrEx>
          <w:tblCellMar>
            <w:top w:w="0" w:type="dxa"/>
            <w:left w:w="108" w:type="dxa"/>
            <w:bottom w:w="0" w:type="dxa"/>
            <w:right w:w="108" w:type="dxa"/>
          </w:tblCellMar>
        </w:tblPrEx>
        <w:trPr>
          <w:trHeight w:val="903" w:hRule="atLeast"/>
        </w:trPr>
        <w:tc>
          <w:tcPr>
            <w:tcW w:w="4911" w:type="dxa"/>
            <w:tcBorders>
              <w:top w:val="single" w:color="000000" w:sz="4" w:space="0"/>
              <w:left w:val="single" w:color="000000" w:sz="8" w:space="0"/>
              <w:bottom w:val="single" w:color="000000" w:sz="4" w:space="0"/>
            </w:tcBorders>
            <w:shd w:val="clear" w:color="auto" w:fill="auto"/>
            <w:noWrap w:val="0"/>
            <w:vAlign w:val="center"/>
          </w:tcPr>
          <w:p w14:paraId="0A487F2A">
            <w:pPr>
              <w:pStyle w:val="2"/>
              <w:rPr>
                <w:rFonts w:hint="eastAsia" w:ascii="仿宋" w:hAnsi="仿宋" w:eastAsia="仿宋" w:cs="仿宋"/>
                <w:sz w:val="24"/>
                <w:szCs w:val="24"/>
              </w:rPr>
            </w:pPr>
            <w:r>
              <w:rPr>
                <w:rFonts w:hint="eastAsia" w:ascii="仿宋" w:hAnsi="仿宋" w:eastAsia="仿宋" w:cs="仿宋"/>
                <w:color w:val="auto"/>
                <w:kern w:val="0"/>
                <w:sz w:val="24"/>
                <w:szCs w:val="24"/>
              </w:rPr>
              <w:t>账户名称：陕西国防工业职业技术学院</w:t>
            </w:r>
          </w:p>
        </w:tc>
        <w:tc>
          <w:tcPr>
            <w:tcW w:w="4128" w:type="dxa"/>
            <w:tcBorders>
              <w:top w:val="single" w:color="000000" w:sz="8" w:space="0"/>
              <w:left w:val="single" w:color="000000" w:sz="8" w:space="0"/>
              <w:bottom w:val="single" w:color="000000" w:sz="4" w:space="0"/>
              <w:right w:val="single" w:color="000000" w:sz="8" w:space="0"/>
            </w:tcBorders>
            <w:shd w:val="clear" w:color="auto" w:fill="auto"/>
            <w:noWrap w:val="0"/>
            <w:vAlign w:val="center"/>
          </w:tcPr>
          <w:p w14:paraId="1719B20C">
            <w:pPr>
              <w:rPr>
                <w:rFonts w:hint="eastAsia" w:ascii="仿宋" w:hAnsi="仿宋" w:eastAsia="仿宋" w:cs="仿宋"/>
                <w:sz w:val="24"/>
                <w:szCs w:val="24"/>
              </w:rPr>
            </w:pPr>
            <w:r>
              <w:rPr>
                <w:rFonts w:hint="eastAsia" w:ascii="仿宋" w:hAnsi="仿宋" w:eastAsia="仿宋" w:cs="仿宋"/>
                <w:sz w:val="24"/>
                <w:szCs w:val="24"/>
              </w:rPr>
              <w:t xml:space="preserve">账户名称： </w:t>
            </w:r>
          </w:p>
        </w:tc>
      </w:tr>
      <w:tr w14:paraId="55999384">
        <w:tblPrEx>
          <w:tblCellMar>
            <w:top w:w="0" w:type="dxa"/>
            <w:left w:w="108" w:type="dxa"/>
            <w:bottom w:w="0" w:type="dxa"/>
            <w:right w:w="108" w:type="dxa"/>
          </w:tblCellMar>
        </w:tblPrEx>
        <w:trPr>
          <w:trHeight w:val="1028" w:hRule="atLeast"/>
        </w:trPr>
        <w:tc>
          <w:tcPr>
            <w:tcW w:w="4911" w:type="dxa"/>
            <w:tcBorders>
              <w:top w:val="single" w:color="000000" w:sz="4" w:space="0"/>
              <w:left w:val="single" w:color="000000" w:sz="8" w:space="0"/>
              <w:bottom w:val="single" w:color="000000" w:sz="8" w:space="0"/>
            </w:tcBorders>
            <w:shd w:val="clear" w:color="auto" w:fill="auto"/>
            <w:noWrap w:val="0"/>
            <w:vAlign w:val="center"/>
          </w:tcPr>
          <w:p w14:paraId="6AF4C2DE">
            <w:pPr>
              <w:pStyle w:val="2"/>
              <w:snapToGrid w:val="0"/>
              <w:rPr>
                <w:rFonts w:hint="eastAsia" w:ascii="仿宋" w:hAnsi="仿宋" w:eastAsia="仿宋" w:cs="仿宋"/>
                <w:sz w:val="24"/>
                <w:szCs w:val="24"/>
              </w:rPr>
            </w:pPr>
            <w:r>
              <w:rPr>
                <w:rFonts w:hint="eastAsia" w:ascii="仿宋" w:hAnsi="仿宋" w:eastAsia="仿宋" w:cs="仿宋"/>
                <w:color w:val="auto"/>
                <w:kern w:val="0"/>
                <w:sz w:val="24"/>
                <w:szCs w:val="24"/>
              </w:rPr>
              <w:t>账号：</w:t>
            </w:r>
          </w:p>
        </w:tc>
        <w:tc>
          <w:tcPr>
            <w:tcW w:w="4128" w:type="dxa"/>
            <w:tcBorders>
              <w:top w:val="single" w:color="000000" w:sz="4" w:space="0"/>
              <w:left w:val="single" w:color="000000" w:sz="8" w:space="0"/>
              <w:bottom w:val="single" w:color="000000" w:sz="8" w:space="0"/>
              <w:right w:val="single" w:color="000000" w:sz="8" w:space="0"/>
            </w:tcBorders>
            <w:shd w:val="clear" w:color="auto" w:fill="auto"/>
            <w:noWrap w:val="0"/>
            <w:vAlign w:val="center"/>
          </w:tcPr>
          <w:p w14:paraId="4E48BCE1">
            <w:pPr>
              <w:tabs>
                <w:tab w:val="left" w:pos="2280"/>
              </w:tabs>
              <w:spacing w:line="400" w:lineRule="exact"/>
              <w:rPr>
                <w:rFonts w:hint="eastAsia" w:ascii="仿宋" w:hAnsi="仿宋" w:eastAsia="仿宋" w:cs="仿宋"/>
                <w:sz w:val="24"/>
                <w:szCs w:val="24"/>
              </w:rPr>
            </w:pPr>
            <w:r>
              <w:rPr>
                <w:rFonts w:hint="eastAsia" w:ascii="仿宋" w:hAnsi="仿宋" w:eastAsia="仿宋" w:cs="仿宋"/>
                <w:sz w:val="24"/>
                <w:szCs w:val="24"/>
              </w:rPr>
              <w:t xml:space="preserve">账号: </w:t>
            </w:r>
          </w:p>
        </w:tc>
      </w:tr>
      <w:tr w14:paraId="70AA0DD2">
        <w:tblPrEx>
          <w:tblCellMar>
            <w:top w:w="0" w:type="dxa"/>
            <w:left w:w="108" w:type="dxa"/>
            <w:bottom w:w="0" w:type="dxa"/>
            <w:right w:w="108" w:type="dxa"/>
          </w:tblCellMar>
        </w:tblPrEx>
        <w:trPr>
          <w:trHeight w:val="903" w:hRule="atLeast"/>
        </w:trPr>
        <w:tc>
          <w:tcPr>
            <w:tcW w:w="9039" w:type="dxa"/>
            <w:gridSpan w:val="2"/>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149D743">
            <w:pPr>
              <w:rPr>
                <w:rFonts w:hint="eastAsia" w:ascii="仿宋" w:hAnsi="仿宋" w:eastAsia="仿宋" w:cs="仿宋"/>
                <w:sz w:val="24"/>
                <w:szCs w:val="24"/>
              </w:rPr>
            </w:pPr>
            <w:r>
              <w:rPr>
                <w:rFonts w:hint="eastAsia" w:ascii="仿宋" w:hAnsi="仿宋" w:eastAsia="仿宋" w:cs="仿宋"/>
                <w:sz w:val="24"/>
                <w:szCs w:val="24"/>
              </w:rPr>
              <w:t>鉴证方</w:t>
            </w:r>
          </w:p>
        </w:tc>
      </w:tr>
      <w:tr w14:paraId="135F1C8F">
        <w:tblPrEx>
          <w:tblCellMar>
            <w:top w:w="0" w:type="dxa"/>
            <w:left w:w="108" w:type="dxa"/>
            <w:bottom w:w="0" w:type="dxa"/>
            <w:right w:w="108" w:type="dxa"/>
          </w:tblCellMar>
        </w:tblPrEx>
        <w:trPr>
          <w:trHeight w:val="1061" w:hRule="atLeast"/>
        </w:trPr>
        <w:tc>
          <w:tcPr>
            <w:tcW w:w="9039" w:type="dxa"/>
            <w:gridSpan w:val="2"/>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438951EA">
            <w:pPr>
              <w:spacing w:before="120" w:beforeLines="50" w:after="120" w:afterLines="50"/>
              <w:ind w:firstLine="2160" w:firstLineChars="900"/>
              <w:jc w:val="left"/>
              <w:rPr>
                <w:rFonts w:hint="eastAsia" w:ascii="仿宋" w:hAnsi="仿宋" w:eastAsia="仿宋" w:cs="仿宋"/>
                <w:sz w:val="24"/>
                <w:szCs w:val="24"/>
              </w:rPr>
            </w:pPr>
            <w:r>
              <w:rPr>
                <w:rFonts w:hint="eastAsia" w:ascii="仿宋" w:hAnsi="仿宋" w:eastAsia="仿宋" w:cs="仿宋"/>
                <w:sz w:val="24"/>
                <w:szCs w:val="24"/>
              </w:rPr>
              <w:t>（公章）</w:t>
            </w:r>
          </w:p>
        </w:tc>
      </w:tr>
      <w:tr w14:paraId="086A6A67">
        <w:tblPrEx>
          <w:tblCellMar>
            <w:top w:w="0" w:type="dxa"/>
            <w:left w:w="108" w:type="dxa"/>
            <w:bottom w:w="0" w:type="dxa"/>
            <w:right w:w="108" w:type="dxa"/>
          </w:tblCellMar>
        </w:tblPrEx>
        <w:trPr>
          <w:trHeight w:val="791" w:hRule="atLeast"/>
        </w:trPr>
        <w:tc>
          <w:tcPr>
            <w:tcW w:w="9039" w:type="dxa"/>
            <w:gridSpan w:val="2"/>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5996A6C2">
            <w:pPr>
              <w:pStyle w:val="2"/>
              <w:ind w:left="723" w:hanging="723"/>
              <w:rPr>
                <w:rFonts w:hint="eastAsia" w:ascii="仿宋" w:hAnsi="仿宋" w:eastAsia="仿宋" w:cs="仿宋"/>
                <w:sz w:val="24"/>
                <w:szCs w:val="24"/>
              </w:rPr>
            </w:pPr>
            <w:r>
              <w:rPr>
                <w:rFonts w:hint="eastAsia" w:ascii="仿宋" w:hAnsi="仿宋" w:eastAsia="仿宋" w:cs="仿宋"/>
                <w:color w:val="auto"/>
                <w:kern w:val="0"/>
                <w:sz w:val="24"/>
                <w:szCs w:val="24"/>
              </w:rPr>
              <w:t>地址：</w:t>
            </w:r>
          </w:p>
        </w:tc>
      </w:tr>
      <w:tr w14:paraId="5779B6B2">
        <w:tblPrEx>
          <w:tblCellMar>
            <w:top w:w="0" w:type="dxa"/>
            <w:left w:w="108" w:type="dxa"/>
            <w:bottom w:w="0" w:type="dxa"/>
            <w:right w:w="108" w:type="dxa"/>
          </w:tblCellMar>
        </w:tblPrEx>
        <w:trPr>
          <w:trHeight w:val="791" w:hRule="atLeast"/>
        </w:trPr>
        <w:tc>
          <w:tcPr>
            <w:tcW w:w="9039" w:type="dxa"/>
            <w:gridSpan w:val="2"/>
            <w:tcBorders>
              <w:top w:val="single" w:color="000000" w:sz="8" w:space="0"/>
              <w:left w:val="single" w:color="000000" w:sz="8" w:space="0"/>
              <w:bottom w:val="single" w:color="000000" w:sz="4" w:space="0"/>
              <w:right w:val="single" w:color="000000" w:sz="8" w:space="0"/>
            </w:tcBorders>
            <w:shd w:val="clear" w:color="auto" w:fill="auto"/>
            <w:noWrap w:val="0"/>
            <w:vAlign w:val="center"/>
          </w:tcPr>
          <w:p w14:paraId="617CCD33">
            <w:pPr>
              <w:pStyle w:val="2"/>
              <w:ind w:left="723" w:hanging="723"/>
              <w:rPr>
                <w:rFonts w:hint="eastAsia" w:ascii="仿宋" w:hAnsi="仿宋" w:eastAsia="仿宋" w:cs="仿宋"/>
                <w:sz w:val="24"/>
                <w:szCs w:val="24"/>
              </w:rPr>
            </w:pPr>
            <w:r>
              <w:rPr>
                <w:rFonts w:hint="eastAsia" w:ascii="仿宋" w:hAnsi="仿宋" w:eastAsia="仿宋" w:cs="仿宋"/>
                <w:color w:val="auto"/>
                <w:kern w:val="0"/>
                <w:sz w:val="24"/>
                <w:szCs w:val="24"/>
              </w:rPr>
              <w:t>被授权代表：</w:t>
            </w:r>
          </w:p>
        </w:tc>
      </w:tr>
      <w:tr w14:paraId="32BDA910">
        <w:tblPrEx>
          <w:tblCellMar>
            <w:top w:w="0" w:type="dxa"/>
            <w:left w:w="108" w:type="dxa"/>
            <w:bottom w:w="0" w:type="dxa"/>
            <w:right w:w="108" w:type="dxa"/>
          </w:tblCellMar>
        </w:tblPrEx>
        <w:trPr>
          <w:trHeight w:val="767" w:hRule="atLeast"/>
        </w:trPr>
        <w:tc>
          <w:tcPr>
            <w:tcW w:w="9039" w:type="dxa"/>
            <w:gridSpan w:val="2"/>
            <w:tcBorders>
              <w:top w:val="single" w:color="000000" w:sz="4" w:space="0"/>
              <w:left w:val="single" w:color="000000" w:sz="8" w:space="0"/>
              <w:bottom w:val="single" w:color="000000" w:sz="8" w:space="0"/>
              <w:right w:val="single" w:color="000000" w:sz="8" w:space="0"/>
            </w:tcBorders>
            <w:shd w:val="clear" w:color="auto" w:fill="auto"/>
            <w:noWrap w:val="0"/>
            <w:vAlign w:val="center"/>
          </w:tcPr>
          <w:p w14:paraId="4F814E7E">
            <w:pPr>
              <w:pStyle w:val="2"/>
              <w:ind w:left="723" w:hanging="723"/>
              <w:rPr>
                <w:rFonts w:hint="eastAsia" w:ascii="仿宋" w:hAnsi="仿宋" w:eastAsia="仿宋" w:cs="仿宋"/>
                <w:sz w:val="24"/>
                <w:szCs w:val="24"/>
              </w:rPr>
            </w:pPr>
            <w:r>
              <w:rPr>
                <w:rFonts w:hint="eastAsia" w:ascii="仿宋" w:hAnsi="仿宋" w:eastAsia="仿宋" w:cs="仿宋"/>
                <w:color w:val="auto"/>
                <w:kern w:val="0"/>
                <w:sz w:val="24"/>
                <w:szCs w:val="24"/>
              </w:rPr>
              <w:t>电话：029-87888601-8013</w:t>
            </w:r>
          </w:p>
        </w:tc>
      </w:tr>
      <w:tr w14:paraId="5DB31F24">
        <w:tblPrEx>
          <w:tblCellMar>
            <w:top w:w="0" w:type="dxa"/>
            <w:left w:w="108" w:type="dxa"/>
            <w:bottom w:w="0" w:type="dxa"/>
            <w:right w:w="108" w:type="dxa"/>
          </w:tblCellMar>
        </w:tblPrEx>
        <w:trPr>
          <w:trHeight w:val="839" w:hRule="atLeast"/>
        </w:trPr>
        <w:tc>
          <w:tcPr>
            <w:tcW w:w="9039" w:type="dxa"/>
            <w:gridSpan w:val="2"/>
            <w:tcBorders>
              <w:top w:val="single" w:color="000000" w:sz="8" w:space="0"/>
              <w:left w:val="single" w:color="000000" w:sz="8" w:space="0"/>
              <w:bottom w:val="single" w:color="000000" w:sz="8" w:space="0"/>
              <w:right w:val="single" w:color="000000" w:sz="8" w:space="0"/>
            </w:tcBorders>
            <w:shd w:val="clear" w:color="auto" w:fill="auto"/>
            <w:noWrap w:val="0"/>
            <w:vAlign w:val="center"/>
          </w:tcPr>
          <w:p w14:paraId="7857571A">
            <w:pPr>
              <w:pStyle w:val="2"/>
              <w:snapToGrid w:val="0"/>
              <w:ind w:left="723" w:hanging="723"/>
              <w:rPr>
                <w:rFonts w:hint="eastAsia" w:ascii="仿宋" w:hAnsi="仿宋" w:eastAsia="仿宋" w:cs="仿宋"/>
                <w:sz w:val="24"/>
                <w:szCs w:val="24"/>
              </w:rPr>
            </w:pPr>
            <w:r>
              <w:rPr>
                <w:rFonts w:hint="eastAsia" w:ascii="仿宋" w:hAnsi="仿宋" w:eastAsia="仿宋" w:cs="仿宋"/>
                <w:color w:val="auto"/>
                <w:kern w:val="0"/>
                <w:sz w:val="24"/>
                <w:szCs w:val="24"/>
              </w:rPr>
              <w:t xml:space="preserve">                                       日期： 202</w:t>
            </w: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rPr>
              <w:t>年    月     日</w:t>
            </w:r>
          </w:p>
        </w:tc>
      </w:tr>
    </w:tbl>
    <w:p w14:paraId="665C7482">
      <w:pPr>
        <w:pStyle w:val="6"/>
        <w:rPr>
          <w:rFonts w:hint="eastAsia" w:ascii="仿宋" w:hAnsi="仿宋" w:eastAsia="仿宋" w:cs="仿宋"/>
          <w:highlight w:val="none"/>
        </w:rPr>
      </w:pPr>
      <w:r>
        <w:rPr>
          <w:rFonts w:hint="eastAsia" w:ascii="仿宋" w:hAnsi="仿宋" w:eastAsia="仿宋" w:cs="仿宋"/>
          <w:highlight w:val="none"/>
        </w:rPr>
        <w:br w:type="textWrapping"/>
      </w:r>
    </w:p>
    <w:p w14:paraId="7AB171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CFB8D"/>
    <w:multiLevelType w:val="singleLevel"/>
    <w:tmpl w:val="15BCFB8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CE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720"/>
      </w:tabs>
      <w:spacing w:line="0" w:lineRule="atLeast"/>
    </w:pPr>
    <w:rPr>
      <w:sz w:val="28"/>
    </w:rPr>
  </w:style>
  <w:style w:type="paragraph" w:styleId="3">
    <w:name w:val="Plain Text"/>
    <w:basedOn w:val="1"/>
    <w:qFormat/>
    <w:uiPriority w:val="99"/>
    <w:rPr>
      <w:rFonts w:ascii="宋体" w:hAnsi="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2026-06-05T08:13:45Z</dcterms:created>
  <dc:creator>think</dc:creator>
  <cp:lastModifiedBy>陕西中技</cp:lastModifiedBy>
  <dcterms:modified xsi:type="dcterms:W3CDTF">2026-06-05T08:13:51Z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eyJoZGlkIjoiMjYwMWE2MTA2YTBhYzcwNTEyMmQ4MTk1OTE0NWFhYWEiLCJ1c2VySWQiOiI0MzQ4NTIyNDMifQ==</vt:lpwstr>
  </property>
  <property fmtid="{D5CDD505-2E9C-101B-9397-08002B2CF9AE}" pid="4" name="ICV">
    <vt:lpwstr>9BD0DB6A34EF4D25B007B9BA59BDB37B_12</vt:lpwstr>
  </property>
</Properties>
</file>