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版本号：ZYZX2026-02020260707001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ZYZX2026-020</w:t>
      </w:r>
      <w:r>
        <w:br/>
      </w:r>
      <w:r>
        <w:br/>
      </w:r>
      <w:r>
        <w:br/>
      </w:r>
    </w:p>
    <w:p>
      <w:pPr>
        <w:pStyle w:val="null3"/>
        <w:jc w:val="center"/>
        <w:outlineLvl w:val="2"/>
      </w:pPr>
      <w:r>
        <w:rPr>
          <w:rFonts w:ascii="仿宋_GB2312" w:hAnsi="仿宋_GB2312" w:cs="仿宋_GB2312" w:eastAsia="仿宋_GB2312"/>
          <w:sz w:val="28"/>
          <w:b/>
        </w:rPr>
        <w:t>西安高新第十小学</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西安高新第十小学</w:t>
      </w:r>
      <w:r>
        <w:rPr>
          <w:rFonts w:ascii="仿宋_GB2312" w:hAnsi="仿宋_GB2312" w:cs="仿宋_GB2312" w:eastAsia="仿宋_GB2312"/>
        </w:rPr>
        <w:t>委托，拟对</w:t>
      </w:r>
      <w:r>
        <w:rPr>
          <w:rFonts w:ascii="仿宋_GB2312" w:hAnsi="仿宋_GB2312" w:cs="仿宋_GB2312" w:eastAsia="仿宋_GB2312"/>
        </w:rPr>
        <w:t>操场维修改造工程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ZYZX2026-020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操场维修改造工程1项，具体详见采购文件第三章 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7、供应商资质要求：供应商具备建设行政主管部门颁发的建筑工程施工总承包三级及以上资质，并具备有效的安全生产许可证，供应商需在项目电子化交易系统中按要求上传相应证明文件并进行电子签章。</w:t>
      </w:r>
    </w:p>
    <w:p>
      <w:pPr>
        <w:pStyle w:val="null3"/>
      </w:pPr>
      <w:r>
        <w:rPr>
          <w:rFonts w:ascii="仿宋_GB2312" w:hAnsi="仿宋_GB2312" w:cs="仿宋_GB2312" w:eastAsia="仿宋_GB2312"/>
        </w:rPr>
        <w:t>8、拟派项目经理执业要求：供应商拟派项目经理具有本企业注册的建筑工程专业二级及以上注册建造师证书及安全考核合格证,且无在建，供应商需在项目电子化交易系统中按要求上传相应证明文件并进行电子签章。</w:t>
      </w:r>
    </w:p>
    <w:p>
      <w:pPr>
        <w:pStyle w:val="null3"/>
      </w:pPr>
      <w:r>
        <w:rPr>
          <w:rFonts w:ascii="仿宋_GB2312" w:hAnsi="仿宋_GB2312" w:cs="仿宋_GB2312" w:eastAsia="仿宋_GB2312"/>
        </w:rPr>
        <w:t>9、基本信息要求：供应商资质基本信息及项目经理基本信息应在“陕西省住房和城乡建设厅网（http://js.shaanxi.gov.cn/）（查询路径：政务服务-企业库/人员库-可查询）或全国建筑市场监管公共服务平台可查询，供应商需在项目电子化交易系统中按要求上传相应证明文件并进行电子签章。</w:t>
      </w:r>
    </w:p>
    <w:p>
      <w:pPr>
        <w:pStyle w:val="null3"/>
      </w:pPr>
      <w:r>
        <w:rPr>
          <w:rFonts w:ascii="仿宋_GB2312" w:hAnsi="仿宋_GB2312" w:cs="仿宋_GB2312" w:eastAsia="仿宋_GB2312"/>
        </w:rPr>
        <w:t>10、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西安高新第十小学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西三环以东，彩虹路以南，经十四路以西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029-88778316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采购包1：1,062,100.00元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代理服务费收费标准：1.参照国家计委颁布的《招标代理服务收费管理暂行办法》（计价格[2002]1980号）和（发改办价格[2003]857号）、发改价格[2011]534号中工程类的收费标准计取 2.成交单位在领取成交通知书之前，须向代理机构支付招标代理服务费。 3.招标代理服务费以转账或现金形式缴纳至以下账户：开户名称：正飏（陕西）项目管理咨询有限公司，开户银行：上海浦东发展银行股份有限公司西安电子正街支行，账号：72230078801300000775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西安高新第十小学</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西安高新第十小学</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西安高新第十小学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联系人：王浩</w:t>
      </w:r>
    </w:p>
    <w:p>
      <w:pPr>
        <w:pStyle w:val="null3"/>
      </w:pPr>
      <w:r>
        <w:rPr>
          <w:rFonts w:ascii="仿宋_GB2312" w:hAnsi="仿宋_GB2312" w:cs="仿宋_GB2312" w:eastAsia="仿宋_GB2312"/>
        </w:rPr>
        <w:t>联系电话：029-81101622</w:t>
      </w:r>
    </w:p>
    <w:p>
      <w:pPr>
        <w:pStyle w:val="null3"/>
      </w:pPr>
      <w:r>
        <w:rPr>
          <w:rFonts w:ascii="仿宋_GB2312" w:hAnsi="仿宋_GB2312" w:cs="仿宋_GB2312" w:eastAsia="仿宋_GB2312"/>
        </w:rPr>
        <w:t>地址：陕西省西安市雁塔区电子正街云锦紫豪商务中心13层06室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1,062,100.00</w:t>
      </w:r>
    </w:p>
    <w:p>
      <w:pPr>
        <w:pStyle w:val="null3"/>
      </w:pPr>
      <w:r>
        <w:rPr>
          <w:rFonts w:ascii="仿宋_GB2312" w:hAnsi="仿宋_GB2312" w:cs="仿宋_GB2312" w:eastAsia="仿宋_GB2312"/>
        </w:rPr>
        <w:t>采购包最高限价（元）: 1,062,100.00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1,062,100.00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left"/>
            </w:pPr>
            <w:r>
              <w:rPr>
                <w:rFonts w:ascii="仿宋_GB2312" w:hAnsi="仿宋_GB2312" w:cs="仿宋_GB2312" w:eastAsia="仿宋_GB2312"/>
                <w:sz w:val="21"/>
              </w:rPr>
              <w:t>一、项目名称：操场维修改造工程</w:t>
            </w:r>
          </w:p>
          <w:p>
            <w:pPr>
              <w:pStyle w:val="null3"/>
              <w:ind w:firstLine="420"/>
              <w:jc w:val="left"/>
            </w:pPr>
            <w:r>
              <w:rPr>
                <w:rFonts w:ascii="仿宋_GB2312" w:hAnsi="仿宋_GB2312" w:cs="仿宋_GB2312" w:eastAsia="仿宋_GB2312"/>
                <w:sz w:val="21"/>
              </w:rPr>
              <w:t>二、项目概况：本项目为校园既有场地翻新修缮，不新增建设用地、不改动校园整体布局，工程内容主要分为原有草坪塑胶拆除、环沟修整、人造草坪更换、混合型塑胶跑道翻新、硅</w:t>
            </w:r>
            <w:r>
              <w:rPr>
                <w:rFonts w:ascii="仿宋_GB2312" w:hAnsi="仿宋_GB2312" w:cs="仿宋_GB2312" w:eastAsia="仿宋_GB2312"/>
                <w:sz w:val="21"/>
              </w:rPr>
              <w:t>PU 篮球场翻新等，具体施工内容以工程量清单为准。</w:t>
            </w:r>
          </w:p>
          <w:p>
            <w:pPr>
              <w:pStyle w:val="null3"/>
              <w:ind w:firstLine="420"/>
              <w:jc w:val="left"/>
            </w:pPr>
            <w:r>
              <w:rPr>
                <w:rFonts w:ascii="仿宋_GB2312" w:hAnsi="仿宋_GB2312" w:cs="仿宋_GB2312" w:eastAsia="仿宋_GB2312"/>
                <w:sz w:val="21"/>
              </w:rPr>
              <w:t>三、工程量清单（详见附件）</w:t>
            </w:r>
          </w:p>
          <w:p>
            <w:pPr>
              <w:pStyle w:val="null3"/>
              <w:ind w:firstLine="420"/>
              <w:jc w:val="left"/>
            </w:pPr>
            <w:r>
              <w:rPr>
                <w:rFonts w:ascii="仿宋_GB2312" w:hAnsi="仿宋_GB2312" w:cs="仿宋_GB2312" w:eastAsia="仿宋_GB2312"/>
                <w:sz w:val="21"/>
              </w:rPr>
              <w:t>四、工程量清单编制说明：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编制依据：</w:t>
            </w:r>
          </w:p>
          <w:p>
            <w:pPr>
              <w:pStyle w:val="null3"/>
              <w:numPr>
                <w:ilvl w:val="0"/>
                <w:numId w:val="1"/>
              </w:numPr>
              <w:jc w:val="left"/>
            </w:pPr>
            <w:r>
              <w:rPr>
                <w:rFonts w:ascii="仿宋_GB2312" w:hAnsi="仿宋_GB2312" w:cs="仿宋_GB2312" w:eastAsia="仿宋_GB2312"/>
                <w:sz w:val="21"/>
              </w:rPr>
              <w:t>操场维修改造工程施工图纸</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2、陕西省《建设工程工程量清单计价标准》2025；</w:t>
            </w:r>
          </w:p>
          <w:p>
            <w:pPr>
              <w:pStyle w:val="null3"/>
              <w:ind w:firstLine="420"/>
              <w:jc w:val="left"/>
            </w:pPr>
            <w:r>
              <w:rPr>
                <w:rFonts w:ascii="仿宋_GB2312" w:hAnsi="仿宋_GB2312" w:cs="仿宋_GB2312" w:eastAsia="仿宋_GB2312"/>
                <w:sz w:val="21"/>
              </w:rPr>
              <w:t>3、陕西省《房屋建筑与装饰工程工程量计算标准》2025、陕西省《通用安装工程工程量计算标准》2025、陕西省《市政工程工程量计算标准》2025、陕西省《园林绿化工程工程量计算标准》2025；</w:t>
            </w:r>
          </w:p>
          <w:p>
            <w:pPr>
              <w:pStyle w:val="null3"/>
              <w:ind w:firstLine="420"/>
              <w:jc w:val="left"/>
            </w:pPr>
            <w:r>
              <w:rPr>
                <w:rFonts w:ascii="仿宋_GB2312" w:hAnsi="仿宋_GB2312" w:cs="仿宋_GB2312" w:eastAsia="仿宋_GB2312"/>
                <w:sz w:val="21"/>
              </w:rPr>
              <w:t>4、《陕西省建设工程费用规则》（2025）；</w:t>
            </w:r>
          </w:p>
          <w:p>
            <w:pPr>
              <w:pStyle w:val="null3"/>
              <w:ind w:firstLine="420"/>
              <w:jc w:val="left"/>
            </w:pPr>
            <w:r>
              <w:rPr>
                <w:rFonts w:ascii="仿宋_GB2312" w:hAnsi="仿宋_GB2312" w:cs="仿宋_GB2312" w:eastAsia="仿宋_GB2312"/>
                <w:sz w:val="21"/>
              </w:rPr>
              <w:t>5、《陕西省房屋建筑与装饰工程消耗量定额》（2025）、《陕西省通用安装工程消耗量定额》（2025）、《陕西省市政工程消耗量定额》（2025）、《陕西省园林绿化工程消耗量定额》(2025)；</w:t>
            </w:r>
          </w:p>
          <w:p>
            <w:pPr>
              <w:pStyle w:val="null3"/>
              <w:ind w:firstLine="420"/>
              <w:jc w:val="left"/>
            </w:pPr>
            <w:r>
              <w:rPr>
                <w:rFonts w:ascii="仿宋_GB2312" w:hAnsi="仿宋_GB2312" w:cs="仿宋_GB2312" w:eastAsia="仿宋_GB2312"/>
                <w:sz w:val="21"/>
              </w:rPr>
              <w:t>6、《陕西省房屋建筑与装饰工程基价表》(2025)、《陕西省通用安装工程基价表》(2025)、《陕西省市政工程基价表》(2025）、《陕西省园林绿化工程基价表》(2025)；</w:t>
            </w:r>
          </w:p>
          <w:p>
            <w:pPr>
              <w:pStyle w:val="null3"/>
              <w:ind w:firstLine="420"/>
              <w:jc w:val="left"/>
            </w:pPr>
            <w:r>
              <w:rPr>
                <w:rFonts w:ascii="仿宋_GB2312" w:hAnsi="仿宋_GB2312" w:cs="仿宋_GB2312" w:eastAsia="仿宋_GB2312"/>
                <w:sz w:val="21"/>
              </w:rPr>
              <w:t>7、《陕西省建设工程施工机械台班费用定额》（2025）、《陕西省建设工程施工仪器仪表台班费用定额》（2025）；</w:t>
            </w:r>
          </w:p>
          <w:p>
            <w:pPr>
              <w:pStyle w:val="null3"/>
              <w:ind w:firstLine="420"/>
              <w:jc w:val="left"/>
            </w:pPr>
            <w:r>
              <w:rPr>
                <w:rFonts w:ascii="仿宋_GB2312" w:hAnsi="仿宋_GB2312" w:cs="仿宋_GB2312" w:eastAsia="仿宋_GB2312"/>
                <w:sz w:val="21"/>
              </w:rPr>
              <w:t>8、依据常规的施工组织设计及施工方法；</w:t>
            </w:r>
          </w:p>
          <w:p>
            <w:pPr>
              <w:pStyle w:val="null3"/>
              <w:ind w:firstLine="420"/>
              <w:jc w:val="left"/>
            </w:pPr>
            <w:r>
              <w:rPr>
                <w:rFonts w:ascii="仿宋_GB2312" w:hAnsi="仿宋_GB2312" w:cs="仿宋_GB2312" w:eastAsia="仿宋_GB2312"/>
                <w:sz w:val="21"/>
              </w:rPr>
              <w:t>9、施工图设计中采用的相关规范、标准、技术资料；</w:t>
            </w:r>
          </w:p>
          <w:p>
            <w:pPr>
              <w:pStyle w:val="null3"/>
              <w:ind w:firstLine="420"/>
              <w:jc w:val="left"/>
            </w:pPr>
            <w:r>
              <w:rPr>
                <w:rFonts w:ascii="仿宋_GB2312" w:hAnsi="仿宋_GB2312" w:cs="仿宋_GB2312" w:eastAsia="仿宋_GB2312"/>
                <w:sz w:val="21"/>
              </w:rPr>
              <w:t>10、施工图纸问题回复及甲方提供的其他相关资料；</w:t>
            </w:r>
          </w:p>
          <w:p>
            <w:pPr>
              <w:pStyle w:val="null3"/>
              <w:ind w:firstLine="420"/>
              <w:jc w:val="left"/>
            </w:pPr>
            <w:r>
              <w:rPr>
                <w:rFonts w:ascii="仿宋_GB2312" w:hAnsi="仿宋_GB2312" w:cs="仿宋_GB2312" w:eastAsia="仿宋_GB2312"/>
                <w:sz w:val="21"/>
              </w:rPr>
              <w:t>11、本工程主材单价参考《陕西省202</w:t>
            </w:r>
            <w:r>
              <w:rPr>
                <w:rFonts w:ascii="仿宋_GB2312" w:hAnsi="仿宋_GB2312" w:cs="仿宋_GB2312" w:eastAsia="仿宋_GB2312"/>
                <w:sz w:val="21"/>
              </w:rPr>
              <w:t>6</w:t>
            </w:r>
            <w:r>
              <w:rPr>
                <w:rFonts w:ascii="仿宋_GB2312" w:hAnsi="仿宋_GB2312" w:cs="仿宋_GB2312" w:eastAsia="仿宋_GB2312"/>
                <w:sz w:val="21"/>
              </w:rPr>
              <w:t>年第</w:t>
            </w:r>
            <w:r>
              <w:rPr>
                <w:rFonts w:ascii="仿宋_GB2312" w:hAnsi="仿宋_GB2312" w:cs="仿宋_GB2312" w:eastAsia="仿宋_GB2312"/>
                <w:sz w:val="21"/>
              </w:rPr>
              <w:t>5</w:t>
            </w:r>
            <w:r>
              <w:rPr>
                <w:rFonts w:ascii="仿宋_GB2312" w:hAnsi="仿宋_GB2312" w:cs="仿宋_GB2312" w:eastAsia="仿宋_GB2312"/>
                <w:sz w:val="21"/>
              </w:rPr>
              <w:t>期材料信息价》并综合考虑市场价格；</w:t>
            </w:r>
          </w:p>
          <w:p>
            <w:pPr>
              <w:pStyle w:val="null3"/>
              <w:ind w:firstLine="420"/>
              <w:jc w:val="left"/>
            </w:pPr>
            <w:r>
              <w:rPr>
                <w:rFonts w:ascii="仿宋_GB2312" w:hAnsi="仿宋_GB2312" w:cs="仿宋_GB2312" w:eastAsia="仿宋_GB2312"/>
                <w:sz w:val="21"/>
              </w:rPr>
              <w:t>12、西安高新区第十小学操场维修改造工程可行性及必要性分析报告等及甲方提供的其他相关资料。</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）编制范围：</w:t>
            </w:r>
          </w:p>
          <w:p>
            <w:pPr>
              <w:pStyle w:val="null3"/>
              <w:ind w:firstLine="420"/>
              <w:jc w:val="left"/>
            </w:pPr>
            <w:r>
              <w:rPr>
                <w:rFonts w:ascii="仿宋_GB2312" w:hAnsi="仿宋_GB2312" w:cs="仿宋_GB2312" w:eastAsia="仿宋_GB2312"/>
                <w:sz w:val="21"/>
              </w:rPr>
              <w:t>1、根据本次招标所发工程量清单及招标文件规定的全部内容，具体范围详见招标范围。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）工程量清单报价表的有关说明：</w:t>
            </w:r>
          </w:p>
          <w:p>
            <w:pPr>
              <w:pStyle w:val="null3"/>
              <w:ind w:firstLine="420"/>
              <w:jc w:val="left"/>
            </w:pPr>
            <w:r>
              <w:rPr>
                <w:rFonts w:ascii="仿宋_GB2312" w:hAnsi="仿宋_GB2312" w:cs="仿宋_GB2312" w:eastAsia="仿宋_GB2312"/>
                <w:sz w:val="21"/>
              </w:rPr>
              <w:t>1、本工程采用广联达云计价平台GCCP7.0（7.5000.23.</w:t>
            </w:r>
            <w:r>
              <w:rPr>
                <w:rFonts w:ascii="仿宋_GB2312" w:hAnsi="仿宋_GB2312" w:cs="仿宋_GB2312" w:eastAsia="仿宋_GB2312"/>
                <w:sz w:val="21"/>
              </w:rPr>
              <w:t>3</w:t>
            </w:r>
            <w:r>
              <w:rPr>
                <w:rFonts w:ascii="仿宋_GB2312" w:hAnsi="仿宋_GB2312" w:cs="仿宋_GB2312" w:eastAsia="仿宋_GB2312"/>
                <w:sz w:val="21"/>
              </w:rPr>
              <w:t>）版本；</w:t>
            </w:r>
          </w:p>
          <w:p>
            <w:pPr>
              <w:pStyle w:val="null3"/>
              <w:ind w:firstLine="420"/>
              <w:jc w:val="left"/>
            </w:pPr>
            <w:r>
              <w:rPr>
                <w:rFonts w:ascii="仿宋_GB2312" w:hAnsi="仿宋_GB2312" w:cs="仿宋_GB2312" w:eastAsia="仿宋_GB2312"/>
                <w:sz w:val="21"/>
              </w:rPr>
              <w:t>2、其它未尽说明，以招标文件以及图纸答疑为准。</w:t>
            </w:r>
          </w:p>
          <w:p>
            <w:pPr>
              <w:pStyle w:val="null3"/>
              <w:ind w:firstLine="420"/>
              <w:jc w:val="left"/>
            </w:pP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工期</w:t>
            </w:r>
            <w:r>
              <w:rPr>
                <w:rFonts w:ascii="仿宋_GB2312" w:hAnsi="仿宋_GB2312" w:cs="仿宋_GB2312" w:eastAsia="仿宋_GB2312"/>
                <w:sz w:val="21"/>
              </w:rPr>
              <w:t>：</w:t>
            </w:r>
            <w:r>
              <w:rPr>
                <w:rFonts w:ascii="仿宋_GB2312" w:hAnsi="仿宋_GB2312" w:cs="仿宋_GB2312" w:eastAsia="仿宋_GB2312"/>
                <w:sz w:val="21"/>
              </w:rPr>
              <w:t>2026年08月25日前竣工</w:t>
            </w:r>
          </w:p>
          <w:p>
            <w:pPr>
              <w:pStyle w:val="null3"/>
              <w:ind w:firstLine="420"/>
              <w:jc w:val="left"/>
            </w:pPr>
            <w:r>
              <w:rPr>
                <w:rFonts w:ascii="仿宋_GB2312" w:hAnsi="仿宋_GB2312" w:cs="仿宋_GB2312" w:eastAsia="仿宋_GB2312"/>
                <w:sz w:val="21"/>
              </w:rPr>
              <w:t>六、质量标准：合格，达到国家及行业现行验收标准。</w:t>
            </w:r>
          </w:p>
          <w:p>
            <w:pPr>
              <w:pStyle w:val="null3"/>
              <w:ind w:firstLine="420"/>
              <w:jc w:val="left"/>
            </w:pPr>
            <w:r>
              <w:rPr>
                <w:rFonts w:ascii="仿宋_GB2312" w:hAnsi="仿宋_GB2312" w:cs="仿宋_GB2312" w:eastAsia="仿宋_GB2312"/>
                <w:sz w:val="21"/>
              </w:rPr>
              <w:t>七、其他要求：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混合型塑胶跑道材料</w:t>
            </w:r>
            <w:r>
              <w:rPr>
                <w:rFonts w:ascii="仿宋_GB2312" w:hAnsi="仿宋_GB2312" w:cs="仿宋_GB2312" w:eastAsia="仿宋_GB2312"/>
                <w:sz w:val="21"/>
              </w:rPr>
              <w:t>参数要求</w:t>
            </w:r>
          </w:p>
          <w:p>
            <w:pPr>
              <w:pStyle w:val="null3"/>
              <w:ind w:firstLine="420"/>
              <w:jc w:val="left"/>
            </w:pPr>
            <w:r>
              <w:rPr>
                <w:rFonts w:ascii="仿宋_GB2312" w:hAnsi="仿宋_GB2312" w:cs="仿宋_GB2312" w:eastAsia="仿宋_GB2312"/>
                <w:sz w:val="21"/>
              </w:rPr>
              <w:t>塑胶跑道选用混合型以聚氨酯（</w:t>
            </w:r>
            <w:r>
              <w:rPr>
                <w:rFonts w:ascii="仿宋_GB2312" w:hAnsi="仿宋_GB2312" w:cs="仿宋_GB2312" w:eastAsia="仿宋_GB2312"/>
                <w:sz w:val="21"/>
              </w:rPr>
              <w:t>PU）、EPDM彩色橡胶颗粒、环保助剂为核心原料，摊铺固化形成弹性运动面层，适配田径训练、赛事、校园教学使用，总厚在≥13mm，面层采用双组份喷面胶做防滑处理，材料配比、搅拌、喷涂、固化等工序均按规范执行，确保场地平整、颜色均匀、坚固耐老化。</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硅</w:t>
            </w:r>
            <w:r>
              <w:rPr>
                <w:rFonts w:ascii="仿宋_GB2312" w:hAnsi="仿宋_GB2312" w:cs="仿宋_GB2312" w:eastAsia="仿宋_GB2312"/>
                <w:sz w:val="21"/>
              </w:rPr>
              <w:t>PU材料</w:t>
            </w:r>
            <w:r>
              <w:rPr>
                <w:rFonts w:ascii="仿宋_GB2312" w:hAnsi="仿宋_GB2312" w:cs="仿宋_GB2312" w:eastAsia="仿宋_GB2312"/>
                <w:sz w:val="21"/>
              </w:rPr>
              <w:t>参数要求</w:t>
            </w:r>
          </w:p>
          <w:p>
            <w:pPr>
              <w:pStyle w:val="null3"/>
              <w:ind w:firstLine="420"/>
              <w:jc w:val="left"/>
            </w:pPr>
            <w:r>
              <w:rPr>
                <w:rFonts w:ascii="仿宋_GB2312" w:hAnsi="仿宋_GB2312" w:cs="仿宋_GB2312" w:eastAsia="仿宋_GB2312"/>
                <w:sz w:val="21"/>
              </w:rPr>
              <w:t>篮球场采用硅</w:t>
            </w:r>
            <w:r>
              <w:rPr>
                <w:rFonts w:ascii="仿宋_GB2312" w:hAnsi="仿宋_GB2312" w:cs="仿宋_GB2312" w:eastAsia="仿宋_GB2312"/>
                <w:sz w:val="21"/>
              </w:rPr>
              <w:t>PU 双层结构材料，依次开展基层修补清洗、封底层、弹性层、加强层、面漆层施工及场地划线作业，分层把控材料配比与涂刷厚度、间隔时长，成品具备良好防滑、减震、抗刮化、耐候性能，可适应高频次使用场景。</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人造草坪</w:t>
            </w:r>
            <w:r>
              <w:rPr>
                <w:rFonts w:ascii="仿宋_GB2312" w:hAnsi="仿宋_GB2312" w:cs="仿宋_GB2312" w:eastAsia="仿宋_GB2312"/>
                <w:sz w:val="21"/>
              </w:rPr>
              <w:t>技术参数要求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草丝形状：</w:t>
            </w:r>
            <w:r>
              <w:rPr>
                <w:rFonts w:ascii="仿宋_GB2312" w:hAnsi="仿宋_GB2312" w:cs="仿宋_GB2312" w:eastAsia="仿宋_GB2312"/>
                <w:sz w:val="21"/>
              </w:rPr>
              <w:t>超耐磨耐高低温免填充人造草</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草丝颜色：</w:t>
            </w:r>
            <w:r>
              <w:rPr>
                <w:rFonts w:ascii="仿宋_GB2312" w:hAnsi="仿宋_GB2312" w:cs="仿宋_GB2312" w:eastAsia="仿宋_GB2312"/>
                <w:sz w:val="21"/>
                <w:color w:val="000000"/>
              </w:rPr>
              <w:t>翠绿</w:t>
            </w:r>
            <w:r>
              <w:rPr>
                <w:rFonts w:ascii="仿宋_GB2312" w:hAnsi="仿宋_GB2312" w:cs="仿宋_GB2312" w:eastAsia="仿宋_GB2312"/>
                <w:sz w:val="21"/>
                <w:color w:val="000000"/>
              </w:rPr>
              <w:t>/</w:t>
            </w:r>
            <w:r>
              <w:rPr>
                <w:rFonts w:ascii="仿宋_GB2312" w:hAnsi="仿宋_GB2312" w:cs="仿宋_GB2312" w:eastAsia="仿宋_GB2312"/>
                <w:sz w:val="21"/>
                <w:color w:val="000000"/>
              </w:rPr>
              <w:t>柠檬黄</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草丝描述：</w:t>
            </w:r>
            <w:r>
              <w:rPr>
                <w:rFonts w:ascii="仿宋_GB2312" w:hAnsi="仿宋_GB2312" w:cs="仿宋_GB2312" w:eastAsia="仿宋_GB2312"/>
                <w:sz w:val="21"/>
                <w:color w:val="000000"/>
              </w:rPr>
              <w:t>高磅重曲丝和直丝同簇混织</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草纤维磅重（</w:t>
            </w:r>
            <w:r>
              <w:rPr>
                <w:rFonts w:ascii="仿宋_GB2312" w:hAnsi="仿宋_GB2312" w:cs="仿宋_GB2312" w:eastAsia="仿宋_GB2312"/>
                <w:sz w:val="21"/>
                <w:color w:val="000000"/>
              </w:rPr>
              <w:t>Dtex）：</w:t>
            </w:r>
            <w:r>
              <w:rPr>
                <w:rFonts w:ascii="仿宋_GB2312" w:hAnsi="仿宋_GB2312" w:cs="仿宋_GB2312" w:eastAsia="仿宋_GB2312"/>
                <w:sz w:val="21"/>
                <w:color w:val="000000"/>
              </w:rPr>
              <w:t>≥PE12000DT</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草高（不含底布高度）：</w:t>
            </w:r>
            <w:r>
              <w:rPr>
                <w:rFonts w:ascii="仿宋_GB2312" w:hAnsi="仿宋_GB2312" w:cs="仿宋_GB2312" w:eastAsia="仿宋_GB2312"/>
                <w:sz w:val="21"/>
                <w:color w:val="000000"/>
              </w:rPr>
              <w:t>30</w:t>
            </w:r>
            <w:r>
              <w:rPr>
                <w:rFonts w:ascii="仿宋_GB2312" w:hAnsi="仿宋_GB2312" w:cs="仿宋_GB2312" w:eastAsia="仿宋_GB2312"/>
                <w:sz w:val="21"/>
                <w:color w:val="000000"/>
              </w:rPr>
              <w:t>mm±1mm</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密度：</w:t>
            </w:r>
            <w:r>
              <w:rPr>
                <w:rFonts w:ascii="仿宋_GB2312" w:hAnsi="仿宋_GB2312" w:cs="仿宋_GB2312" w:eastAsia="仿宋_GB2312"/>
                <w:sz w:val="21"/>
                <w:color w:val="000000"/>
              </w:rPr>
              <w:t>≥21000针/㎡</w:t>
            </w:r>
          </w:p>
          <w:p>
            <w:pPr>
              <w:pStyle w:val="null3"/>
              <w:ind w:firstLine="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底布材质：</w:t>
            </w:r>
            <w:r>
              <w:rPr>
                <w:rFonts w:ascii="仿宋_GB2312" w:hAnsi="仿宋_GB2312" w:cs="仿宋_GB2312" w:eastAsia="仿宋_GB2312"/>
                <w:sz w:val="21"/>
                <w:color w:val="000000"/>
              </w:rPr>
              <w:t>双层（单层</w:t>
            </w:r>
            <w:r>
              <w:rPr>
                <w:rFonts w:ascii="仿宋_GB2312" w:hAnsi="仿宋_GB2312" w:cs="仿宋_GB2312" w:eastAsia="仿宋_GB2312"/>
                <w:sz w:val="21"/>
                <w:color w:val="000000"/>
              </w:rPr>
              <w:t>+网格）</w:t>
            </w:r>
          </w:p>
          <w:p>
            <w:pPr>
              <w:pStyle w:val="null3"/>
              <w:ind w:firstLine="42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背胶：</w:t>
            </w:r>
            <w:r>
              <w:rPr>
                <w:rFonts w:ascii="仿宋_GB2312" w:hAnsi="仿宋_GB2312" w:cs="仿宋_GB2312" w:eastAsia="仿宋_GB2312"/>
                <w:sz w:val="21"/>
                <w:color w:val="000000"/>
              </w:rPr>
              <w:t>环保耐用型丁苯背胶</w:t>
            </w:r>
          </w:p>
          <w:p>
            <w:pPr>
              <w:pStyle w:val="null3"/>
              <w:ind w:firstLine="42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草坪底布编织工艺：</w:t>
            </w:r>
            <w:r>
              <w:rPr>
                <w:rFonts w:ascii="仿宋_GB2312" w:hAnsi="仿宋_GB2312" w:cs="仿宋_GB2312" w:eastAsia="仿宋_GB2312"/>
                <w:sz w:val="21"/>
                <w:color w:val="000000"/>
              </w:rPr>
              <w:t>耐拔脱</w:t>
            </w:r>
            <w:r>
              <w:rPr>
                <w:rFonts w:ascii="仿宋_GB2312" w:hAnsi="仿宋_GB2312" w:cs="仿宋_GB2312" w:eastAsia="仿宋_GB2312"/>
                <w:sz w:val="21"/>
                <w:color w:val="000000"/>
              </w:rPr>
              <w:t>“一”型走针</w:t>
            </w:r>
          </w:p>
          <w:p>
            <w:pPr>
              <w:pStyle w:val="null3"/>
              <w:ind w:firstLine="420"/>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卷宽：</w:t>
            </w:r>
            <w:r>
              <w:rPr>
                <w:rFonts w:ascii="仿宋_GB2312" w:hAnsi="仿宋_GB2312" w:cs="仿宋_GB2312" w:eastAsia="仿宋_GB2312"/>
                <w:sz w:val="21"/>
                <w:color w:val="000000"/>
              </w:rPr>
              <w:t>4米（卷长：按场地实际需要）</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所投人造草坪需通过《中小学合成材料面层运动场地</w:t>
            </w:r>
            <w:r>
              <w:rPr>
                <w:rFonts w:ascii="仿宋_GB2312" w:hAnsi="仿宋_GB2312" w:cs="仿宋_GB2312" w:eastAsia="仿宋_GB2312"/>
                <w:sz w:val="21"/>
              </w:rPr>
              <w:t>GB36246-2018》，提供</w:t>
            </w:r>
            <w:r>
              <w:rPr>
                <w:rFonts w:ascii="仿宋_GB2312" w:hAnsi="仿宋_GB2312" w:cs="仿宋_GB2312" w:eastAsia="仿宋_GB2312"/>
                <w:sz w:val="21"/>
              </w:rPr>
              <w:t>第三方</w:t>
            </w:r>
            <w:r>
              <w:rPr>
                <w:rFonts w:ascii="仿宋_GB2312" w:hAnsi="仿宋_GB2312" w:cs="仿宋_GB2312" w:eastAsia="仿宋_GB2312"/>
                <w:sz w:val="21"/>
              </w:rPr>
              <w:t>检测</w:t>
            </w:r>
            <w:r>
              <w:rPr>
                <w:rFonts w:ascii="仿宋_GB2312" w:hAnsi="仿宋_GB2312" w:cs="仿宋_GB2312" w:eastAsia="仿宋_GB2312"/>
                <w:sz w:val="21"/>
              </w:rPr>
              <w:t>报告。</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color w:val="000000"/>
              </w:rPr>
              <w:t>12、提供</w:t>
            </w:r>
            <w:r>
              <w:rPr>
                <w:rFonts w:ascii="仿宋_GB2312" w:hAnsi="仿宋_GB2312" w:cs="仿宋_GB2312" w:eastAsia="仿宋_GB2312"/>
                <w:sz w:val="21"/>
                <w:color w:val="000000"/>
              </w:rPr>
              <w:t>人造草坪产品依据</w:t>
            </w:r>
            <w:r>
              <w:rPr>
                <w:rFonts w:ascii="仿宋_GB2312" w:hAnsi="仿宋_GB2312" w:cs="仿宋_GB2312" w:eastAsia="仿宋_GB2312"/>
                <w:sz w:val="21"/>
                <w:color w:val="000000"/>
              </w:rPr>
              <w:t>GB/T 20394-2019、GB36246-2018、GB/T 43566-2023标准进行</w:t>
            </w:r>
            <w:r>
              <w:rPr>
                <w:rFonts w:ascii="仿宋_GB2312" w:hAnsi="仿宋_GB2312" w:cs="仿宋_GB2312" w:eastAsia="仿宋_GB2312"/>
                <w:sz w:val="21"/>
                <w:color w:val="000000"/>
              </w:rPr>
              <w:t>“</w:t>
            </w:r>
            <w:r>
              <w:rPr>
                <w:rFonts w:ascii="仿宋_GB2312" w:hAnsi="仿宋_GB2312" w:cs="仿宋_GB2312" w:eastAsia="仿宋_GB2312"/>
                <w:sz w:val="21"/>
                <w:color w:val="000000"/>
              </w:rPr>
              <w:t>氙灯</w:t>
            </w:r>
            <w:r>
              <w:rPr>
                <w:rFonts w:ascii="仿宋_GB2312" w:hAnsi="仿宋_GB2312" w:cs="仿宋_GB2312" w:eastAsia="仿宋_GB2312"/>
                <w:sz w:val="21"/>
                <w:color w:val="000000"/>
              </w:rPr>
              <w:t>168h+耐酸（30%硫酸）48h+耐碱（20%碳酸钠）48h+常温常湿（23℃、湿度50%）48h+高温（90℃、湿度5%）48h+低温（-40℃、湿度5%）48h老化后测试冲击吸收达50%-55%、垂直变形达6-8mm、阻燃性中心到损毁边沿最大距离≤42mm、抗静电：9×108-1×109Ω、拉伸强度≥800N/100mm、剥离强度≥160N/100mm、渗水速率≥200mm/h</w:t>
            </w:r>
            <w:r>
              <w:rPr>
                <w:rFonts w:ascii="仿宋_GB2312" w:hAnsi="仿宋_GB2312" w:cs="仿宋_GB2312" w:eastAsia="仿宋_GB2312"/>
                <w:sz w:val="21"/>
                <w:color w:val="000000"/>
              </w:rPr>
              <w:t>”</w:t>
            </w:r>
            <w:r>
              <w:rPr>
                <w:rFonts w:ascii="仿宋_GB2312" w:hAnsi="仿宋_GB2312" w:cs="仿宋_GB2312" w:eastAsia="仿宋_GB2312"/>
                <w:sz w:val="21"/>
                <w:color w:val="000000"/>
              </w:rPr>
              <w:t>的</w:t>
            </w:r>
            <w:r>
              <w:rPr>
                <w:rFonts w:ascii="仿宋_GB2312" w:hAnsi="仿宋_GB2312" w:cs="仿宋_GB2312" w:eastAsia="仿宋_GB2312"/>
                <w:sz w:val="21"/>
                <w:color w:val="000000"/>
              </w:rPr>
              <w:t>第三方检测</w:t>
            </w:r>
            <w:r>
              <w:rPr>
                <w:rFonts w:ascii="仿宋_GB2312" w:hAnsi="仿宋_GB2312" w:cs="仿宋_GB2312" w:eastAsia="仿宋_GB2312"/>
                <w:sz w:val="21"/>
                <w:color w:val="000000"/>
              </w:rPr>
              <w:t>报告。</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color w:val="000000"/>
              </w:rPr>
              <w:t>13、提供</w:t>
            </w:r>
            <w:r>
              <w:rPr>
                <w:rFonts w:ascii="仿宋_GB2312" w:hAnsi="仿宋_GB2312" w:cs="仿宋_GB2312" w:eastAsia="仿宋_GB2312"/>
                <w:sz w:val="21"/>
                <w:color w:val="000000"/>
              </w:rPr>
              <w:t>人造草坪系统产品（人造草坪及填充颗粒）依据</w:t>
            </w:r>
            <w:r>
              <w:rPr>
                <w:rFonts w:ascii="仿宋_GB2312" w:hAnsi="仿宋_GB2312" w:cs="仿宋_GB2312" w:eastAsia="仿宋_GB2312"/>
                <w:sz w:val="21"/>
                <w:color w:val="000000"/>
              </w:rPr>
              <w:t>GB36246-2018标准进行</w:t>
            </w:r>
            <w:r>
              <w:rPr>
                <w:rFonts w:ascii="仿宋_GB2312" w:hAnsi="仿宋_GB2312" w:cs="仿宋_GB2312" w:eastAsia="仿宋_GB2312"/>
                <w:sz w:val="21"/>
                <w:color w:val="000000"/>
              </w:rPr>
              <w:t>“</w:t>
            </w:r>
            <w:r>
              <w:rPr>
                <w:rFonts w:ascii="仿宋_GB2312" w:hAnsi="仿宋_GB2312" w:cs="仿宋_GB2312" w:eastAsia="仿宋_GB2312"/>
                <w:sz w:val="21"/>
                <w:color w:val="000000"/>
              </w:rPr>
              <w:t>48小时耐酸（30%硫酸溶液）及48小时耐碱（20%碳酸钠溶液）</w:t>
            </w:r>
            <w:r>
              <w:rPr>
                <w:rFonts w:ascii="仿宋_GB2312" w:hAnsi="仿宋_GB2312" w:cs="仿宋_GB2312" w:eastAsia="仿宋_GB2312"/>
                <w:sz w:val="21"/>
                <w:color w:val="000000"/>
              </w:rPr>
              <w:t>”</w:t>
            </w:r>
            <w:r>
              <w:rPr>
                <w:rFonts w:ascii="仿宋_GB2312" w:hAnsi="仿宋_GB2312" w:cs="仿宋_GB2312" w:eastAsia="仿宋_GB2312"/>
                <w:sz w:val="21"/>
                <w:color w:val="000000"/>
              </w:rPr>
              <w:t>测试后，总挥发性有机化合物（</w:t>
            </w:r>
            <w:r>
              <w:rPr>
                <w:rFonts w:ascii="仿宋_GB2312" w:hAnsi="仿宋_GB2312" w:cs="仿宋_GB2312" w:eastAsia="仿宋_GB2312"/>
                <w:sz w:val="21"/>
                <w:color w:val="000000"/>
              </w:rPr>
              <w:t>TVOC），甲醛，苯、甲苯、二甲苯、乙苯总和均为未检出的检测报告。</w:t>
            </w:r>
          </w:p>
          <w:p>
            <w:pPr>
              <w:pStyle w:val="null3"/>
              <w:ind w:firstLine="420"/>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国家及行业现行验收标准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详见竞争性磋商文件。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3.供应商需要在线提交所有通过电子化交易平台实施的政府采购项目的响应文件，同时，线下提交纸质响应文件壹份，纸质版响应文件需与系统签章版响应文件保持一致，具体要求详见磋商公告。4.本项目专门面向中小企业采购（残疾人福利性单位、监狱企业视同小型、微型企业）。5.根据《西安高新区财政金融局关于开展政府采购供应商基本资格条件承诺制试点工作的通知（西高财函〔2024〕111号）》，简化对供应商资格条件等的形式审查，供应商只需以书面形式提供规定格式的《基本资格条件承诺函》(详见磋商文件第七章响应文件格式“相关资格证明资料”)，即可替代以下材料：（1）依法缴纳税收的证明材料；（2）依法社会保险缴纳的证明材料；（3）财务审计报告或其基本开户银行出具的资信证明材料或专业担保机构出具的投标担保函；（4）参加政府采购活动前三年内，在经营活动中没有重大违法记录的证明材料；（5）具有履行合同所必需的设备和专业技术能力的证明材料；（6）未被列入失信被执行人、重大税收违法案件当事人名单及政府采购严重违法失信行为记录名单的证明材料。简化后，供应商应对承诺内容的真实性、合法性、有效性负责。经调查核实为虚假承诺的，视同为“提供虚假材料谋取中标、成交”的违法行为，依照《中华人民共和国政府采购法》等法律法规追究相应责任。若不提供《基本资格条件承诺函》，则需提供相应的证明材料，否则按无效投标处理。6.由于系统原因，本项目确定供应商及支付约定付款条件说明分别按以下执行：（1）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2）付款方式：①施工完成，验收合格后付合同价款的60%；②审计完成后30日内，按审计价一次性支付剩余款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相关资格证明资料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供应商具备建设行政主管部门颁发的建筑工程施工总承包三级及以上资质，并具备有效的安全生产许可证，供应商需在项目电子化交易系统中按要求上传相应证明文件并进行电子签章。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拟派项目经理执业要求</w:t>
            </w:r>
          </w:p>
        </w:tc>
        <w:tc>
          <w:tcPr>
            <w:tcW w:type="dxa" w:w="3322"/>
          </w:tcPr>
          <w:p>
            <w:pPr>
              <w:pStyle w:val="null3"/>
            </w:pPr>
            <w:r>
              <w:rPr>
                <w:rFonts w:ascii="仿宋_GB2312" w:hAnsi="仿宋_GB2312" w:cs="仿宋_GB2312" w:eastAsia="仿宋_GB2312"/>
              </w:rPr>
              <w:t>供应商拟派项目经理具有本企业注册的建筑工程专业二级及以上注册建造师证书及安全考核合格证,且无在建，供应商需在项目电子化交易系统中按要求上传相应证明文件并进行电子签章。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供应商资质基本信息及项目经理基本信息应在“陕西省住房和城乡建设厅网（http://js.shaanxi.gov.cn/）（查询路径：政务服务-企业库/人员库-可查询）或全国建筑市场监管公共服务平台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磋商第一次报价表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身份证明文件 报价函 承诺书 标的清单 响应函 相关资格证明资料 磋商第一次报价表 方案响应部分</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报价唯一，且没有高于本项目采购预算及最高限价</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身份证明文件 报价函 承诺书 标的清单 响应函 相关资格证明资料 磋商第一次报价表 方案响应部分</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一、评审内容 针对供应商提供的技术部分方案进行评审，评审内容包含：①项目经理和项目部组成；②施工方案；③确保工期的技术组织措施；④确保安全施工的技术组织措施；⑤确保文明施工的技术组织措施及环境保护措施；⑥确保工程质量的技术措施；⑦施工部署及施工总平面布置图及临时设施临时用地表；⑧主要机具、设备和劳动力配备情况；⑨进度计划和工期目标（供应商提供施工计划网络图或横道图）；⑩采用新技术、新工艺对提高工程质量、缩短工期、降低造价的可行性。 二、评审标准 1、完整性：方案须全面，对评审内容中的各项要求有详细描述及说明； 2、可实施性：切合本项目实际情况，实施步骤清晰、合理； 3、针对性：方案能够紧扣项目实际情况，内容科学合理。 三、赋分标准（满分45分） ①项目经理和项目部组成：每完全满足一项评审标准得1.5分，满分4.5分； ②施工方案：每完全满足一项评审标准得2分，满分6分； ③确保工期的技术组织措施：每完全满足一项评审标准得1.5分，满分4.5分； ④确保安全施工的技术组织措施：每完全满足一项评审标准得1.5分，满分4.5分； ⑤确保文明施工的技术组织措施及环境保护措施：每完全满足一项评审标准得1.5分，满分4.5分； ⑥确保工程质量的技术措施：每完全满足一项评审标准得1.5分，满分4.5分； ⑦施工部署及施工总平面布置图及临时设施临时用地表：每完全满足一项评审标准得1.5分，满分4.5分； ⑧主要机具、设备和劳动力配备情况：每完全满足一项评审标准得1.5分，满分4.5分； ⑨进度计划和工期目标（供应商提供施工计划网络图或横道图）：每完全满足一项评审标准得1.5分，满分4.5分； ⑩采用新技术、新工艺对提高工程质量、缩短工期、降低造价的可行性：每完全满足一项评审标准得1分，满分3分。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针对本项目特点提供服务承诺，服务承诺内容包含：①质量保修承诺；②后续服务承诺；③扬尘治理措施。 二、评审标准 1、完整性：方案须全面，对评审内容中的各项要求有详细描述及说明； 2、可实施性：切合本项目实际情况，步骤清晰、合理，操作性强； 3、针对性：方案能够紧扣项目实际情况，内容科学合理。 三、赋分标准（满分9分） ①质量保修承诺：每完全满足一项评审标准得1分，满分3分； ②后续服务承诺:每完全满足一项评审标准得1分，满分3分； ③扬尘治理措施：每完全满足一项评审标准得1分，满分3分。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项技术指标完全满足文件要求得11分，每有1项不满足扣3分，扣完为止。注：▲项参数为重要技术指标须提供相关技术指标证明材料予以佐证。证明材料不限于检测报告、试验报告、厂家出具的技术证明文件、实物照片等。供应商自行承担因材料提供不全导致的技术参数评审风险。</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2023年06月01日以来承接过类似项目的合同证明（以合同的签订日期为准），每提供一个得1分，满分5分。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详见附件：身份证明文件</w:t>
      </w:r>
    </w:p>
    <w:p>
      <w:pPr>
        <w:pStyle w:val="null3"/>
        <w:ind w:firstLine="960"/>
      </w:pPr>
      <w:r>
        <w:rPr>
          <w:rFonts w:ascii="仿宋_GB2312" w:hAnsi="仿宋_GB2312" w:cs="仿宋_GB2312" w:eastAsia="仿宋_GB2312"/>
        </w:rPr>
        <w:t>详见附件：相关资格证明资料</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详见附件：磋商第一次报价表</w:t>
      </w:r>
    </w:p>
    <w:p>
      <w:pPr>
        <w:pStyle w:val="null3"/>
        <w:ind w:firstLine="960"/>
      </w:pPr>
      <w:r>
        <w:rPr>
          <w:rFonts w:ascii="仿宋_GB2312" w:hAnsi="仿宋_GB2312" w:cs="仿宋_GB2312" w:eastAsia="仿宋_GB2312"/>
        </w:rPr>
        <w:t>详见附件：方案响应部分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