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565D8">
      <w:pPr>
        <w:tabs>
          <w:tab w:val="left" w:pos="735"/>
        </w:tabs>
        <w:autoSpaceDE w:val="0"/>
        <w:autoSpaceDN w:val="0"/>
        <w:adjustRightInd w:val="0"/>
        <w:snapToGrid w:val="0"/>
        <w:spacing w:before="312" w:beforeLines="100" w:line="240" w:lineRule="auto"/>
        <w:jc w:val="center"/>
        <w:rPr>
          <w:rFonts w:hint="eastAsia" w:ascii="仿宋_GB2312" w:hAnsi="仿宋_GB2312" w:eastAsia="仿宋_GB2312" w:cs="仿宋_GB2312"/>
          <w:b/>
          <w:sz w:val="32"/>
          <w:szCs w:val="24"/>
          <w:lang w:eastAsia="zh-CN"/>
        </w:rPr>
      </w:pPr>
      <w:r>
        <w:rPr>
          <w:rFonts w:hint="eastAsia" w:ascii="仿宋_GB2312" w:hAnsi="仿宋_GB2312" w:eastAsia="仿宋_GB2312" w:cs="仿宋_GB2312"/>
          <w:b/>
          <w:sz w:val="32"/>
          <w:szCs w:val="24"/>
          <w:lang w:eastAsia="zh-CN"/>
        </w:rPr>
        <w:t>省残疾人体育训练基地场馆健身健康监测设备购置项目</w:t>
      </w:r>
    </w:p>
    <w:p w14:paraId="2423912C">
      <w:pPr>
        <w:tabs>
          <w:tab w:val="left" w:pos="735"/>
        </w:tabs>
        <w:autoSpaceDE w:val="0"/>
        <w:autoSpaceDN w:val="0"/>
        <w:adjustRightInd w:val="0"/>
        <w:snapToGrid w:val="0"/>
        <w:spacing w:before="312" w:beforeLines="100" w:line="240" w:lineRule="auto"/>
        <w:jc w:val="center"/>
        <w:rPr>
          <w:rFonts w:hint="default" w:ascii="仿宋_GB2312" w:hAnsi="仿宋_GB2312" w:eastAsia="仿宋_GB2312" w:cs="仿宋_GB2312"/>
          <w:b/>
          <w:sz w:val="32"/>
          <w:szCs w:val="24"/>
          <w:lang w:val="en-US" w:eastAsia="zh-CN"/>
        </w:rPr>
      </w:pPr>
      <w:r>
        <w:rPr>
          <w:rFonts w:hint="eastAsia" w:ascii="仿宋_GB2312" w:hAnsi="仿宋_GB2312" w:eastAsia="仿宋_GB2312" w:cs="仿宋_GB2312"/>
          <w:b/>
          <w:sz w:val="32"/>
          <w:szCs w:val="24"/>
          <w:lang w:val="en-US" w:eastAsia="zh-CN"/>
        </w:rPr>
        <w:t>合同协议书</w:t>
      </w:r>
    </w:p>
    <w:p w14:paraId="778F3C44">
      <w:pPr>
        <w:tabs>
          <w:tab w:val="left" w:pos="735"/>
        </w:tabs>
        <w:autoSpaceDE w:val="0"/>
        <w:autoSpaceDN w:val="0"/>
        <w:adjustRightInd w:val="0"/>
        <w:snapToGrid w:val="0"/>
        <w:spacing w:before="312" w:beforeLines="100" w:line="360" w:lineRule="auto"/>
        <w:rPr>
          <w:rFonts w:hint="eastAsia" w:ascii="仿宋" w:hAnsi="仿宋" w:eastAsia="仿宋" w:cs="仿宋"/>
          <w:b/>
          <w:bCs/>
          <w:color w:val="auto"/>
          <w:sz w:val="24"/>
          <w:highlight w:val="none"/>
          <w:lang w:val="zh-CN"/>
        </w:rPr>
      </w:pPr>
    </w:p>
    <w:p w14:paraId="20E834A6">
      <w:pPr>
        <w:tabs>
          <w:tab w:val="left" w:pos="735"/>
        </w:tabs>
        <w:autoSpaceDE w:val="0"/>
        <w:autoSpaceDN w:val="0"/>
        <w:adjustRightInd w:val="0"/>
        <w:snapToGrid w:val="0"/>
        <w:spacing w:before="312" w:beforeLines="100" w:line="360" w:lineRule="auto"/>
        <w:rPr>
          <w:rFonts w:hint="eastAsia" w:ascii="仿宋" w:hAnsi="仿宋" w:eastAsia="仿宋" w:cs="仿宋"/>
          <w:bCs/>
          <w:color w:val="auto"/>
          <w:sz w:val="24"/>
          <w:highlight w:val="none"/>
          <w:lang w:val="zh-CN"/>
        </w:rPr>
      </w:pPr>
      <w:r>
        <w:rPr>
          <w:rFonts w:hint="eastAsia" w:ascii="仿宋" w:hAnsi="仿宋" w:eastAsia="仿宋" w:cs="仿宋"/>
          <w:b/>
          <w:bCs/>
          <w:color w:val="auto"/>
          <w:sz w:val="24"/>
          <w:highlight w:val="none"/>
          <w:lang w:val="zh-CN"/>
        </w:rPr>
        <w:t>采购人：</w:t>
      </w:r>
      <w:r>
        <w:rPr>
          <w:rFonts w:hint="eastAsia" w:ascii="仿宋" w:hAnsi="仿宋" w:eastAsia="仿宋" w:cs="仿宋"/>
          <w:bCs/>
          <w:color w:val="auto"/>
          <w:sz w:val="24"/>
          <w:highlight w:val="none"/>
          <w:lang w:val="zh-CN"/>
        </w:rPr>
        <w:t>（前款所称采购人）</w:t>
      </w:r>
    </w:p>
    <w:p w14:paraId="132A45D9">
      <w:pPr>
        <w:tabs>
          <w:tab w:val="left" w:pos="735"/>
        </w:tabs>
        <w:autoSpaceDE w:val="0"/>
        <w:autoSpaceDN w:val="0"/>
        <w:adjustRightInd w:val="0"/>
        <w:snapToGrid w:val="0"/>
        <w:spacing w:before="312" w:beforeLines="100" w:line="360" w:lineRule="auto"/>
        <w:rPr>
          <w:rFonts w:hint="eastAsia" w:ascii="仿宋" w:hAnsi="仿宋" w:eastAsia="仿宋" w:cs="仿宋"/>
          <w:bCs/>
          <w:color w:val="auto"/>
          <w:sz w:val="24"/>
          <w:highlight w:val="none"/>
          <w:lang w:val="zh-CN"/>
        </w:rPr>
      </w:pPr>
    </w:p>
    <w:p w14:paraId="2B74D544">
      <w:pPr>
        <w:tabs>
          <w:tab w:val="left" w:pos="735"/>
        </w:tabs>
        <w:autoSpaceDE w:val="0"/>
        <w:autoSpaceDN w:val="0"/>
        <w:adjustRightInd w:val="0"/>
        <w:snapToGrid w:val="0"/>
        <w:spacing w:line="360" w:lineRule="auto"/>
        <w:rPr>
          <w:rFonts w:hint="eastAsia" w:ascii="仿宋" w:hAnsi="仿宋" w:eastAsia="仿宋" w:cs="仿宋"/>
          <w:bCs/>
          <w:color w:val="auto"/>
          <w:sz w:val="24"/>
          <w:highlight w:val="none"/>
          <w:lang w:val="zh-CN"/>
        </w:rPr>
      </w:pPr>
      <w:r>
        <w:rPr>
          <w:rFonts w:hint="eastAsia" w:ascii="仿宋" w:hAnsi="仿宋" w:eastAsia="仿宋" w:cs="仿宋"/>
          <w:b/>
          <w:bCs/>
          <w:color w:val="auto"/>
          <w:sz w:val="24"/>
          <w:highlight w:val="none"/>
          <w:lang w:val="zh-CN"/>
        </w:rPr>
        <w:t>供应商：</w:t>
      </w:r>
      <w:r>
        <w:rPr>
          <w:rFonts w:hint="eastAsia" w:ascii="仿宋" w:hAnsi="仿宋" w:eastAsia="仿宋" w:cs="仿宋"/>
          <w:bCs/>
          <w:color w:val="auto"/>
          <w:sz w:val="24"/>
          <w:highlight w:val="none"/>
          <w:lang w:val="zh-CN"/>
        </w:rPr>
        <w:t>（前款所称</w:t>
      </w:r>
      <w:r>
        <w:rPr>
          <w:rFonts w:hint="eastAsia" w:ascii="仿宋" w:hAnsi="仿宋" w:eastAsia="仿宋" w:cs="仿宋"/>
          <w:bCs/>
          <w:color w:val="auto"/>
          <w:sz w:val="24"/>
          <w:highlight w:val="none"/>
        </w:rPr>
        <w:t>中标供应商</w:t>
      </w:r>
      <w:r>
        <w:rPr>
          <w:rFonts w:hint="eastAsia" w:ascii="仿宋" w:hAnsi="仿宋" w:eastAsia="仿宋" w:cs="仿宋"/>
          <w:bCs/>
          <w:color w:val="auto"/>
          <w:sz w:val="24"/>
          <w:highlight w:val="none"/>
          <w:lang w:val="zh-CN"/>
        </w:rPr>
        <w:t>）</w:t>
      </w:r>
    </w:p>
    <w:p w14:paraId="313FBFF9">
      <w:pPr>
        <w:tabs>
          <w:tab w:val="left" w:pos="735"/>
        </w:tabs>
        <w:autoSpaceDE w:val="0"/>
        <w:autoSpaceDN w:val="0"/>
        <w:adjustRightInd w:val="0"/>
        <w:snapToGrid w:val="0"/>
        <w:spacing w:line="360" w:lineRule="auto"/>
        <w:rPr>
          <w:rFonts w:hint="eastAsia" w:ascii="仿宋" w:hAnsi="仿宋" w:eastAsia="仿宋" w:cs="仿宋"/>
          <w:bCs/>
          <w:color w:val="auto"/>
          <w:sz w:val="24"/>
          <w:highlight w:val="none"/>
          <w:lang w:val="zh-CN"/>
        </w:rPr>
      </w:pPr>
    </w:p>
    <w:p w14:paraId="13DBB0A9">
      <w:pPr>
        <w:tabs>
          <w:tab w:val="left" w:pos="735"/>
        </w:tabs>
        <w:autoSpaceDE w:val="0"/>
        <w:autoSpaceDN w:val="0"/>
        <w:adjustRightInd w:val="0"/>
        <w:snapToGrid w:val="0"/>
        <w:spacing w:line="360" w:lineRule="auto"/>
        <w:rPr>
          <w:rFonts w:hint="eastAsia" w:ascii="仿宋" w:hAnsi="仿宋" w:eastAsia="仿宋" w:cs="仿宋"/>
          <w:bCs/>
          <w:color w:val="auto"/>
          <w:sz w:val="24"/>
          <w:highlight w:val="none"/>
          <w:lang w:val="zh-CN"/>
        </w:rPr>
      </w:pPr>
      <w:r>
        <w:rPr>
          <w:rFonts w:hint="eastAsia" w:ascii="仿宋" w:hAnsi="仿宋" w:eastAsia="仿宋" w:cs="仿宋"/>
          <w:b/>
          <w:bCs/>
          <w:color w:val="auto"/>
          <w:sz w:val="24"/>
          <w:highlight w:val="none"/>
          <w:lang w:val="zh-CN"/>
        </w:rPr>
        <w:t>见  证  方：</w:t>
      </w:r>
      <w:r>
        <w:rPr>
          <w:rFonts w:hint="eastAsia" w:ascii="仿宋" w:hAnsi="仿宋" w:eastAsia="仿宋" w:cs="仿宋"/>
          <w:bCs/>
          <w:color w:val="auto"/>
          <w:sz w:val="24"/>
          <w:highlight w:val="none"/>
          <w:lang w:val="zh-CN"/>
        </w:rPr>
        <w:t>（陕西省采购招标有限责任公司）</w:t>
      </w:r>
    </w:p>
    <w:p w14:paraId="729D5781">
      <w:pPr>
        <w:tabs>
          <w:tab w:val="left" w:pos="735"/>
        </w:tabs>
        <w:autoSpaceDE w:val="0"/>
        <w:autoSpaceDN w:val="0"/>
        <w:adjustRightInd w:val="0"/>
        <w:snapToGrid w:val="0"/>
        <w:spacing w:line="360" w:lineRule="auto"/>
        <w:rPr>
          <w:rFonts w:hint="eastAsia" w:ascii="仿宋" w:hAnsi="仿宋" w:eastAsia="仿宋" w:cs="仿宋"/>
          <w:bCs/>
          <w:color w:val="auto"/>
          <w:sz w:val="24"/>
          <w:highlight w:val="none"/>
          <w:lang w:val="zh-CN"/>
        </w:rPr>
      </w:pPr>
    </w:p>
    <w:p w14:paraId="35FF34AF">
      <w:pPr>
        <w:adjustRightInd w:val="0"/>
        <w:snapToGrid w:val="0"/>
        <w:spacing w:line="360" w:lineRule="auto"/>
        <w:ind w:firstLine="480" w:firstLineChars="200"/>
        <w:rPr>
          <w:rFonts w:hint="eastAsia" w:ascii="仿宋" w:hAnsi="仿宋" w:eastAsia="仿宋" w:cs="仿宋"/>
          <w:color w:val="auto"/>
          <w:sz w:val="24"/>
          <w:highlight w:val="none"/>
        </w:rPr>
      </w:pPr>
      <w:bookmarkStart w:id="0" w:name="_Toc19515384"/>
      <w:r>
        <w:rPr>
          <w:rFonts w:hint="eastAsia" w:ascii="仿宋" w:hAnsi="仿宋" w:eastAsia="仿宋" w:cs="仿宋"/>
          <w:color w:val="auto"/>
          <w:sz w:val="24"/>
          <w:highlight w:val="none"/>
        </w:rPr>
        <w:t>一、合同内容（标的、数量、质量等）</w:t>
      </w:r>
      <w:bookmarkEnd w:id="0"/>
      <w:r>
        <w:rPr>
          <w:rFonts w:hint="eastAsia" w:ascii="仿宋" w:hAnsi="仿宋" w:eastAsia="仿宋" w:cs="仿宋"/>
          <w:color w:val="auto"/>
          <w:sz w:val="24"/>
          <w:highlight w:val="none"/>
        </w:rPr>
        <w:t>：</w:t>
      </w:r>
    </w:p>
    <w:p w14:paraId="2A21EF85">
      <w:pPr>
        <w:adjustRightInd w:val="0"/>
        <w:snapToGrid w:val="0"/>
        <w:spacing w:line="360" w:lineRule="auto"/>
        <w:ind w:firstLine="480" w:firstLineChars="200"/>
        <w:rPr>
          <w:rFonts w:hint="eastAsia" w:ascii="仿宋" w:hAnsi="仿宋" w:eastAsia="仿宋" w:cs="仿宋"/>
          <w:color w:val="auto"/>
          <w:sz w:val="24"/>
          <w:highlight w:val="none"/>
        </w:rPr>
      </w:pPr>
      <w:bookmarkStart w:id="1" w:name="_Toc19515385"/>
      <w:r>
        <w:rPr>
          <w:rFonts w:hint="eastAsia" w:ascii="仿宋" w:hAnsi="仿宋" w:eastAsia="仿宋" w:cs="仿宋"/>
          <w:color w:val="auto"/>
          <w:sz w:val="24"/>
          <w:highlight w:val="none"/>
        </w:rPr>
        <w:t>二、合同价款</w:t>
      </w:r>
      <w:bookmarkEnd w:id="1"/>
    </w:p>
    <w:p w14:paraId="3794C1E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1、合同总价：</w:t>
      </w:r>
    </w:p>
    <w:p w14:paraId="00CFFDC1">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2、合同总价包括：产品供货、安装调试、验收、培训售后服务、以及增值税等税费、运杂保险费等。</w:t>
      </w:r>
    </w:p>
    <w:p w14:paraId="6DF1B011">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3、合同为固定总价合同，不受市场价变化的影响。</w:t>
      </w:r>
    </w:p>
    <w:p w14:paraId="79C502F2">
      <w:pPr>
        <w:adjustRightInd w:val="0"/>
        <w:snapToGrid w:val="0"/>
        <w:spacing w:line="360" w:lineRule="auto"/>
        <w:ind w:firstLine="480" w:firstLineChars="200"/>
        <w:rPr>
          <w:rFonts w:hint="eastAsia" w:ascii="仿宋" w:hAnsi="仿宋" w:eastAsia="仿宋" w:cs="仿宋"/>
          <w:color w:val="auto"/>
          <w:sz w:val="24"/>
          <w:highlight w:val="none"/>
        </w:rPr>
      </w:pPr>
      <w:bookmarkStart w:id="2" w:name="_Toc19515386"/>
      <w:r>
        <w:rPr>
          <w:rFonts w:hint="eastAsia" w:ascii="仿宋" w:hAnsi="仿宋" w:eastAsia="仿宋" w:cs="仿宋"/>
          <w:color w:val="auto"/>
          <w:sz w:val="24"/>
          <w:highlight w:val="none"/>
        </w:rPr>
        <w:t>三、合同结算</w:t>
      </w:r>
      <w:bookmarkEnd w:id="2"/>
    </w:p>
    <w:p w14:paraId="706A0E72">
      <w:pPr>
        <w:adjustRightInd w:val="0"/>
        <w:snapToGrid w:val="0"/>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1、付款比例：</w:t>
      </w:r>
    </w:p>
    <w:p w14:paraId="7CB57EB7">
      <w:pPr>
        <w:adjustRightInd w:val="0"/>
        <w:snapToGrid w:val="0"/>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合同签订后，货到现场安装调试完成及验收合格后，乙方持《终验合格单》原件并向甲方提供合同总金额的全额增值税专用发票后，达到付款条件起10个工作日内，支付合同总金额的100.0%。</w:t>
      </w:r>
    </w:p>
    <w:p w14:paraId="5F3009C3">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2、结算方式：银行转账。</w:t>
      </w:r>
    </w:p>
    <w:p w14:paraId="73D6EB9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3、结算单位：由</w:t>
      </w:r>
      <w:r>
        <w:rPr>
          <w:rFonts w:hint="eastAsia" w:ascii="仿宋" w:hAnsi="仿宋" w:eastAsia="仿宋" w:cs="仿宋"/>
          <w:color w:val="auto"/>
          <w:sz w:val="24"/>
          <w:highlight w:val="none"/>
          <w:u w:val="single"/>
        </w:rPr>
        <w:t xml:space="preserve">  采购人  </w:t>
      </w:r>
      <w:r>
        <w:rPr>
          <w:rFonts w:hint="eastAsia" w:ascii="仿宋" w:hAnsi="仿宋" w:eastAsia="仿宋" w:cs="仿宋"/>
          <w:color w:val="auto"/>
          <w:sz w:val="24"/>
          <w:highlight w:val="none"/>
        </w:rPr>
        <w:t>负责结算，供应商开具合同总价数的全额发票交采购人。</w:t>
      </w:r>
    </w:p>
    <w:p w14:paraId="2F2AE4ED">
      <w:pPr>
        <w:adjustRightInd w:val="0"/>
        <w:snapToGrid w:val="0"/>
        <w:spacing w:line="360" w:lineRule="auto"/>
        <w:ind w:firstLine="480" w:firstLineChars="200"/>
        <w:rPr>
          <w:rFonts w:hint="default" w:ascii="仿宋" w:hAnsi="仿宋" w:eastAsia="仿宋" w:cs="仿宋"/>
          <w:color w:val="auto"/>
          <w:sz w:val="24"/>
          <w:highlight w:val="none"/>
          <w:lang w:val="en-US" w:eastAsia="zh-CN"/>
        </w:rPr>
      </w:pPr>
      <w:bookmarkStart w:id="3" w:name="_Toc19515387"/>
      <w:r>
        <w:rPr>
          <w:rFonts w:hint="eastAsia" w:ascii="仿宋" w:hAnsi="仿宋" w:eastAsia="仿宋" w:cs="仿宋"/>
          <w:color w:val="auto"/>
          <w:sz w:val="24"/>
          <w:highlight w:val="none"/>
          <w:lang w:val="en-US" w:eastAsia="zh-CN"/>
        </w:rPr>
        <w:t>4、履约保证金：合同金额的5%作为履约保证金。</w:t>
      </w:r>
      <w:bookmarkStart w:id="10" w:name="_GoBack"/>
      <w:bookmarkEnd w:id="10"/>
    </w:p>
    <w:p w14:paraId="3217FD16">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四、交货期、地点及方式</w:t>
      </w:r>
      <w:bookmarkEnd w:id="3"/>
      <w:r>
        <w:rPr>
          <w:rFonts w:hint="eastAsia" w:ascii="仿宋" w:hAnsi="仿宋" w:eastAsia="仿宋" w:cs="仿宋"/>
          <w:color w:val="auto"/>
          <w:sz w:val="24"/>
          <w:highlight w:val="none"/>
        </w:rPr>
        <w:t>：</w:t>
      </w:r>
    </w:p>
    <w:p w14:paraId="0CED9F41">
      <w:pPr>
        <w:tabs>
          <w:tab w:val="left" w:pos="253"/>
        </w:tabs>
        <w:adjustRightInd w:val="0"/>
        <w:snapToGrid w:val="0"/>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1、交货期：自合同签订之日起30日历天内完成交付、安装及调试。</w:t>
      </w:r>
    </w:p>
    <w:p w14:paraId="2F07940F">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2、地点：采购人指定地点</w:t>
      </w:r>
    </w:p>
    <w:p w14:paraId="6E0AA6F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3、方式：货到现场，并达到使用要求</w:t>
      </w:r>
    </w:p>
    <w:p w14:paraId="655332D4">
      <w:pPr>
        <w:adjustRightInd w:val="0"/>
        <w:snapToGrid w:val="0"/>
        <w:spacing w:line="360" w:lineRule="auto"/>
        <w:ind w:firstLine="480" w:firstLineChars="200"/>
        <w:rPr>
          <w:rFonts w:hint="eastAsia" w:ascii="仿宋" w:hAnsi="仿宋" w:eastAsia="仿宋" w:cs="仿宋"/>
          <w:color w:val="auto"/>
          <w:sz w:val="24"/>
          <w:highlight w:val="none"/>
        </w:rPr>
      </w:pPr>
      <w:bookmarkStart w:id="4" w:name="_Toc19515390"/>
      <w:r>
        <w:rPr>
          <w:rFonts w:hint="eastAsia" w:ascii="仿宋" w:hAnsi="仿宋" w:eastAsia="仿宋" w:cs="仿宋"/>
          <w:color w:val="auto"/>
          <w:sz w:val="24"/>
          <w:highlight w:val="none"/>
        </w:rPr>
        <w:t>五、技术服务</w:t>
      </w:r>
      <w:bookmarkEnd w:id="4"/>
    </w:p>
    <w:p w14:paraId="06110D99">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1、对技术服务的要求：</w:t>
      </w:r>
    </w:p>
    <w:p w14:paraId="5F1E523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2、技术资料：</w:t>
      </w:r>
    </w:p>
    <w:p w14:paraId="163AA8AE">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3、技术培训：</w:t>
      </w:r>
    </w:p>
    <w:p w14:paraId="2E9CFA5B">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3-1、培训内容：</w:t>
      </w:r>
    </w:p>
    <w:p w14:paraId="3D79855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3-2、培训地点：</w:t>
      </w:r>
    </w:p>
    <w:p w14:paraId="186D9233">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3-3、培训时间：</w:t>
      </w:r>
    </w:p>
    <w:p w14:paraId="49263F19">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3-4、培训人数：</w:t>
      </w:r>
    </w:p>
    <w:p w14:paraId="2CCBC64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3-5、培训费用：受训人员的食宿费、资料费、培训场地费、耗材（包括水电费等）费等已包含在合同总价中，采购人不再另行支付。</w:t>
      </w:r>
    </w:p>
    <w:p w14:paraId="341F75AA">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4、售后服务</w:t>
      </w:r>
    </w:p>
    <w:p w14:paraId="6D2055C4">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4-1、供应商在接到采购人电话通知后在</w:t>
      </w:r>
      <w:r>
        <w:rPr>
          <w:rFonts w:hint="eastAsia" w:ascii="仿宋" w:hAnsi="仿宋" w:eastAsia="仿宋" w:cs="仿宋"/>
          <w:color w:val="auto"/>
          <w:sz w:val="24"/>
          <w:highlight w:val="none"/>
          <w:u w:val="single"/>
        </w:rPr>
        <w:t>24</w:t>
      </w:r>
      <w:r>
        <w:rPr>
          <w:rFonts w:hint="eastAsia" w:ascii="仿宋" w:hAnsi="仿宋" w:eastAsia="仿宋" w:cs="仿宋"/>
          <w:color w:val="auto"/>
          <w:sz w:val="24"/>
          <w:highlight w:val="none"/>
        </w:rPr>
        <w:t>小时内派出合格的服务人员到达现场进行服务，承担相应费用。</w:t>
      </w:r>
    </w:p>
    <w:p w14:paraId="6CDB97C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4-2、如果供应商在收到通知后两天内没有弥补缺陷，采购人可采取必要的补救措施，但其风险和费用将由供应商承担，采购人根据合同规定对供应商行使的其它权力不受影响。</w:t>
      </w:r>
    </w:p>
    <w:p w14:paraId="34B1A3D9">
      <w:pPr>
        <w:adjustRightInd w:val="0"/>
        <w:snapToGrid w:val="0"/>
        <w:spacing w:line="360" w:lineRule="auto"/>
        <w:ind w:firstLine="480" w:firstLineChars="200"/>
        <w:rPr>
          <w:rFonts w:hint="eastAsia" w:ascii="仿宋" w:hAnsi="仿宋" w:eastAsia="仿宋" w:cs="仿宋"/>
          <w:color w:val="auto"/>
          <w:sz w:val="24"/>
          <w:highlight w:val="none"/>
        </w:rPr>
      </w:pPr>
      <w:bookmarkStart w:id="5" w:name="_Toc19515391"/>
      <w:r>
        <w:rPr>
          <w:rFonts w:hint="eastAsia" w:ascii="仿宋" w:hAnsi="仿宋" w:eastAsia="仿宋" w:cs="仿宋"/>
          <w:color w:val="auto"/>
          <w:sz w:val="24"/>
          <w:highlight w:val="none"/>
        </w:rPr>
        <w:t>六、验收</w:t>
      </w:r>
      <w:bookmarkEnd w:id="5"/>
    </w:p>
    <w:p w14:paraId="75BD5850">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1、验收：供应商完成服务内容后，向采购人提出验收申请，采购人接到供应商验收申请后组织验收（必要时可聘请相应专家或委托相应部门验收），验收合格后，出具使用验收合格证明。</w:t>
      </w:r>
    </w:p>
    <w:p w14:paraId="20D903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2、最终验收：最终验收结果作为付款依据，供应商填写验收单，并向采购人提交实施过程中的所有资料，以便采购人日后管理和维护。</w:t>
      </w:r>
    </w:p>
    <w:p w14:paraId="7CE4B18E">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3、质保期为执行国家行业标准。质保期满后，由供应商出具质保期运行质量报告，若存在质量问题，应按相应规定协商处理。</w:t>
      </w:r>
    </w:p>
    <w:p w14:paraId="7EC7974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4、验收依据：</w:t>
      </w:r>
    </w:p>
    <w:p w14:paraId="081D9E10">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4-1、合同文本、合同附件、招标文件、中标供应商的投标文件。</w:t>
      </w:r>
    </w:p>
    <w:p w14:paraId="73B6B1C7">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4-2、国内相应的标准、规范。</w:t>
      </w:r>
    </w:p>
    <w:p w14:paraId="0561A3A9">
      <w:pPr>
        <w:adjustRightInd w:val="0"/>
        <w:snapToGrid w:val="0"/>
        <w:spacing w:line="360" w:lineRule="auto"/>
        <w:ind w:firstLine="480" w:firstLineChars="200"/>
        <w:rPr>
          <w:rFonts w:hint="eastAsia" w:ascii="仿宋" w:hAnsi="仿宋" w:eastAsia="仿宋" w:cs="仿宋"/>
          <w:color w:val="auto"/>
          <w:sz w:val="24"/>
          <w:highlight w:val="none"/>
        </w:rPr>
      </w:pPr>
      <w:bookmarkStart w:id="6" w:name="_Toc19515392"/>
      <w:r>
        <w:rPr>
          <w:rFonts w:hint="eastAsia" w:ascii="仿宋" w:hAnsi="仿宋" w:eastAsia="仿宋" w:cs="仿宋"/>
          <w:color w:val="auto"/>
          <w:sz w:val="24"/>
          <w:highlight w:val="none"/>
        </w:rPr>
        <w:t>七、违约责任</w:t>
      </w:r>
      <w:bookmarkEnd w:id="6"/>
    </w:p>
    <w:p w14:paraId="39A7BF8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1、按《中华人民共和国民法典》中的相关条款执行。</w:t>
      </w:r>
    </w:p>
    <w:p w14:paraId="15529990">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2、供应商履约延误</w:t>
      </w:r>
    </w:p>
    <w:p w14:paraId="3B504296">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2-1、如供应商事先未征得采购人同意并得到采购人的谅解而单方面延迟执行合同，将按违约终止合同。</w:t>
      </w:r>
    </w:p>
    <w:p w14:paraId="18BEBBDF">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在履行合同过程中，如果供应商遇到可能妨碍按时提供服务的情况，应及时以书面形式将拖延的事实，可能拖延的期限和理由通知采购人。采购人在收到供应商通知后，应尽快对情况进行评价，并确定是否通过修改合同，酌情延长交货时间或对供应商加收误期赔偿金。每延误一周的赔偿费按合同金额的百分之零点五（0.5%）计收，直至提供服务为止。误期赔偿费的最高限额为合同价格的百分之五（5%）。一旦达到误期赔偿费的最高限额，采购人可终止合同。</w:t>
      </w:r>
    </w:p>
    <w:p w14:paraId="5106E4B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3、违约终止合同：未按合同要求提供服务或不能满足技术要求，采购人会同监督机构有权终止合同，对供应商违约行为进行追究，同时按政府采购法的有关规定进行相应的处罚。</w:t>
      </w:r>
    </w:p>
    <w:p w14:paraId="19C1D81C">
      <w:pPr>
        <w:adjustRightInd w:val="0"/>
        <w:snapToGrid w:val="0"/>
        <w:spacing w:line="360" w:lineRule="auto"/>
        <w:ind w:firstLine="480" w:firstLineChars="200"/>
        <w:rPr>
          <w:rFonts w:hint="eastAsia" w:ascii="仿宋" w:hAnsi="仿宋" w:eastAsia="仿宋" w:cs="仿宋"/>
          <w:color w:val="auto"/>
          <w:sz w:val="24"/>
          <w:highlight w:val="none"/>
        </w:rPr>
      </w:pPr>
      <w:bookmarkStart w:id="7" w:name="_Toc19515393"/>
      <w:r>
        <w:rPr>
          <w:rFonts w:hint="eastAsia" w:ascii="仿宋" w:hAnsi="仿宋" w:eastAsia="仿宋" w:cs="仿宋"/>
          <w:color w:val="auto"/>
          <w:sz w:val="24"/>
          <w:highlight w:val="none"/>
        </w:rPr>
        <w:t>八、合同组成</w:t>
      </w:r>
      <w:bookmarkEnd w:id="7"/>
    </w:p>
    <w:p w14:paraId="1B41217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1、中标通知书</w:t>
      </w:r>
    </w:p>
    <w:p w14:paraId="4287361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2、合同文件</w:t>
      </w:r>
    </w:p>
    <w:p w14:paraId="7719821F">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3、国家相关规范及标准</w:t>
      </w:r>
    </w:p>
    <w:p w14:paraId="2167F667">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4、招标文件</w:t>
      </w:r>
    </w:p>
    <w:p w14:paraId="0D45DA66">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5、中标供应商的投标文件</w:t>
      </w:r>
    </w:p>
    <w:p w14:paraId="01DA0634">
      <w:pPr>
        <w:adjustRightInd w:val="0"/>
        <w:snapToGrid w:val="0"/>
        <w:spacing w:line="360" w:lineRule="auto"/>
        <w:ind w:firstLine="480" w:firstLineChars="200"/>
        <w:rPr>
          <w:rFonts w:hint="eastAsia" w:ascii="仿宋" w:hAnsi="仿宋" w:eastAsia="仿宋" w:cs="仿宋"/>
          <w:color w:val="auto"/>
          <w:sz w:val="24"/>
          <w:highlight w:val="none"/>
        </w:rPr>
      </w:pPr>
      <w:bookmarkStart w:id="8" w:name="_Toc19515394"/>
      <w:r>
        <w:rPr>
          <w:rFonts w:hint="eastAsia" w:ascii="仿宋" w:hAnsi="仿宋" w:eastAsia="仿宋" w:cs="仿宋"/>
          <w:color w:val="auto"/>
          <w:sz w:val="24"/>
          <w:highlight w:val="none"/>
        </w:rPr>
        <w:t>九、解决争议的方法</w:t>
      </w:r>
      <w:bookmarkEnd w:id="8"/>
    </w:p>
    <w:p w14:paraId="42AB13A2">
      <w:pPr>
        <w:widowControl/>
        <w:autoSpaceDE w:val="0"/>
        <w:autoSpaceDN w:val="0"/>
        <w:snapToGrid w:val="0"/>
        <w:spacing w:line="360" w:lineRule="auto"/>
        <w:ind w:right="-110" w:firstLine="480" w:firstLineChars="2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凡因本合同引起的或与本合同有关的争议，双方应友好协商解决。协商不成时，双方均同意采用以下第（ 1 ）种争议解决方式：</w:t>
      </w:r>
    </w:p>
    <w:p w14:paraId="6AABA2B0">
      <w:pPr>
        <w:widowControl/>
        <w:autoSpaceDE w:val="0"/>
        <w:autoSpaceDN w:val="0"/>
        <w:snapToGrid w:val="0"/>
        <w:spacing w:line="360" w:lineRule="auto"/>
        <w:ind w:right="-110" w:firstLine="480" w:firstLineChars="2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1、甲、乙双方均同意向（采购人所在地人民法院）提起诉讼。</w:t>
      </w:r>
    </w:p>
    <w:p w14:paraId="23EA51AB">
      <w:pPr>
        <w:widowControl/>
        <w:autoSpaceDE w:val="0"/>
        <w:autoSpaceDN w:val="0"/>
        <w:snapToGrid w:val="0"/>
        <w:spacing w:line="360" w:lineRule="auto"/>
        <w:ind w:right="-110" w:firstLine="480" w:firstLineChars="2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2、甲、乙双方均同意向（</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"http://www.baidu.com/s?wd=%E4%BB%B2%E8%A3%81%E5%A7%94%E5%91%98%E4%BC%9A&amp;tn=SE_PcZhidaonwhc_ngpagmjz&amp;rsv_dl=gh_pc_zhidao" \t "_blank"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仲裁委员会</w:t>
      </w:r>
      <w:r>
        <w:rPr>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）提起仲裁。</w:t>
      </w:r>
    </w:p>
    <w:p w14:paraId="286F3B85">
      <w:pPr>
        <w:adjustRightInd w:val="0"/>
        <w:snapToGrid w:val="0"/>
        <w:spacing w:line="360" w:lineRule="auto"/>
        <w:ind w:firstLine="480" w:firstLineChars="200"/>
        <w:rPr>
          <w:rFonts w:hint="eastAsia" w:ascii="仿宋" w:hAnsi="仿宋" w:eastAsia="仿宋" w:cs="仿宋"/>
          <w:color w:val="auto"/>
          <w:sz w:val="24"/>
          <w:highlight w:val="none"/>
        </w:rPr>
      </w:pPr>
      <w:bookmarkStart w:id="9" w:name="_Toc19515395"/>
      <w:r>
        <w:rPr>
          <w:rFonts w:hint="eastAsia" w:ascii="仿宋" w:hAnsi="仿宋" w:eastAsia="仿宋" w:cs="仿宋"/>
          <w:color w:val="auto"/>
          <w:sz w:val="24"/>
          <w:highlight w:val="none"/>
        </w:rPr>
        <w:t>十、合同生效及其它</w:t>
      </w:r>
      <w:bookmarkEnd w:id="9"/>
    </w:p>
    <w:p w14:paraId="66091235">
      <w:pPr>
        <w:widowControl/>
        <w:autoSpaceDE w:val="0"/>
        <w:autoSpaceDN w:val="0"/>
        <w:snapToGrid w:val="0"/>
        <w:spacing w:line="360" w:lineRule="auto"/>
        <w:ind w:right="-110" w:firstLine="480" w:firstLineChars="2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1、合同未尽事宜、由甲、乙双方协商，作为合同补充，与原合同具有同等法律效力。</w:t>
      </w:r>
    </w:p>
    <w:p w14:paraId="6A70DDD0">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 本合同正本一式</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份，采购人、供应商双方分别执</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份，</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备案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份。</w:t>
      </w:r>
    </w:p>
    <w:p w14:paraId="2B5EFD6A">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3、合同经甲乙双方盖章、签字后生效，合同签订地点为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5E7C3DB2">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4、生效时间：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04B4A673">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highlight w:val="none"/>
        </w:rPr>
      </w:pPr>
    </w:p>
    <w:p w14:paraId="29CC7CAF">
      <w:pPr>
        <w:pStyle w:val="2"/>
        <w:rPr>
          <w:rFonts w:hint="eastAsia"/>
          <w:highlight w:val="none"/>
        </w:rPr>
      </w:pPr>
    </w:p>
    <w:tbl>
      <w:tblPr>
        <w:tblStyle w:val="6"/>
        <w:tblW w:w="0" w:type="auto"/>
        <w:jc w:val="center"/>
        <w:tblLayout w:type="fixed"/>
        <w:tblCellMar>
          <w:top w:w="0" w:type="dxa"/>
          <w:left w:w="108" w:type="dxa"/>
          <w:bottom w:w="0" w:type="dxa"/>
          <w:right w:w="108" w:type="dxa"/>
        </w:tblCellMar>
      </w:tblPr>
      <w:tblGrid>
        <w:gridCol w:w="4643"/>
        <w:gridCol w:w="4643"/>
      </w:tblGrid>
      <w:tr w14:paraId="5F23D6AC">
        <w:tblPrEx>
          <w:tblCellMar>
            <w:top w:w="0" w:type="dxa"/>
            <w:left w:w="108" w:type="dxa"/>
            <w:bottom w:w="0" w:type="dxa"/>
            <w:right w:w="108" w:type="dxa"/>
          </w:tblCellMar>
        </w:tblPrEx>
        <w:trPr>
          <w:jc w:val="center"/>
        </w:trPr>
        <w:tc>
          <w:tcPr>
            <w:tcW w:w="4643" w:type="dxa"/>
            <w:noWrap w:val="0"/>
            <w:vAlign w:val="top"/>
          </w:tcPr>
          <w:p w14:paraId="6A552E4A">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采购人名称</w:t>
            </w:r>
            <w:r>
              <w:rPr>
                <w:rFonts w:hint="eastAsia" w:ascii="仿宋" w:hAnsi="仿宋" w:eastAsia="仿宋" w:cs="仿宋"/>
                <w:color w:val="auto"/>
                <w:spacing w:val="-20"/>
                <w:kern w:val="0"/>
                <w:sz w:val="24"/>
                <w:highlight w:val="none"/>
              </w:rPr>
              <w:t>（盖章）</w:t>
            </w:r>
            <w:r>
              <w:rPr>
                <w:rFonts w:hint="eastAsia" w:ascii="仿宋" w:hAnsi="仿宋" w:eastAsia="仿宋" w:cs="仿宋"/>
                <w:color w:val="auto"/>
                <w:kern w:val="0"/>
                <w:sz w:val="24"/>
                <w:highlight w:val="none"/>
              </w:rPr>
              <w:t>：</w:t>
            </w:r>
          </w:p>
          <w:p w14:paraId="2B85C1AE">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地址：</w:t>
            </w:r>
          </w:p>
          <w:p w14:paraId="3642085D">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代表人（签字）：</w:t>
            </w:r>
          </w:p>
          <w:p w14:paraId="01CB8489">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电话：</w:t>
            </w:r>
          </w:p>
          <w:p w14:paraId="2D2B2CBB">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5E59C68F">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账号：</w:t>
            </w:r>
          </w:p>
        </w:tc>
        <w:tc>
          <w:tcPr>
            <w:tcW w:w="4643" w:type="dxa"/>
            <w:noWrap w:val="0"/>
            <w:vAlign w:val="top"/>
          </w:tcPr>
          <w:p w14:paraId="72088FBD">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spacing w:val="-20"/>
                <w:kern w:val="0"/>
                <w:sz w:val="24"/>
                <w:highlight w:val="none"/>
              </w:rPr>
              <w:t>（盖章）</w:t>
            </w:r>
            <w:r>
              <w:rPr>
                <w:rFonts w:hint="eastAsia" w:ascii="仿宋" w:hAnsi="仿宋" w:eastAsia="仿宋" w:cs="仿宋"/>
                <w:color w:val="auto"/>
                <w:kern w:val="0"/>
                <w:sz w:val="24"/>
                <w:highlight w:val="none"/>
              </w:rPr>
              <w:t>：</w:t>
            </w:r>
          </w:p>
          <w:p w14:paraId="252CD9E9">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地址：</w:t>
            </w:r>
          </w:p>
          <w:p w14:paraId="2E06FB61">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代表人（签字）：</w:t>
            </w:r>
          </w:p>
          <w:p w14:paraId="43C91E24">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电话：</w:t>
            </w:r>
          </w:p>
          <w:p w14:paraId="561D68F2">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063ACB80">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账号：</w:t>
            </w:r>
          </w:p>
        </w:tc>
      </w:tr>
    </w:tbl>
    <w:p w14:paraId="28FC23F8">
      <w:pPr>
        <w:widowControl/>
        <w:autoSpaceDE w:val="0"/>
        <w:autoSpaceDN w:val="0"/>
        <w:snapToGrid w:val="0"/>
        <w:spacing w:line="360" w:lineRule="auto"/>
        <w:ind w:right="-154" w:firstLine="240" w:firstLineChars="100"/>
        <w:textAlignment w:val="bottom"/>
        <w:rPr>
          <w:rFonts w:hint="eastAsia" w:ascii="仿宋" w:hAnsi="仿宋" w:eastAsia="仿宋" w:cs="仿宋"/>
          <w:color w:val="auto"/>
          <w:kern w:val="0"/>
          <w:sz w:val="24"/>
          <w:highlight w:val="none"/>
        </w:rPr>
      </w:pPr>
    </w:p>
    <w:p w14:paraId="6D598EA9">
      <w:pPr>
        <w:widowControl/>
        <w:autoSpaceDE w:val="0"/>
        <w:autoSpaceDN w:val="0"/>
        <w:snapToGrid w:val="0"/>
        <w:spacing w:line="360" w:lineRule="auto"/>
        <w:ind w:right="-154" w:firstLine="240" w:firstLineChars="1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见证方（盖章）：</w:t>
      </w:r>
    </w:p>
    <w:p w14:paraId="65CFC201">
      <w:pPr>
        <w:widowControl/>
        <w:autoSpaceDE w:val="0"/>
        <w:autoSpaceDN w:val="0"/>
        <w:snapToGrid w:val="0"/>
        <w:spacing w:line="360" w:lineRule="auto"/>
        <w:ind w:right="-154" w:firstLine="240" w:firstLineChars="100"/>
        <w:textAlignment w:val="bottom"/>
        <w:rPr>
          <w:rFonts w:hint="eastAsia" w:ascii="仿宋" w:hAnsi="仿宋" w:eastAsia="仿宋" w:cs="仿宋"/>
          <w:color w:val="auto"/>
          <w:kern w:val="0"/>
          <w:sz w:val="24"/>
          <w:highlight w:val="none"/>
        </w:rPr>
      </w:pPr>
    </w:p>
    <w:p w14:paraId="046F2F0A">
      <w:pPr>
        <w:widowControl/>
        <w:autoSpaceDE w:val="0"/>
        <w:autoSpaceDN w:val="0"/>
        <w:snapToGrid w:val="0"/>
        <w:spacing w:line="360" w:lineRule="auto"/>
        <w:ind w:right="-154" w:firstLine="240" w:firstLineChars="1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见证方代表（签字）：</w:t>
      </w:r>
    </w:p>
    <w:p w14:paraId="148A4ECC">
      <w:pPr>
        <w:widowControl/>
        <w:autoSpaceDE w:val="0"/>
        <w:autoSpaceDN w:val="0"/>
        <w:snapToGrid w:val="0"/>
        <w:spacing w:line="360" w:lineRule="auto"/>
        <w:ind w:right="-154" w:firstLine="240" w:firstLineChars="100"/>
        <w:textAlignment w:val="bottom"/>
        <w:rPr>
          <w:rFonts w:hint="eastAsia" w:ascii="仿宋" w:hAnsi="仿宋" w:eastAsia="仿宋" w:cs="仿宋"/>
          <w:color w:val="auto"/>
          <w:kern w:val="0"/>
          <w:sz w:val="24"/>
          <w:highlight w:val="none"/>
        </w:rPr>
      </w:pPr>
    </w:p>
    <w:p w14:paraId="3AC7BDC3">
      <w:pPr>
        <w:widowControl/>
        <w:autoSpaceDE w:val="0"/>
        <w:autoSpaceDN w:val="0"/>
        <w:snapToGrid w:val="0"/>
        <w:spacing w:line="360" w:lineRule="auto"/>
        <w:ind w:right="-154" w:firstLine="240" w:firstLineChars="100"/>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联系电话：</w:t>
      </w:r>
    </w:p>
    <w:p w14:paraId="743B15C7">
      <w:pPr>
        <w:rPr>
          <w:rFonts w:hint="eastAsia"/>
          <w:highlight w:val="none"/>
          <w:lang w:val="en-US" w:eastAsia="zh-Hans"/>
        </w:rPr>
      </w:pPr>
      <w:r>
        <w:rPr>
          <w:rFonts w:hint="eastAsia"/>
          <w:highlight w:val="none"/>
          <w:lang w:val="en-US" w:eastAsia="zh-Hans"/>
        </w:rPr>
        <w:br w:type="page"/>
      </w:r>
    </w:p>
    <w:p w14:paraId="4DCBE37F">
      <w:pP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合同附件</w:t>
      </w:r>
    </w:p>
    <w:tbl>
      <w:tblPr>
        <w:tblStyle w:val="6"/>
        <w:tblW w:w="5000" w:type="pct"/>
        <w:tblInd w:w="0" w:type="dxa"/>
        <w:tblLayout w:type="autofit"/>
        <w:tblCellMar>
          <w:top w:w="0" w:type="dxa"/>
          <w:left w:w="108" w:type="dxa"/>
          <w:bottom w:w="0" w:type="dxa"/>
          <w:right w:w="108" w:type="dxa"/>
        </w:tblCellMar>
      </w:tblPr>
      <w:tblGrid>
        <w:gridCol w:w="1571"/>
        <w:gridCol w:w="2299"/>
        <w:gridCol w:w="2524"/>
        <w:gridCol w:w="2128"/>
      </w:tblGrid>
      <w:tr w14:paraId="49E2A1BA">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6F73EFE5">
            <w:pPr>
              <w:widowControl/>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政府采购项目货物验收入库报告单</w:t>
            </w:r>
          </w:p>
        </w:tc>
      </w:tr>
      <w:tr w14:paraId="3C61BD06">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0F3FAB36">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3D8CD72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14:paraId="7043E335">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9F12A95">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4418374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14:paraId="7FD51D43">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468B6AE4">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6F6AB63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481" w:type="pct"/>
            <w:tcBorders>
              <w:top w:val="nil"/>
              <w:left w:val="nil"/>
              <w:bottom w:val="single" w:color="auto" w:sz="4" w:space="0"/>
              <w:right w:val="single" w:color="auto" w:sz="4" w:space="0"/>
            </w:tcBorders>
            <w:noWrap/>
            <w:vAlign w:val="center"/>
          </w:tcPr>
          <w:p w14:paraId="15DF7FE6">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合同金额</w:t>
            </w:r>
          </w:p>
        </w:tc>
        <w:tc>
          <w:tcPr>
            <w:tcW w:w="1248" w:type="pct"/>
            <w:tcBorders>
              <w:top w:val="nil"/>
              <w:left w:val="nil"/>
              <w:bottom w:val="single" w:color="auto" w:sz="4" w:space="0"/>
              <w:right w:val="single" w:color="auto" w:sz="8" w:space="0"/>
            </w:tcBorders>
            <w:noWrap/>
            <w:vAlign w:val="center"/>
          </w:tcPr>
          <w:p w14:paraId="28242F26">
            <w:pPr>
              <w:widowControl/>
              <w:jc w:val="left"/>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w:t>
            </w:r>
          </w:p>
        </w:tc>
      </w:tr>
      <w:tr w14:paraId="5FCD8AE2">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3E9B800A">
            <w:pPr>
              <w:widowControl/>
              <w:jc w:val="left"/>
              <w:rPr>
                <w:rFonts w:hint="eastAsia" w:ascii="仿宋" w:hAnsi="仿宋" w:eastAsia="仿宋" w:cs="仿宋"/>
                <w:b/>
                <w:bCs/>
                <w:color w:val="auto"/>
                <w:kern w:val="0"/>
                <w:sz w:val="24"/>
                <w:highlight w:val="none"/>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2C132978">
            <w:pPr>
              <w:widowControl/>
              <w:jc w:val="left"/>
              <w:rPr>
                <w:rFonts w:hint="eastAsia" w:ascii="仿宋" w:hAnsi="仿宋" w:eastAsia="仿宋" w:cs="仿宋"/>
                <w:color w:val="auto"/>
                <w:kern w:val="0"/>
                <w:sz w:val="24"/>
                <w:highlight w:val="none"/>
              </w:rPr>
            </w:pPr>
          </w:p>
        </w:tc>
        <w:tc>
          <w:tcPr>
            <w:tcW w:w="1481" w:type="pct"/>
            <w:tcBorders>
              <w:top w:val="nil"/>
              <w:left w:val="nil"/>
              <w:bottom w:val="single" w:color="auto" w:sz="4" w:space="0"/>
              <w:right w:val="single" w:color="auto" w:sz="4" w:space="0"/>
            </w:tcBorders>
            <w:noWrap/>
            <w:vAlign w:val="center"/>
          </w:tcPr>
          <w:p w14:paraId="42AB9B70">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验收时间/地点</w:t>
            </w:r>
          </w:p>
        </w:tc>
        <w:tc>
          <w:tcPr>
            <w:tcW w:w="1248" w:type="pct"/>
            <w:tcBorders>
              <w:top w:val="nil"/>
              <w:left w:val="nil"/>
              <w:bottom w:val="single" w:color="auto" w:sz="4" w:space="0"/>
              <w:right w:val="single" w:color="auto" w:sz="8" w:space="0"/>
            </w:tcBorders>
            <w:noWrap/>
            <w:vAlign w:val="center"/>
          </w:tcPr>
          <w:p w14:paraId="44E21EC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14:paraId="09E4C212">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70138F8A">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42008709">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14:paraId="40466158">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3A23C2FE">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开户行</w:t>
            </w:r>
          </w:p>
        </w:tc>
        <w:tc>
          <w:tcPr>
            <w:tcW w:w="1349" w:type="pct"/>
            <w:tcBorders>
              <w:top w:val="nil"/>
              <w:left w:val="nil"/>
              <w:bottom w:val="single" w:color="auto" w:sz="4" w:space="0"/>
              <w:right w:val="single" w:color="auto" w:sz="4" w:space="0"/>
            </w:tcBorders>
            <w:noWrap/>
            <w:vAlign w:val="center"/>
          </w:tcPr>
          <w:p w14:paraId="791A056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481" w:type="pct"/>
            <w:tcBorders>
              <w:top w:val="nil"/>
              <w:left w:val="nil"/>
              <w:bottom w:val="single" w:color="auto" w:sz="4" w:space="0"/>
              <w:right w:val="single" w:color="auto" w:sz="4" w:space="0"/>
            </w:tcBorders>
            <w:noWrap/>
            <w:vAlign w:val="center"/>
          </w:tcPr>
          <w:p w14:paraId="458FE625">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账号</w:t>
            </w:r>
          </w:p>
        </w:tc>
        <w:tc>
          <w:tcPr>
            <w:tcW w:w="1248" w:type="pct"/>
            <w:tcBorders>
              <w:top w:val="nil"/>
              <w:left w:val="nil"/>
              <w:bottom w:val="single" w:color="auto" w:sz="4" w:space="0"/>
              <w:right w:val="single" w:color="auto" w:sz="8" w:space="0"/>
            </w:tcBorders>
            <w:noWrap/>
            <w:vAlign w:val="center"/>
          </w:tcPr>
          <w:p w14:paraId="3BD56C24">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14:paraId="55B2B68E">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25793D3C">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联系人</w:t>
            </w:r>
          </w:p>
        </w:tc>
        <w:tc>
          <w:tcPr>
            <w:tcW w:w="1349" w:type="pct"/>
            <w:tcBorders>
              <w:top w:val="nil"/>
              <w:left w:val="nil"/>
              <w:bottom w:val="nil"/>
              <w:right w:val="single" w:color="auto" w:sz="4" w:space="0"/>
            </w:tcBorders>
            <w:noWrap/>
            <w:vAlign w:val="center"/>
          </w:tcPr>
          <w:p w14:paraId="79FE4144">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481" w:type="pct"/>
            <w:tcBorders>
              <w:top w:val="nil"/>
              <w:left w:val="nil"/>
              <w:bottom w:val="nil"/>
              <w:right w:val="single" w:color="auto" w:sz="4" w:space="0"/>
            </w:tcBorders>
            <w:noWrap/>
            <w:vAlign w:val="center"/>
          </w:tcPr>
          <w:p w14:paraId="5EE384E2">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电话</w:t>
            </w:r>
          </w:p>
        </w:tc>
        <w:tc>
          <w:tcPr>
            <w:tcW w:w="1248" w:type="pct"/>
            <w:tcBorders>
              <w:top w:val="nil"/>
              <w:left w:val="nil"/>
              <w:bottom w:val="nil"/>
              <w:right w:val="single" w:color="auto" w:sz="8" w:space="0"/>
            </w:tcBorders>
            <w:noWrap/>
            <w:vAlign w:val="center"/>
          </w:tcPr>
          <w:p w14:paraId="61033EA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14:paraId="28B9AB8C">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5047EE60">
            <w:pPr>
              <w:widowControl/>
              <w:jc w:val="left"/>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36168E9F">
            <w:pPr>
              <w:widowControl/>
              <w:jc w:val="left"/>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 xml:space="preserve">   使用单位验收意见：（盖章）</w:t>
            </w:r>
          </w:p>
          <w:p w14:paraId="569F548E">
            <w:pPr>
              <w:rPr>
                <w:rFonts w:hint="eastAsia" w:ascii="仿宋" w:hAnsi="仿宋" w:eastAsia="仿宋" w:cs="仿宋"/>
                <w:color w:val="auto"/>
                <w:sz w:val="24"/>
                <w:highlight w:val="none"/>
              </w:rPr>
            </w:pPr>
          </w:p>
        </w:tc>
      </w:tr>
      <w:tr w14:paraId="2AA45CF6">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14A1B506">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 xml:space="preserve"> 签字：</w:t>
            </w:r>
          </w:p>
        </w:tc>
        <w:tc>
          <w:tcPr>
            <w:tcW w:w="1349" w:type="pct"/>
            <w:tcBorders>
              <w:top w:val="nil"/>
              <w:left w:val="nil"/>
              <w:bottom w:val="nil"/>
              <w:right w:val="nil"/>
            </w:tcBorders>
            <w:noWrap/>
            <w:vAlign w:val="center"/>
          </w:tcPr>
          <w:p w14:paraId="04292898">
            <w:pPr>
              <w:widowControl/>
              <w:jc w:val="center"/>
              <w:rPr>
                <w:rFonts w:hint="eastAsia" w:ascii="仿宋" w:hAnsi="仿宋" w:eastAsia="仿宋" w:cs="仿宋"/>
                <w:b/>
                <w:bCs/>
                <w:color w:val="auto"/>
                <w:kern w:val="0"/>
                <w:sz w:val="24"/>
                <w:highlight w:val="none"/>
              </w:rPr>
            </w:pPr>
          </w:p>
        </w:tc>
        <w:tc>
          <w:tcPr>
            <w:tcW w:w="1481" w:type="pct"/>
            <w:tcBorders>
              <w:top w:val="nil"/>
              <w:left w:val="single" w:color="auto" w:sz="4" w:space="0"/>
              <w:bottom w:val="nil"/>
              <w:right w:val="nil"/>
            </w:tcBorders>
            <w:noWrap/>
            <w:vAlign w:val="center"/>
          </w:tcPr>
          <w:p w14:paraId="2BAE15B0">
            <w:pPr>
              <w:widowControl/>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签字：</w:t>
            </w:r>
          </w:p>
        </w:tc>
        <w:tc>
          <w:tcPr>
            <w:tcW w:w="1248" w:type="pct"/>
            <w:tcBorders>
              <w:top w:val="nil"/>
              <w:left w:val="nil"/>
              <w:bottom w:val="nil"/>
              <w:right w:val="single" w:color="auto" w:sz="8" w:space="0"/>
            </w:tcBorders>
            <w:noWrap w:val="0"/>
            <w:vAlign w:val="top"/>
          </w:tcPr>
          <w:p w14:paraId="47634B31">
            <w:pPr>
              <w:widowControl/>
              <w:jc w:val="left"/>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　</w:t>
            </w:r>
          </w:p>
        </w:tc>
      </w:tr>
      <w:tr w14:paraId="2F5D8402">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64706126">
            <w:pPr>
              <w:widowControl/>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1349" w:type="pct"/>
            <w:tcBorders>
              <w:top w:val="nil"/>
              <w:left w:val="nil"/>
              <w:bottom w:val="single" w:color="auto" w:sz="4" w:space="0"/>
              <w:right w:val="nil"/>
            </w:tcBorders>
            <w:noWrap w:val="0"/>
            <w:vAlign w:val="bottom"/>
          </w:tcPr>
          <w:p w14:paraId="73A43CD7">
            <w:pPr>
              <w:widowControl/>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年     月   日</w:t>
            </w:r>
          </w:p>
        </w:tc>
        <w:tc>
          <w:tcPr>
            <w:tcW w:w="1481" w:type="pct"/>
            <w:tcBorders>
              <w:top w:val="nil"/>
              <w:left w:val="single" w:color="auto" w:sz="4" w:space="0"/>
              <w:bottom w:val="single" w:color="auto" w:sz="4" w:space="0"/>
              <w:right w:val="nil"/>
            </w:tcBorders>
            <w:noWrap/>
            <w:vAlign w:val="center"/>
          </w:tcPr>
          <w:p w14:paraId="63DD2922">
            <w:pPr>
              <w:widowControl/>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1248" w:type="pct"/>
            <w:tcBorders>
              <w:top w:val="nil"/>
              <w:left w:val="nil"/>
              <w:bottom w:val="single" w:color="auto" w:sz="4" w:space="0"/>
              <w:right w:val="single" w:color="auto" w:sz="8" w:space="0"/>
            </w:tcBorders>
            <w:noWrap w:val="0"/>
            <w:vAlign w:val="bottom"/>
          </w:tcPr>
          <w:p w14:paraId="399BAC9B">
            <w:pPr>
              <w:widowControl/>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年   月   日</w:t>
            </w:r>
          </w:p>
        </w:tc>
      </w:tr>
      <w:tr w14:paraId="418174B6">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7790E33B">
            <w:pPr>
              <w:widowControl/>
              <w:jc w:val="center"/>
              <w:rPr>
                <w:rFonts w:hint="eastAsia" w:ascii="仿宋" w:hAnsi="仿宋" w:eastAsia="仿宋" w:cs="仿宋"/>
                <w:b/>
                <w:bCs/>
                <w:color w:val="auto"/>
                <w:kern w:val="0"/>
                <w:sz w:val="22"/>
                <w:szCs w:val="22"/>
                <w:highlight w:val="none"/>
              </w:rPr>
            </w:pPr>
            <w:r>
              <w:rPr>
                <w:rFonts w:hint="eastAsia" w:ascii="仿宋" w:hAnsi="仿宋" w:eastAsia="仿宋" w:cs="仿宋"/>
                <w:b/>
                <w:bCs/>
                <w:color w:val="auto"/>
                <w:kern w:val="0"/>
                <w:sz w:val="22"/>
                <w:szCs w:val="22"/>
                <w:highlight w:val="none"/>
              </w:rPr>
              <w:t>采购内容</w:t>
            </w:r>
          </w:p>
        </w:tc>
      </w:tr>
      <w:tr w14:paraId="0C263CD0">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1C69AD16">
            <w:pPr>
              <w:widowControl/>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采购内容请列明品目、规格、型号、数量、单价、总价</w:t>
            </w:r>
          </w:p>
        </w:tc>
      </w:tr>
    </w:tbl>
    <w:p w14:paraId="1E04F589">
      <w:pPr>
        <w:rPr>
          <w:rFonts w:hint="eastAsia"/>
          <w:highlight w:val="none"/>
          <w:lang w:eastAsia="zh-CN"/>
        </w:rPr>
      </w:pPr>
    </w:p>
    <w:sectPr>
      <w:headerReference r:id="rId5" w:type="default"/>
      <w:footerReference r:id="rId6" w:type="default"/>
      <w:pgSz w:w="11906" w:h="16838"/>
      <w:pgMar w:top="1440" w:right="1800" w:bottom="1440" w:left="180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8A47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8558B53">
                          <w:pPr>
                            <w:pStyle w:val="4"/>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68558B53">
                    <w:pPr>
                      <w:pStyle w:val="4"/>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FDB26">
    <w:pPr>
      <w:pStyle w:val="5"/>
      <w:pBdr>
        <w:bottom w:val="none" w:color="auto" w:sz="0" w:space="0"/>
      </w:pBdr>
      <w:jc w:val="left"/>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7E19FD"/>
    <w:rsid w:val="21131911"/>
    <w:rsid w:val="2A1564FE"/>
    <w:rsid w:val="3A6D7D25"/>
    <w:rsid w:val="3CAC5E92"/>
    <w:rsid w:val="76573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3">
    <w:name w:val="heading 4"/>
    <w:basedOn w:val="1"/>
    <w:next w:val="1"/>
    <w:qFormat/>
    <w:uiPriority w:val="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1736</Words>
  <Characters>1770</Characters>
  <Lines>0</Lines>
  <Paragraphs>0</Paragraphs>
  <TotalTime>2</TotalTime>
  <ScaleCrop>false</ScaleCrop>
  <LinksUpToDate>false</LinksUpToDate>
  <CharactersWithSpaces>1836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2026-08-19T11:43:00Z</dcterms:created>
  <dc:creator>Administrator</dc:creator>
  <cp:lastModifiedBy>j@x</cp:lastModifiedBy>
  <dcterms:modified xsi:type="dcterms:W3CDTF">2026-08-31T10:11:54Z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eyJoZGlkIjoiMjc2YTgzNzIxNzJiNjgzOWI0NTg5N2EwZTcwMjE0MGEiLCJ1c2VySWQiOiI1NTM3MTk1MjIifQ==</vt:lpwstr>
  </property>
  <property fmtid="{D5CDD505-2E9C-101B-9397-08002B2CF9AE}" pid="4" name="ICV">
    <vt:lpwstr>FD412C2E55464F9486D0822CF7E3D924_12</vt:lpwstr>
  </property>
</Properties>
</file>