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A45CA5">
      <w:pPr>
        <w:pStyle w:val="3"/>
        <w:spacing w:line="360" w:lineRule="auto"/>
        <w:rPr>
          <w:rStyle w:val="6"/>
          <w:rFonts w:hint="eastAsia" w:ascii="仿宋" w:hAnsi="仿宋" w:eastAsia="仿宋" w:cs="仿宋"/>
          <w:sz w:val="36"/>
          <w:szCs w:val="36"/>
        </w:rPr>
      </w:pPr>
      <w:r>
        <w:rPr>
          <w:rStyle w:val="6"/>
          <w:rFonts w:hint="eastAsia" w:ascii="仿宋" w:hAnsi="仿宋" w:eastAsia="仿宋" w:cs="仿宋"/>
          <w:sz w:val="36"/>
          <w:szCs w:val="36"/>
        </w:rPr>
        <w:t>合同文本</w:t>
      </w:r>
    </w:p>
    <w:p w14:paraId="2FE24BD7">
      <w:pPr>
        <w:rPr>
          <w:rStyle w:val="6"/>
          <w:rFonts w:hint="default" w:ascii="仿宋" w:hAnsi="仿宋" w:eastAsia="仿宋" w:cs="仿宋"/>
          <w:sz w:val="36"/>
          <w:szCs w:val="36"/>
          <w:lang w:val="en-US" w:eastAsia="zh-CN"/>
        </w:rPr>
      </w:pPr>
      <w:r>
        <w:rPr>
          <w:rStyle w:val="6"/>
          <w:rFonts w:hint="eastAsia" w:ascii="仿宋" w:hAnsi="仿宋" w:eastAsia="仿宋" w:cs="仿宋"/>
          <w:sz w:val="36"/>
          <w:szCs w:val="36"/>
          <w:lang w:val="en-US" w:eastAsia="zh-CN"/>
        </w:rPr>
        <w:t xml:space="preserve">                 （仅供参考）</w:t>
      </w:r>
    </w:p>
    <w:p w14:paraId="33FA54BC">
      <w:pPr>
        <w:rPr>
          <w:rStyle w:val="6"/>
          <w:rFonts w:hint="eastAsia" w:ascii="仿宋" w:hAnsi="仿宋" w:eastAsia="仿宋" w:cs="仿宋"/>
          <w:sz w:val="36"/>
          <w:szCs w:val="36"/>
        </w:rPr>
      </w:pPr>
    </w:p>
    <w:p w14:paraId="75765AB3">
      <w:pPr>
        <w:tabs>
          <w:tab w:val="left" w:pos="735"/>
        </w:tabs>
        <w:autoSpaceDE w:val="0"/>
        <w:autoSpaceDN w:val="0"/>
        <w:adjustRightInd w:val="0"/>
        <w:snapToGrid w:val="0"/>
        <w:spacing w:before="240" w:beforeLines="100" w:line="360" w:lineRule="auto"/>
        <w:rPr>
          <w:rFonts w:ascii="仿宋" w:hAnsi="仿宋" w:eastAsia="仿宋" w:cs="仿宋"/>
          <w:b/>
          <w:bCs/>
          <w:sz w:val="24"/>
          <w:lang w:val="zh-CN"/>
        </w:rPr>
      </w:pPr>
      <w:r>
        <w:rPr>
          <w:rFonts w:hint="eastAsia" w:ascii="仿宋" w:hAnsi="仿宋" w:eastAsia="仿宋" w:cs="仿宋"/>
          <w:b/>
          <w:bCs/>
          <w:sz w:val="24"/>
          <w:lang w:val="zh-CN"/>
        </w:rPr>
        <w:t>甲方：</w:t>
      </w:r>
      <w:r>
        <w:rPr>
          <w:rFonts w:hint="eastAsia" w:ascii="仿宋" w:hAnsi="仿宋" w:eastAsia="仿宋" w:cs="仿宋"/>
          <w:bCs/>
          <w:sz w:val="24"/>
          <w:lang w:val="zh-CN"/>
        </w:rPr>
        <w:t xml:space="preserve">（前款所称采购人）     </w:t>
      </w:r>
      <w:r>
        <w:rPr>
          <w:rFonts w:hint="eastAsia" w:ascii="仿宋" w:hAnsi="仿宋" w:eastAsia="仿宋" w:cs="仿宋"/>
          <w:bCs/>
          <w:sz w:val="24"/>
        </w:rPr>
        <w:t xml:space="preserve">    </w:t>
      </w:r>
      <w:r>
        <w:rPr>
          <w:rFonts w:hint="eastAsia" w:ascii="仿宋" w:hAnsi="仿宋" w:eastAsia="仿宋" w:cs="仿宋"/>
          <w:bCs/>
          <w:sz w:val="24"/>
          <w:lang w:val="zh-CN"/>
        </w:rPr>
        <w:t>住所：</w:t>
      </w:r>
    </w:p>
    <w:p w14:paraId="5459B153">
      <w:pPr>
        <w:tabs>
          <w:tab w:val="left" w:pos="735"/>
        </w:tabs>
        <w:autoSpaceDE w:val="0"/>
        <w:autoSpaceDN w:val="0"/>
        <w:adjustRightInd w:val="0"/>
        <w:snapToGrid w:val="0"/>
        <w:spacing w:line="360" w:lineRule="auto"/>
        <w:rPr>
          <w:rFonts w:ascii="仿宋" w:hAnsi="仿宋" w:eastAsia="仿宋" w:cs="仿宋"/>
          <w:bCs/>
          <w:sz w:val="24"/>
          <w:lang w:val="zh-CN"/>
        </w:rPr>
      </w:pPr>
      <w:r>
        <w:rPr>
          <w:rFonts w:hint="eastAsia" w:ascii="仿宋" w:hAnsi="仿宋" w:eastAsia="仿宋" w:cs="仿宋"/>
          <w:b/>
          <w:bCs/>
          <w:sz w:val="24"/>
          <w:lang w:val="zh-CN"/>
        </w:rPr>
        <w:t>乙方：</w:t>
      </w:r>
      <w:r>
        <w:rPr>
          <w:rFonts w:hint="eastAsia" w:ascii="仿宋" w:hAnsi="仿宋" w:eastAsia="仿宋" w:cs="仿宋"/>
          <w:bCs/>
          <w:sz w:val="24"/>
          <w:lang w:val="zh-CN"/>
        </w:rPr>
        <w:t>（前款所称</w:t>
      </w:r>
      <w:r>
        <w:rPr>
          <w:rFonts w:hint="eastAsia" w:ascii="仿宋" w:hAnsi="仿宋" w:eastAsia="仿宋" w:cs="仿宋"/>
          <w:bCs/>
          <w:sz w:val="24"/>
        </w:rPr>
        <w:t>成交供应商</w:t>
      </w:r>
      <w:r>
        <w:rPr>
          <w:rFonts w:hint="eastAsia" w:ascii="仿宋" w:hAnsi="仿宋" w:eastAsia="仿宋" w:cs="仿宋"/>
          <w:bCs/>
          <w:sz w:val="24"/>
          <w:lang w:val="zh-CN"/>
        </w:rPr>
        <w:t>）     住所：</w:t>
      </w:r>
    </w:p>
    <w:p w14:paraId="64441EA3">
      <w:pPr>
        <w:adjustRightInd w:val="0"/>
        <w:snapToGrid w:val="0"/>
        <w:spacing w:line="360" w:lineRule="auto"/>
        <w:ind w:firstLine="480" w:firstLineChars="200"/>
        <w:rPr>
          <w:rFonts w:ascii="仿宋" w:hAnsi="仿宋" w:eastAsia="仿宋" w:cs="仿宋"/>
          <w:sz w:val="24"/>
        </w:rPr>
      </w:pPr>
      <w:bookmarkStart w:id="0" w:name="_Toc19515384"/>
      <w:r>
        <w:rPr>
          <w:rFonts w:hint="eastAsia" w:ascii="仿宋" w:hAnsi="仿宋" w:eastAsia="仿宋" w:cs="仿宋"/>
          <w:sz w:val="24"/>
        </w:rPr>
        <w:t>一、合同内容（标的、数量、质量等）</w:t>
      </w:r>
      <w:bookmarkEnd w:id="0"/>
      <w:r>
        <w:rPr>
          <w:rFonts w:hint="eastAsia" w:ascii="仿宋" w:hAnsi="仿宋" w:eastAsia="仿宋" w:cs="仿宋"/>
          <w:sz w:val="24"/>
        </w:rPr>
        <w:t>：</w:t>
      </w:r>
    </w:p>
    <w:p w14:paraId="06376C66">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本政府采购合同所附下列文件是构成本政府采购合同不可分割的部分：</w:t>
      </w:r>
    </w:p>
    <w:p w14:paraId="50A72229">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1.磋商文件（招标文件编号</w:t>
      </w:r>
      <w:r>
        <w:rPr>
          <w:rFonts w:hint="eastAsia" w:ascii="仿宋" w:hAnsi="仿宋" w:eastAsia="仿宋" w:cs="仿宋"/>
          <w:bCs/>
          <w:sz w:val="24"/>
          <w:u w:val="none"/>
        </w:rPr>
        <w:t xml:space="preserve">           </w:t>
      </w:r>
      <w:r>
        <w:rPr>
          <w:rFonts w:hint="eastAsia" w:ascii="仿宋" w:hAnsi="仿宋" w:eastAsia="仿宋" w:cs="仿宋"/>
          <w:bCs/>
          <w:sz w:val="24"/>
        </w:rPr>
        <w:t>）；</w:t>
      </w:r>
    </w:p>
    <w:p w14:paraId="5C2240D9">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2.磋商文件的更正公告、变更公告；</w:t>
      </w:r>
    </w:p>
    <w:p w14:paraId="2B3D99BF">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3.成交供应商提交的磋商响应文件；</w:t>
      </w:r>
    </w:p>
    <w:p w14:paraId="77AAD07F">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4.政府采购合同条款；</w:t>
      </w:r>
    </w:p>
    <w:p w14:paraId="57C1DB5B">
      <w:pPr>
        <w:tabs>
          <w:tab w:val="left" w:pos="735"/>
        </w:tabs>
        <w:autoSpaceDE w:val="0"/>
        <w:autoSpaceDN w:val="0"/>
        <w:adjustRightInd w:val="0"/>
        <w:snapToGrid w:val="0"/>
        <w:spacing w:line="360" w:lineRule="auto"/>
        <w:ind w:firstLine="480" w:firstLineChars="200"/>
        <w:jc w:val="left"/>
        <w:rPr>
          <w:rFonts w:hint="eastAsia" w:ascii="仿宋" w:hAnsi="仿宋" w:eastAsia="仿宋" w:cs="仿宋"/>
          <w:bCs/>
          <w:sz w:val="24"/>
        </w:rPr>
      </w:pPr>
      <w:r>
        <w:rPr>
          <w:rFonts w:hint="eastAsia" w:ascii="仿宋" w:hAnsi="仿宋" w:eastAsia="仿宋" w:cs="仿宋"/>
          <w:bCs/>
          <w:sz w:val="24"/>
        </w:rPr>
        <w:t>5.成交通知书；</w:t>
      </w:r>
    </w:p>
    <w:p w14:paraId="0620882A">
      <w:pPr>
        <w:tabs>
          <w:tab w:val="left" w:pos="735"/>
        </w:tabs>
        <w:autoSpaceDE w:val="0"/>
        <w:autoSpaceDN w:val="0"/>
        <w:adjustRightInd w:val="0"/>
        <w:snapToGrid w:val="0"/>
        <w:spacing w:line="360" w:lineRule="auto"/>
        <w:ind w:firstLine="480" w:firstLineChars="200"/>
        <w:rPr>
          <w:rFonts w:hint="eastAsia" w:ascii="仿宋" w:hAnsi="仿宋" w:eastAsia="仿宋" w:cs="仿宋"/>
          <w:bCs/>
          <w:sz w:val="24"/>
        </w:rPr>
      </w:pPr>
      <w:r>
        <w:rPr>
          <w:rFonts w:hint="eastAsia" w:ascii="仿宋" w:hAnsi="仿宋" w:eastAsia="仿宋" w:cs="仿宋"/>
          <w:bCs/>
          <w:sz w:val="24"/>
        </w:rPr>
        <w:t>6.政府采购合同的其它附件。</w:t>
      </w:r>
    </w:p>
    <w:p w14:paraId="5CF5BF6C">
      <w:pPr>
        <w:adjustRightInd w:val="0"/>
        <w:snapToGrid w:val="0"/>
        <w:spacing w:line="360" w:lineRule="auto"/>
        <w:ind w:firstLine="480" w:firstLineChars="200"/>
        <w:rPr>
          <w:rFonts w:ascii="仿宋" w:hAnsi="仿宋" w:eastAsia="仿宋" w:cs="仿宋"/>
          <w:sz w:val="24"/>
        </w:rPr>
      </w:pPr>
      <w:bookmarkStart w:id="1" w:name="_Toc19515385"/>
      <w:r>
        <w:rPr>
          <w:rFonts w:hint="eastAsia" w:ascii="仿宋" w:hAnsi="仿宋" w:eastAsia="仿宋" w:cs="仿宋"/>
          <w:sz w:val="24"/>
        </w:rPr>
        <w:t>二、合同价款</w:t>
      </w:r>
      <w:bookmarkEnd w:id="1"/>
    </w:p>
    <w:p w14:paraId="2A77EFC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1、合同总价：</w:t>
      </w:r>
    </w:p>
    <w:p w14:paraId="174B04C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2、合同总价包括：</w:t>
      </w:r>
    </w:p>
    <w:p w14:paraId="38C9207B">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3、合同为固定总价合同，不受市场价变化的影响。</w:t>
      </w:r>
    </w:p>
    <w:p w14:paraId="23D16DFD">
      <w:pPr>
        <w:adjustRightInd w:val="0"/>
        <w:snapToGrid w:val="0"/>
        <w:spacing w:line="360" w:lineRule="auto"/>
        <w:ind w:firstLine="480" w:firstLineChars="200"/>
        <w:rPr>
          <w:rFonts w:ascii="仿宋" w:hAnsi="仿宋" w:eastAsia="仿宋" w:cs="仿宋"/>
          <w:sz w:val="24"/>
        </w:rPr>
      </w:pPr>
      <w:bookmarkStart w:id="2" w:name="_Toc19515386"/>
      <w:r>
        <w:rPr>
          <w:rFonts w:hint="eastAsia" w:ascii="仿宋" w:hAnsi="仿宋" w:eastAsia="仿宋" w:cs="仿宋"/>
          <w:sz w:val="24"/>
        </w:rPr>
        <w:t>三、合同结算</w:t>
      </w:r>
      <w:bookmarkEnd w:id="2"/>
    </w:p>
    <w:p w14:paraId="3FED58E7">
      <w:pPr>
        <w:adjustRightInd w:val="0"/>
        <w:snapToGrid w:val="0"/>
        <w:spacing w:line="360" w:lineRule="auto"/>
        <w:ind w:firstLine="480" w:firstLineChars="200"/>
        <w:rPr>
          <w:rFonts w:hint="eastAsia" w:ascii="仿宋" w:hAnsi="仿宋" w:eastAsia="仿宋" w:cs="仿宋"/>
          <w:sz w:val="24"/>
        </w:rPr>
      </w:pPr>
      <w:r>
        <w:rPr>
          <w:rFonts w:hint="eastAsia" w:ascii="仿宋" w:hAnsi="仿宋" w:eastAsia="仿宋" w:cs="仿宋"/>
          <w:sz w:val="24"/>
          <w:highlight w:val="none"/>
        </w:rPr>
        <w:t>1、付款比</w:t>
      </w:r>
      <w:r>
        <w:rPr>
          <w:rFonts w:hint="eastAsia" w:ascii="仿宋" w:hAnsi="仿宋" w:eastAsia="仿宋" w:cs="仿宋"/>
          <w:sz w:val="24"/>
        </w:rPr>
        <w:t>例：</w:t>
      </w:r>
    </w:p>
    <w:p w14:paraId="22A52E2A">
      <w:pPr>
        <w:adjustRightInd w:val="0"/>
        <w:snapToGrid w:val="0"/>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2、结算方式：银行转账。</w:t>
      </w:r>
    </w:p>
    <w:p w14:paraId="489B5E4D">
      <w:pPr>
        <w:adjustRightInd w:val="0"/>
        <w:snapToGrid w:val="0"/>
        <w:spacing w:line="360" w:lineRule="auto"/>
        <w:ind w:firstLine="480" w:firstLineChars="200"/>
        <w:rPr>
          <w:rFonts w:ascii="仿宋" w:hAnsi="仿宋" w:eastAsia="仿宋" w:cs="仿宋"/>
          <w:sz w:val="24"/>
          <w:highlight w:val="none"/>
        </w:rPr>
      </w:pPr>
      <w:r>
        <w:rPr>
          <w:rFonts w:hint="eastAsia" w:ascii="仿宋" w:hAnsi="仿宋" w:eastAsia="仿宋" w:cs="仿宋"/>
          <w:sz w:val="24"/>
          <w:highlight w:val="none"/>
        </w:rPr>
        <w:t>3、结算单位：由</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负责结算，乙方开具合同总价数的全额发票交采购人。</w:t>
      </w:r>
    </w:p>
    <w:p w14:paraId="180B253D">
      <w:pPr>
        <w:adjustRightInd w:val="0"/>
        <w:snapToGrid w:val="0"/>
        <w:spacing w:line="360" w:lineRule="auto"/>
        <w:ind w:firstLine="480" w:firstLineChars="200"/>
        <w:rPr>
          <w:rFonts w:ascii="仿宋" w:hAnsi="仿宋" w:eastAsia="仿宋" w:cs="仿宋"/>
          <w:sz w:val="24"/>
          <w:highlight w:val="none"/>
        </w:rPr>
      </w:pPr>
      <w:bookmarkStart w:id="3" w:name="_Toc19515387"/>
      <w:r>
        <w:rPr>
          <w:rFonts w:hint="eastAsia" w:ascii="仿宋" w:hAnsi="仿宋" w:eastAsia="仿宋" w:cs="仿宋"/>
          <w:sz w:val="24"/>
          <w:highlight w:val="none"/>
        </w:rPr>
        <w:t>四、服务期、地点及方式</w:t>
      </w:r>
      <w:bookmarkEnd w:id="3"/>
      <w:r>
        <w:rPr>
          <w:rFonts w:hint="eastAsia" w:ascii="仿宋" w:hAnsi="仿宋" w:eastAsia="仿宋" w:cs="仿宋"/>
          <w:sz w:val="24"/>
          <w:highlight w:val="none"/>
        </w:rPr>
        <w:t>：</w:t>
      </w:r>
    </w:p>
    <w:p w14:paraId="011228A6">
      <w:pPr>
        <w:adjustRightInd w:val="0"/>
        <w:snapToGrid w:val="0"/>
        <w:spacing w:line="360" w:lineRule="auto"/>
        <w:ind w:firstLine="480" w:firstLineChars="200"/>
        <w:rPr>
          <w:rFonts w:hint="default" w:ascii="仿宋" w:hAnsi="仿宋" w:eastAsia="仿宋" w:cs="仿宋"/>
          <w:sz w:val="24"/>
          <w:highlight w:val="none"/>
          <w:lang w:val="en-US" w:eastAsia="zh-CN"/>
        </w:rPr>
      </w:pPr>
      <w:r>
        <w:rPr>
          <w:rFonts w:hint="eastAsia" w:ascii="仿宋" w:hAnsi="仿宋" w:eastAsia="仿宋" w:cs="仿宋"/>
          <w:sz w:val="24"/>
          <w:highlight w:val="none"/>
        </w:rPr>
        <w:t>1、服务期：自签订合同之日起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日历天</w:t>
      </w:r>
      <w:r>
        <w:rPr>
          <w:rFonts w:hint="eastAsia" w:ascii="仿宋" w:hAnsi="仿宋" w:eastAsia="仿宋" w:cs="仿宋"/>
          <w:sz w:val="24"/>
          <w:highlight w:val="none"/>
        </w:rPr>
        <w:t>，具体时间以主管部</w:t>
      </w:r>
      <w:bookmarkStart w:id="10" w:name="_GoBack"/>
      <w:bookmarkEnd w:id="10"/>
      <w:r>
        <w:rPr>
          <w:rFonts w:hint="eastAsia" w:ascii="仿宋" w:hAnsi="仿宋" w:eastAsia="仿宋" w:cs="仿宋"/>
          <w:sz w:val="24"/>
          <w:highlight w:val="none"/>
        </w:rPr>
        <w:t>门文件为准；</w:t>
      </w:r>
    </w:p>
    <w:p w14:paraId="47977A6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2、地点：采购人指定地点。</w:t>
      </w:r>
    </w:p>
    <w:p w14:paraId="669F73A5">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3、方式：采购人指定方式。</w:t>
      </w:r>
    </w:p>
    <w:p w14:paraId="56C12EC2">
      <w:pPr>
        <w:adjustRightInd w:val="0"/>
        <w:snapToGrid w:val="0"/>
        <w:spacing w:line="360" w:lineRule="auto"/>
        <w:ind w:firstLine="480" w:firstLineChars="200"/>
        <w:rPr>
          <w:rFonts w:ascii="仿宋" w:hAnsi="仿宋" w:eastAsia="仿宋" w:cs="仿宋"/>
          <w:sz w:val="24"/>
        </w:rPr>
      </w:pPr>
      <w:bookmarkStart w:id="4" w:name="_Toc19515390"/>
      <w:r>
        <w:rPr>
          <w:rFonts w:hint="eastAsia" w:ascii="仿宋" w:hAnsi="仿宋" w:eastAsia="仿宋" w:cs="仿宋"/>
          <w:sz w:val="24"/>
        </w:rPr>
        <w:t>五、技术服务</w:t>
      </w:r>
      <w:bookmarkEnd w:id="4"/>
    </w:p>
    <w:p w14:paraId="0CA9032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1、对技术服务的要求：</w:t>
      </w:r>
    </w:p>
    <w:p w14:paraId="5CEF6058">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2、技术资料：</w:t>
      </w:r>
    </w:p>
    <w:p w14:paraId="27DBF46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3、售后服务</w:t>
      </w:r>
    </w:p>
    <w:p w14:paraId="5345905C">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3-1、乙方在接到甲方电话通知后在</w:t>
      </w:r>
      <w:r>
        <w:rPr>
          <w:rFonts w:hint="eastAsia" w:ascii="仿宋" w:hAnsi="仿宋" w:eastAsia="仿宋" w:cs="仿宋"/>
          <w:sz w:val="24"/>
          <w:u w:val="single"/>
        </w:rPr>
        <w:t xml:space="preserve"> </w:t>
      </w:r>
      <w:r>
        <w:rPr>
          <w:rFonts w:hint="eastAsia" w:ascii="仿宋" w:hAnsi="仿宋" w:eastAsia="仿宋" w:cs="仿宋"/>
          <w:sz w:val="24"/>
          <w:u w:val="single"/>
          <w:lang w:val="en-US" w:eastAsia="zh-CN"/>
        </w:rPr>
        <w:t xml:space="preserve"> </w:t>
      </w:r>
      <w:r>
        <w:rPr>
          <w:rFonts w:hint="eastAsia" w:ascii="仿宋" w:hAnsi="仿宋" w:eastAsia="仿宋" w:cs="仿宋"/>
          <w:sz w:val="24"/>
        </w:rPr>
        <w:t>小时内派出合格的服务人员到达现场进行服务，且由乙方承担相应费用。</w:t>
      </w:r>
    </w:p>
    <w:p w14:paraId="4F1032BA">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3-2、如果乙方在收到通知后两天内没有弥补缺陷，甲方可采取必要的补救措施，但其风险和费用将由乙方承担，甲方有权从未付款项中扣除，且甲方根据合同规定对乙方行使的其它权力不受影响。</w:t>
      </w:r>
    </w:p>
    <w:p w14:paraId="28C10A27">
      <w:pPr>
        <w:adjustRightInd w:val="0"/>
        <w:snapToGrid w:val="0"/>
        <w:spacing w:line="360" w:lineRule="auto"/>
        <w:ind w:firstLine="480" w:firstLineChars="200"/>
        <w:rPr>
          <w:rFonts w:ascii="仿宋" w:hAnsi="仿宋" w:eastAsia="仿宋" w:cs="仿宋"/>
          <w:sz w:val="24"/>
        </w:rPr>
      </w:pPr>
      <w:bookmarkStart w:id="5" w:name="_Toc19515391"/>
      <w:r>
        <w:rPr>
          <w:rFonts w:hint="eastAsia" w:ascii="仿宋" w:hAnsi="仿宋" w:eastAsia="仿宋" w:cs="仿宋"/>
          <w:sz w:val="24"/>
        </w:rPr>
        <w:t>六、</w:t>
      </w:r>
      <w:bookmarkEnd w:id="5"/>
      <w:bookmarkStart w:id="6" w:name="_Toc19515392"/>
      <w:r>
        <w:rPr>
          <w:rFonts w:hint="eastAsia" w:ascii="仿宋" w:hAnsi="仿宋" w:eastAsia="仿宋" w:cs="仿宋"/>
          <w:sz w:val="24"/>
        </w:rPr>
        <w:t>违约责任</w:t>
      </w:r>
      <w:bookmarkEnd w:id="6"/>
    </w:p>
    <w:p w14:paraId="282C9567">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1、按《中华人民共和国民法典》中的相关条款执行。</w:t>
      </w:r>
    </w:p>
    <w:p w14:paraId="61A3344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2、乙方履约延误</w:t>
      </w:r>
    </w:p>
    <w:p w14:paraId="7997A3FF">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2-1、如乙方事先未征得甲方同意并得到甲方的谅解而单方面延迟执行合同，应按合同总价款</w:t>
      </w:r>
      <w:r>
        <w:rPr>
          <w:rFonts w:hint="eastAsia" w:ascii="仿宋" w:hAnsi="仿宋" w:eastAsia="仿宋" w:cs="仿宋"/>
          <w:sz w:val="24"/>
          <w:u w:val="single"/>
        </w:rPr>
        <w:t xml:space="preserve"> </w:t>
      </w:r>
      <w:r>
        <w:rPr>
          <w:rFonts w:ascii="仿宋" w:hAnsi="仿宋" w:eastAsia="仿宋" w:cs="仿宋"/>
          <w:sz w:val="24"/>
          <w:u w:val="single"/>
        </w:rPr>
        <w:t xml:space="preserve"> </w:t>
      </w:r>
      <w:r>
        <w:rPr>
          <w:rFonts w:ascii="仿宋" w:hAnsi="仿宋" w:eastAsia="仿宋" w:cs="仿宋"/>
          <w:sz w:val="24"/>
        </w:rPr>
        <w:t xml:space="preserve"> %</w:t>
      </w:r>
      <w:r>
        <w:rPr>
          <w:rFonts w:hint="eastAsia" w:ascii="仿宋" w:hAnsi="仿宋" w:eastAsia="仿宋" w:cs="仿宋"/>
          <w:sz w:val="24"/>
        </w:rPr>
        <w:t>向甲方支付违约金，同事甲方有权单方终止合同。</w:t>
      </w:r>
    </w:p>
    <w:p w14:paraId="5294A302">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-2、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0.5%）计收，直至提供服务为止。误期赔偿费的最高限额为合同价格的百分之五（5%）。一旦达到误期赔偿费的最高限额，甲方可终止合同。</w:t>
      </w:r>
    </w:p>
    <w:p w14:paraId="3DC2F620">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3、违约终止合同：未按合同要求提供服务或不能满足技术要求，甲方会同监督机构有权终止合同，对乙方违约行为进行追究，同时按政府采购法的有关规定进行相应的处罚。</w:t>
      </w:r>
    </w:p>
    <w:p w14:paraId="7BCCF3DC">
      <w:pPr>
        <w:adjustRightInd w:val="0"/>
        <w:snapToGrid w:val="0"/>
        <w:spacing w:line="360" w:lineRule="auto"/>
        <w:ind w:firstLine="480" w:firstLineChars="200"/>
        <w:rPr>
          <w:rFonts w:ascii="仿宋" w:hAnsi="仿宋" w:eastAsia="仿宋" w:cs="仿宋"/>
          <w:sz w:val="24"/>
        </w:rPr>
      </w:pPr>
      <w:bookmarkStart w:id="7" w:name="_Toc19515393"/>
      <w:r>
        <w:rPr>
          <w:rFonts w:hint="eastAsia" w:ascii="仿宋" w:hAnsi="仿宋" w:eastAsia="仿宋" w:cs="仿宋"/>
          <w:sz w:val="24"/>
        </w:rPr>
        <w:t>七、合同组成</w:t>
      </w:r>
      <w:bookmarkEnd w:id="7"/>
    </w:p>
    <w:p w14:paraId="4147B6F1">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1、成交通知书</w:t>
      </w:r>
    </w:p>
    <w:p w14:paraId="2AA405C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2、合同文件</w:t>
      </w:r>
    </w:p>
    <w:p w14:paraId="296BDF6E">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3、国家相关规范及标准</w:t>
      </w:r>
    </w:p>
    <w:p w14:paraId="38104B0D">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4、竞争性磋商文件</w:t>
      </w:r>
    </w:p>
    <w:p w14:paraId="4B939CC9">
      <w:pPr>
        <w:adjustRightInd w:val="0"/>
        <w:snapToGrid w:val="0"/>
        <w:spacing w:line="360" w:lineRule="auto"/>
        <w:ind w:firstLine="480" w:firstLineChars="200"/>
        <w:rPr>
          <w:rFonts w:ascii="仿宋" w:hAnsi="仿宋" w:eastAsia="仿宋" w:cs="仿宋"/>
          <w:sz w:val="24"/>
        </w:rPr>
      </w:pPr>
      <w:r>
        <w:rPr>
          <w:rFonts w:hint="eastAsia" w:ascii="仿宋" w:hAnsi="仿宋" w:eastAsia="仿宋" w:cs="仿宋"/>
          <w:sz w:val="24"/>
        </w:rPr>
        <w:t>5、成交供应商的响应文件</w:t>
      </w:r>
    </w:p>
    <w:p w14:paraId="74532339">
      <w:pPr>
        <w:adjustRightInd w:val="0"/>
        <w:snapToGrid w:val="0"/>
        <w:spacing w:line="360" w:lineRule="auto"/>
        <w:ind w:firstLine="480" w:firstLineChars="200"/>
        <w:rPr>
          <w:rFonts w:ascii="仿宋" w:hAnsi="仿宋" w:eastAsia="仿宋" w:cs="仿宋"/>
          <w:sz w:val="24"/>
        </w:rPr>
      </w:pPr>
      <w:bookmarkStart w:id="8" w:name="_Toc19515394"/>
      <w:r>
        <w:rPr>
          <w:rFonts w:hint="eastAsia" w:ascii="仿宋" w:hAnsi="仿宋" w:eastAsia="仿宋" w:cs="仿宋"/>
          <w:sz w:val="24"/>
        </w:rPr>
        <w:t>八、解决争议的方法</w:t>
      </w:r>
      <w:bookmarkEnd w:id="8"/>
    </w:p>
    <w:p w14:paraId="5A4E86E3">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 xml:space="preserve">凡因本合同引起的或与本合同有关的争议，双方应友好协商解决。协商不成时，双方均同意采用以下第（ </w:t>
      </w:r>
      <w:r>
        <w:rPr>
          <w:rFonts w:hint="eastAsia" w:ascii="仿宋" w:hAnsi="仿宋" w:eastAsia="仿宋" w:cs="仿宋"/>
          <w:kern w:val="0"/>
          <w:sz w:val="24"/>
          <w:lang w:val="en-US" w:eastAsia="zh-CN"/>
        </w:rPr>
        <w:t>1</w:t>
      </w:r>
      <w:r>
        <w:rPr>
          <w:rFonts w:hint="eastAsia" w:ascii="仿宋" w:hAnsi="仿宋" w:eastAsia="仿宋" w:cs="仿宋"/>
          <w:kern w:val="0"/>
          <w:sz w:val="24"/>
        </w:rPr>
        <w:t xml:space="preserve"> ）种争议解决方式：</w:t>
      </w:r>
    </w:p>
    <w:p w14:paraId="6A53B27E">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1、甲、乙双方均同意向（甲方所在地人民法院）提起诉讼。</w:t>
      </w:r>
    </w:p>
    <w:p w14:paraId="5E57EB83">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2、甲、乙双方均同意向（</w:t>
      </w:r>
      <w:r>
        <w:rPr>
          <w:rFonts w:hint="eastAsia" w:ascii="仿宋" w:hAnsi="仿宋" w:eastAsia="仿宋" w:cs="仿宋"/>
        </w:rPr>
        <w:fldChar w:fldCharType="begin"/>
      </w:r>
      <w:r>
        <w:rPr>
          <w:rFonts w:hint="eastAsia" w:ascii="仿宋" w:hAnsi="仿宋" w:eastAsia="仿宋" w:cs="仿宋"/>
        </w:rPr>
        <w:instrText xml:space="preserve"> HYPERLINK "http://www.baidu.com/s?wd=%E4%BB%B2%E8%A3%81%E5%A7%94%E5%91%98%E4%BC%9A&amp;tn=SE_PcZhidaonwhc_ngpagmjz&amp;rsv_dl=gh_pc_zhidao" \t "_blank" </w:instrText>
      </w:r>
      <w:r>
        <w:rPr>
          <w:rFonts w:hint="eastAsia" w:ascii="仿宋" w:hAnsi="仿宋" w:eastAsia="仿宋" w:cs="仿宋"/>
        </w:rPr>
        <w:fldChar w:fldCharType="separate"/>
      </w:r>
      <w:r>
        <w:rPr>
          <w:rFonts w:hint="eastAsia" w:ascii="仿宋" w:hAnsi="仿宋" w:eastAsia="仿宋" w:cs="仿宋"/>
          <w:kern w:val="0"/>
          <w:sz w:val="24"/>
        </w:rPr>
        <w:t>仲裁委员会</w:t>
      </w:r>
      <w:r>
        <w:rPr>
          <w:rFonts w:hint="eastAsia" w:ascii="仿宋" w:hAnsi="仿宋" w:eastAsia="仿宋" w:cs="仿宋"/>
          <w:kern w:val="0"/>
          <w:sz w:val="24"/>
        </w:rPr>
        <w:fldChar w:fldCharType="end"/>
      </w:r>
      <w:r>
        <w:rPr>
          <w:rFonts w:hint="eastAsia" w:ascii="仿宋" w:hAnsi="仿宋" w:eastAsia="仿宋" w:cs="仿宋"/>
          <w:kern w:val="0"/>
          <w:sz w:val="24"/>
        </w:rPr>
        <w:t>）提起仲裁。</w:t>
      </w:r>
    </w:p>
    <w:p w14:paraId="11C01787">
      <w:pPr>
        <w:adjustRightInd w:val="0"/>
        <w:snapToGrid w:val="0"/>
        <w:spacing w:line="360" w:lineRule="auto"/>
        <w:ind w:firstLine="480" w:firstLineChars="200"/>
        <w:rPr>
          <w:rFonts w:ascii="仿宋" w:hAnsi="仿宋" w:eastAsia="仿宋" w:cs="仿宋"/>
          <w:sz w:val="24"/>
        </w:rPr>
      </w:pPr>
      <w:bookmarkStart w:id="9" w:name="_Toc19515395"/>
      <w:r>
        <w:rPr>
          <w:rFonts w:hint="eastAsia" w:ascii="仿宋" w:hAnsi="仿宋" w:eastAsia="仿宋" w:cs="仿宋"/>
          <w:sz w:val="24"/>
        </w:rPr>
        <w:t>九、合同生效及其它</w:t>
      </w:r>
      <w:bookmarkEnd w:id="9"/>
    </w:p>
    <w:p w14:paraId="26320689">
      <w:pPr>
        <w:widowControl/>
        <w:autoSpaceDE w:val="0"/>
        <w:autoSpaceDN w:val="0"/>
        <w:snapToGrid w:val="0"/>
        <w:spacing w:line="360" w:lineRule="auto"/>
        <w:ind w:right="-110" w:firstLine="480" w:firstLineChars="200"/>
        <w:textAlignment w:val="bottom"/>
        <w:rPr>
          <w:rFonts w:ascii="仿宋" w:hAnsi="仿宋" w:eastAsia="仿宋" w:cs="仿宋"/>
          <w:kern w:val="0"/>
          <w:sz w:val="24"/>
        </w:rPr>
      </w:pPr>
      <w:r>
        <w:rPr>
          <w:rFonts w:hint="eastAsia" w:ascii="仿宋" w:hAnsi="仿宋" w:eastAsia="仿宋" w:cs="仿宋"/>
          <w:kern w:val="0"/>
          <w:sz w:val="24"/>
        </w:rPr>
        <w:t>1、合同未尽事宜、由甲、乙双方协商，作为合同补充，与原合同具有同等法律效力。</w:t>
      </w:r>
    </w:p>
    <w:p w14:paraId="7C40ED9C">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2、 本合同正本一式</w:t>
      </w:r>
      <w:r>
        <w:rPr>
          <w:rFonts w:hint="eastAsia" w:ascii="仿宋" w:hAnsi="仿宋" w:eastAsia="仿宋" w:cs="仿宋"/>
          <w:kern w:val="0"/>
          <w:sz w:val="24"/>
          <w:u w:val="single"/>
        </w:rPr>
        <w:t xml:space="preserve">  </w:t>
      </w:r>
      <w:r>
        <w:rPr>
          <w:rFonts w:hint="eastAsia" w:ascii="仿宋" w:hAnsi="仿宋" w:eastAsia="仿宋" w:cs="仿宋"/>
          <w:kern w:val="0"/>
          <w:sz w:val="24"/>
        </w:rPr>
        <w:t>份，甲方、乙方双方分别执</w:t>
      </w:r>
      <w:r>
        <w:rPr>
          <w:rFonts w:hint="eastAsia" w:ascii="仿宋" w:hAnsi="仿宋" w:eastAsia="仿宋" w:cs="仿宋"/>
          <w:kern w:val="0"/>
          <w:sz w:val="24"/>
          <w:u w:val="single"/>
        </w:rPr>
        <w:t xml:space="preserve">  </w:t>
      </w:r>
      <w:r>
        <w:rPr>
          <w:rFonts w:hint="eastAsia" w:ascii="仿宋" w:hAnsi="仿宋" w:eastAsia="仿宋" w:cs="仿宋"/>
          <w:kern w:val="0"/>
          <w:sz w:val="24"/>
        </w:rPr>
        <w:t>份，</w:t>
      </w:r>
      <w:r>
        <w:rPr>
          <w:rFonts w:hint="eastAsia" w:ascii="仿宋" w:hAnsi="仿宋" w:eastAsia="仿宋" w:cs="仿宋"/>
          <w:kern w:val="0"/>
          <w:sz w:val="24"/>
          <w:u w:val="single"/>
        </w:rPr>
        <w:t xml:space="preserve">       </w:t>
      </w:r>
      <w:r>
        <w:rPr>
          <w:rFonts w:hint="eastAsia" w:ascii="仿宋" w:hAnsi="仿宋" w:eastAsia="仿宋" w:cs="仿宋"/>
          <w:kern w:val="0"/>
          <w:sz w:val="24"/>
        </w:rPr>
        <w:t>备案</w:t>
      </w:r>
      <w:r>
        <w:rPr>
          <w:rFonts w:hint="eastAsia" w:ascii="仿宋" w:hAnsi="仿宋" w:eastAsia="仿宋" w:cs="仿宋"/>
          <w:kern w:val="0"/>
          <w:sz w:val="24"/>
          <w:u w:val="single"/>
        </w:rPr>
        <w:t xml:space="preserve">  </w:t>
      </w:r>
      <w:r>
        <w:rPr>
          <w:rFonts w:hint="eastAsia" w:ascii="仿宋" w:hAnsi="仿宋" w:eastAsia="仿宋" w:cs="仿宋"/>
          <w:kern w:val="0"/>
          <w:sz w:val="24"/>
        </w:rPr>
        <w:t>份。</w:t>
      </w:r>
    </w:p>
    <w:p w14:paraId="43A5ACEB">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3、合同经甲乙双方盖章、签字后生效，合同签订地点为</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14:paraId="4D5439F3">
      <w:pPr>
        <w:widowControl/>
        <w:tabs>
          <w:tab w:val="left" w:pos="8391"/>
        </w:tabs>
        <w:autoSpaceDE w:val="0"/>
        <w:autoSpaceDN w:val="0"/>
        <w:snapToGrid w:val="0"/>
        <w:spacing w:line="360" w:lineRule="auto"/>
        <w:ind w:right="-69" w:firstLine="480" w:firstLineChars="200"/>
        <w:textAlignment w:val="bottom"/>
        <w:rPr>
          <w:rFonts w:ascii="仿宋" w:hAnsi="仿宋" w:eastAsia="仿宋" w:cs="仿宋"/>
          <w:kern w:val="0"/>
          <w:sz w:val="24"/>
        </w:rPr>
      </w:pPr>
      <w:r>
        <w:rPr>
          <w:rFonts w:hint="eastAsia" w:ascii="仿宋" w:hAnsi="仿宋" w:eastAsia="仿宋" w:cs="仿宋"/>
          <w:kern w:val="0"/>
          <w:sz w:val="24"/>
        </w:rPr>
        <w:t>4、生效时间：</w:t>
      </w:r>
      <w:r>
        <w:rPr>
          <w:rFonts w:hint="eastAsia" w:ascii="仿宋" w:hAnsi="仿宋" w:eastAsia="仿宋" w:cs="仿宋"/>
          <w:kern w:val="0"/>
          <w:sz w:val="24"/>
          <w:u w:val="single"/>
        </w:rPr>
        <w:t xml:space="preserve">   </w:t>
      </w:r>
      <w:r>
        <w:rPr>
          <w:rFonts w:hint="eastAsia" w:ascii="仿宋" w:hAnsi="仿宋" w:eastAsia="仿宋" w:cs="仿宋"/>
          <w:kern w:val="0"/>
          <w:sz w:val="24"/>
        </w:rPr>
        <w:t>年</w:t>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tbl>
      <w:tblPr>
        <w:tblStyle w:val="4"/>
        <w:tblW w:w="0" w:type="auto"/>
        <w:jc w:val="center"/>
        <w:tblLayout w:type="fixed"/>
        <w:tblCellMar>
          <w:top w:w="0" w:type="dxa"/>
          <w:left w:w="108" w:type="dxa"/>
          <w:bottom w:w="0" w:type="dxa"/>
          <w:right w:w="108" w:type="dxa"/>
        </w:tblCellMar>
      </w:tblPr>
      <w:tblGrid>
        <w:gridCol w:w="4643"/>
        <w:gridCol w:w="4643"/>
      </w:tblGrid>
      <w:tr w14:paraId="46374A6D">
        <w:trPr>
          <w:jc w:val="center"/>
        </w:trPr>
        <w:tc>
          <w:tcPr>
            <w:tcW w:w="4643" w:type="dxa"/>
          </w:tcPr>
          <w:p w14:paraId="56D8A1C9">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甲方名称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4256D4F4">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6040E7D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0923D3FC">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117590DE">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4DA069E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c>
          <w:tcPr>
            <w:tcW w:w="4643" w:type="dxa"/>
          </w:tcPr>
          <w:p w14:paraId="59C88547">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乙方名称</w:t>
            </w:r>
            <w:r>
              <w:rPr>
                <w:rFonts w:hint="eastAsia" w:ascii="仿宋" w:hAnsi="仿宋" w:eastAsia="仿宋" w:cs="仿宋"/>
                <w:spacing w:val="-20"/>
                <w:kern w:val="0"/>
                <w:sz w:val="24"/>
              </w:rPr>
              <w:t>（盖章）</w:t>
            </w:r>
            <w:r>
              <w:rPr>
                <w:rFonts w:hint="eastAsia" w:ascii="仿宋" w:hAnsi="仿宋" w:eastAsia="仿宋" w:cs="仿宋"/>
                <w:kern w:val="0"/>
                <w:sz w:val="24"/>
              </w:rPr>
              <w:t>：</w:t>
            </w:r>
          </w:p>
          <w:p w14:paraId="77CC1D58">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地址：</w:t>
            </w:r>
          </w:p>
          <w:p w14:paraId="55633B8A">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代表人（签字）：</w:t>
            </w:r>
          </w:p>
          <w:p w14:paraId="23A6E30E">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电话：</w:t>
            </w:r>
          </w:p>
          <w:p w14:paraId="7833C355">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开户银行：</w:t>
            </w:r>
          </w:p>
          <w:p w14:paraId="3FB0A01D">
            <w:pPr>
              <w:widowControl/>
              <w:autoSpaceDE w:val="0"/>
              <w:autoSpaceDN w:val="0"/>
              <w:snapToGrid w:val="0"/>
              <w:spacing w:line="360" w:lineRule="auto"/>
              <w:ind w:right="-154"/>
              <w:textAlignment w:val="bottom"/>
              <w:rPr>
                <w:rFonts w:ascii="仿宋" w:hAnsi="仿宋" w:eastAsia="仿宋" w:cs="仿宋"/>
                <w:kern w:val="0"/>
                <w:sz w:val="24"/>
              </w:rPr>
            </w:pPr>
            <w:r>
              <w:rPr>
                <w:rFonts w:hint="eastAsia" w:ascii="仿宋" w:hAnsi="仿宋" w:eastAsia="仿宋" w:cs="仿宋"/>
                <w:kern w:val="0"/>
                <w:sz w:val="24"/>
              </w:rPr>
              <w:t>账号：</w:t>
            </w:r>
          </w:p>
        </w:tc>
      </w:tr>
    </w:tbl>
    <w:p w14:paraId="3E9FA7F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宋体"/>
    <w:panose1 w:val="020B0604020202020204"/>
    <w:charset w:val="86"/>
    <w:family w:val="roman"/>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6F21B6"/>
    <w:rsid w:val="156F21B6"/>
    <w:rsid w:val="1BE32A9F"/>
    <w:rsid w:val="1EE715DD"/>
    <w:rsid w:val="346927AF"/>
    <w:rsid w:val="40655FE5"/>
    <w:rsid w:val="544D2806"/>
    <w:rsid w:val="5ABA4A8D"/>
    <w:rsid w:val="635668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Arial Unicode MS"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3">
    <w:name w:val="Title"/>
    <w:basedOn w:val="1"/>
    <w:next w:val="1"/>
    <w:qFormat/>
    <w:uiPriority w:val="0"/>
    <w:pPr>
      <w:spacing w:before="240" w:after="60" w:line="440" w:lineRule="exact"/>
      <w:jc w:val="center"/>
      <w:outlineLvl w:val="0"/>
    </w:pPr>
    <w:rPr>
      <w:rFonts w:ascii="Cambria" w:hAnsi="Cambria"/>
      <w:b/>
      <w:bCs/>
      <w:sz w:val="32"/>
      <w:szCs w:val="32"/>
    </w:rPr>
  </w:style>
  <w:style w:type="character" w:customStyle="1" w:styleId="6">
    <w:name w:val="标题 1 Char1"/>
    <w:qFormat/>
    <w:uiPriority w:val="99"/>
    <w:rPr>
      <w:rFonts w:ascii="黑体" w:eastAsia="黑体"/>
      <w:sz w:val="52"/>
      <w:lang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1217</Words>
  <Characters>1237</Characters>
  <Lines>0</Lines>
  <Paragraphs>0</Paragraphs>
  <TotalTime>0</TotalTime>
  <ScaleCrop>false</ScaleCrop>
  <LinksUpToDate>false</LinksUpToDate>
  <CharactersWithSpaces>1319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2025-05-12T09:19:00Z</dcterms:created>
  <dc:creator>Administrator</dc:creator>
  <cp:lastModifiedBy>巩毓</cp:lastModifiedBy>
  <dcterms:modified xsi:type="dcterms:W3CDTF">2026-05-09T08:39:10Z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2A30C243E702403984022E790CD102B8_11</vt:lpwstr>
  </property>
  <property fmtid="{D5CDD505-2E9C-101B-9397-08002B2CF9AE}" pid="4" name="KSOTemplateDocerSaveRecord">
    <vt:lpwstr>eyJoZGlkIjoiZjAzMDQwNmQ4MDc2YTAxMWY4YWUxMzY0ZTAwZTFiNDciLCJ1c2VySWQiOiIzODgzNTA1NzkifQ==</vt:lpwstr>
  </property>
</Properties>
</file>