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版本号：DQA-2026046-ZB20260617001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检察算力设备采购项目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DQA-2026046-ZB</w:t>
      </w:r>
      <w:r>
        <w:br/>
      </w:r>
      <w:r>
        <w:br/>
      </w:r>
      <w:r>
        <w:br/>
      </w:r>
    </w:p>
    <w:p>
      <w:pPr>
        <w:pStyle w:val="null3"/>
        <w:jc w:val="center"/>
        <w:outlineLvl w:val="2"/>
      </w:pPr>
      <w:r>
        <w:rPr>
          <w:rFonts w:ascii="仿宋_GB2312" w:hAnsi="仿宋_GB2312" w:cs="仿宋_GB2312" w:eastAsia="仿宋_GB2312"/>
          <w:sz w:val="28"/>
          <w:b/>
        </w:rPr>
        <w:t>安康铁路运输检察院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安康铁路运输检察院</w:t>
      </w:r>
      <w:r>
        <w:rPr>
          <w:rFonts w:ascii="仿宋_GB2312" w:hAnsi="仿宋_GB2312" w:cs="仿宋_GB2312" w:eastAsia="仿宋_GB2312"/>
        </w:rPr>
        <w:t>委托，拟对</w:t>
      </w:r>
      <w:r>
        <w:rPr>
          <w:rFonts w:ascii="仿宋_GB2312" w:hAnsi="仿宋_GB2312" w:cs="仿宋_GB2312" w:eastAsia="仿宋_GB2312"/>
        </w:rPr>
        <w:t>检察算力设备采购项目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DQA-2026046-ZB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检察算力设备采购项目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项目软硬件须全面满足检察机关公文编校及信创算力支撑核心需求，确保功能稳定、操作便捷，适配检察机关日常办公及业务场景。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w:t>
      </w:r>
    </w:p>
    <w:p>
      <w:pPr>
        <w:pStyle w:val="null3"/>
      </w:pPr>
      <w:r>
        <w:rPr>
          <w:rFonts w:ascii="仿宋_GB2312" w:hAnsi="仿宋_GB2312" w:cs="仿宋_GB2312" w:eastAsia="仿宋_GB2312"/>
        </w:rPr>
        <w:t>9、法定代表人授权委托书：身份证复印件(附在资格证明文件中)；法定代表人授权他人参加投标的，须提供法定代表人授权委托书，同时需提供被授权人开标前3个月内任意1个月的社保缴纳证明（依法不需要缴纳社保的被授权人应提供相关证明），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安康铁路运输检察院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陕西省安康市汉滨区江北大道80号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0915-2222758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采购包1保证金金额：31,000.00元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银行账号：52880188000161851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代理服务费收费标准：中标金额100万元以下，费率 1.5%，中标金额100-500万元，费率1.1%，中标金额500-1000万元，费率0.8%，按照差额累进法计算。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安康铁路运输检察院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安康铁路运输检察院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安康铁路运输检察院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项目软硬件须全面满足检察机关公文编校及信创算力支撑核心需求，确保功能稳定、操作便捷，适配检察机关日常办公及业务场景。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1,660,000.00</w:t>
      </w:r>
    </w:p>
    <w:p>
      <w:pPr>
        <w:pStyle w:val="null3"/>
      </w:pPr>
      <w:r>
        <w:rPr>
          <w:rFonts w:ascii="仿宋_GB2312" w:hAnsi="仿宋_GB2312" w:cs="仿宋_GB2312" w:eastAsia="仿宋_GB2312"/>
        </w:rPr>
        <w:t>采购包最高限价（元）: 1,660,000.00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检察算力设备采购项目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标的名称：检察算力设备采购项目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7"/>
              <w:gridCol w:w="347"/>
              <w:gridCol w:w="1633"/>
              <w:gridCol w:w="137"/>
              <w:gridCol w:w="142"/>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序号</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设备名称</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技术指标要求</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数量</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单位</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b/>
                    </w:rPr>
                    <w:t>算力服务器</w:t>
                  </w:r>
                  <w:r>
                    <w:rPr>
                      <w:rFonts w:ascii="仿宋_GB2312" w:hAnsi="仿宋_GB2312" w:cs="仿宋_GB2312" w:eastAsia="仿宋_GB2312"/>
                      <w:b/>
                    </w:rPr>
                    <w:t>（</w:t>
                  </w:r>
                  <w:r>
                    <w:rPr>
                      <w:rFonts w:ascii="仿宋_GB2312" w:hAnsi="仿宋_GB2312" w:cs="仿宋_GB2312" w:eastAsia="仿宋_GB2312"/>
                      <w:b/>
                    </w:rPr>
                    <w:t>核心产品</w:t>
                  </w:r>
                  <w:r>
                    <w:rPr>
                      <w:rFonts w:ascii="仿宋_GB2312" w:hAnsi="仿宋_GB2312" w:cs="仿宋_GB2312" w:eastAsia="仿宋_GB2312"/>
                      <w:b/>
                    </w:rPr>
                    <w:t>）</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1、国产品牌AI服务器，整机高度≤4U；</w:t>
                  </w:r>
                </w:p>
                <w:p>
                  <w:pPr>
                    <w:pStyle w:val="null3"/>
                  </w:pPr>
                  <w:r>
                    <w:rPr>
                      <w:rFonts w:ascii="仿宋_GB2312" w:hAnsi="仿宋_GB2312" w:cs="仿宋_GB2312" w:eastAsia="仿宋_GB2312"/>
                    </w:rPr>
                    <w:t>2、▲CPU：配置≥4颗国产ARM架构CPU处理器，单CPU物理核心数≥48Core，CPU基础主频≥2.6GHz，CPU芯片须通过中国信息安全测评中心发布的安全可靠测评（须提供官网测评结果公告截图）；</w:t>
                  </w:r>
                </w:p>
                <w:p>
                  <w:pPr>
                    <w:pStyle w:val="null3"/>
                  </w:pPr>
                  <w:r>
                    <w:rPr>
                      <w:rFonts w:ascii="仿宋_GB2312" w:hAnsi="仿宋_GB2312" w:cs="仿宋_GB2312" w:eastAsia="仿宋_GB2312"/>
                    </w:rPr>
                    <w:t>3、内存：内存插槽≥32个，配置≥1TB 内存；</w:t>
                  </w:r>
                </w:p>
                <w:p>
                  <w:pPr>
                    <w:pStyle w:val="null3"/>
                  </w:pPr>
                  <w:r>
                    <w:rPr>
                      <w:rFonts w:ascii="仿宋_GB2312" w:hAnsi="仿宋_GB2312" w:cs="仿宋_GB2312" w:eastAsia="仿宋_GB2312"/>
                    </w:rPr>
                    <w:t>4、▲显卡≥8 颗国产自研 AI 处理器,单处理器 FP16 算力≥313TFlops，单处理器支持≥64GB HBM；</w:t>
                  </w:r>
                </w:p>
                <w:p>
                  <w:pPr>
                    <w:pStyle w:val="null3"/>
                  </w:pPr>
                  <w:r>
                    <w:rPr>
                      <w:rFonts w:ascii="仿宋_GB2312" w:hAnsi="仿宋_GB2312" w:cs="仿宋_GB2312" w:eastAsia="仿宋_GB2312"/>
                    </w:rPr>
                    <w:t>5、▲AI处理器间点对点互联带宽≥56GB/s，支持Fullmesh互联,AI处理器互联带宽≥392GB/s。；</w:t>
                  </w:r>
                </w:p>
                <w:p>
                  <w:pPr>
                    <w:pStyle w:val="null3"/>
                  </w:pPr>
                  <w:r>
                    <w:rPr>
                      <w:rFonts w:ascii="仿宋_GB2312" w:hAnsi="仿宋_GB2312" w:cs="仿宋_GB2312" w:eastAsia="仿宋_GB2312"/>
                    </w:rPr>
                    <w:t>6、配置≥2个480GB SATA SSD，≥2个3.84TB SSD；</w:t>
                  </w:r>
                </w:p>
                <w:p>
                  <w:pPr>
                    <w:pStyle w:val="null3"/>
                  </w:pPr>
                  <w:r>
                    <w:rPr>
                      <w:rFonts w:ascii="仿宋_GB2312" w:hAnsi="仿宋_GB2312" w:cs="仿宋_GB2312" w:eastAsia="仿宋_GB2312"/>
                    </w:rPr>
                    <w:t>7、配置磁盘阵列卡，支持RAID 0/1/10/5，缓存不低于2G，支持掉电保护功能；</w:t>
                  </w:r>
                </w:p>
                <w:p>
                  <w:pPr>
                    <w:pStyle w:val="null3"/>
                  </w:pPr>
                  <w:r>
                    <w:rPr>
                      <w:rFonts w:ascii="仿宋_GB2312" w:hAnsi="仿宋_GB2312" w:cs="仿宋_GB2312" w:eastAsia="仿宋_GB2312"/>
                    </w:rPr>
                    <w:t>8、配置≥4个25GE光口（含25GE光模块），≥8个200GE接口（含200GE光模块）;</w:t>
                  </w:r>
                </w:p>
                <w:p>
                  <w:pPr>
                    <w:pStyle w:val="null3"/>
                  </w:pPr>
                  <w:r>
                    <w:rPr>
                      <w:rFonts w:ascii="仿宋_GB2312" w:hAnsi="仿宋_GB2312" w:cs="仿宋_GB2312" w:eastAsia="仿宋_GB2312"/>
                    </w:rPr>
                    <w:t>9、满配≥4个电源模块，支持2+2冗余；</w:t>
                  </w:r>
                </w:p>
                <w:p>
                  <w:pPr>
                    <w:pStyle w:val="null3"/>
                  </w:pPr>
                  <w:r>
                    <w:rPr>
                      <w:rFonts w:ascii="仿宋_GB2312" w:hAnsi="仿宋_GB2312" w:cs="仿宋_GB2312" w:eastAsia="仿宋_GB2312"/>
                    </w:rPr>
                    <w:t>10、▲为确保大模型底层算子开发支持，提供CPU芯片和AI处理器芯片厂商针对本项目盖章的技术支持证明材料；</w:t>
                  </w:r>
                </w:p>
                <w:p>
                  <w:pPr>
                    <w:pStyle w:val="null3"/>
                  </w:pPr>
                  <w:r>
                    <w:rPr>
                      <w:rFonts w:ascii="仿宋_GB2312" w:hAnsi="仿宋_GB2312" w:cs="仿宋_GB2312" w:eastAsia="仿宋_GB2312"/>
                    </w:rPr>
                    <w:t>11、提供3年维保，提供原厂售后服务承诺函和授权函</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台</w:t>
                  </w:r>
                </w:p>
              </w:tc>
            </w:tr>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2</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公文编校系统</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1、▲产品支持网页版和插件版，提供系统截图</w:t>
                  </w:r>
                  <w:r>
                    <w:rPr>
                      <w:rFonts w:ascii="仿宋_GB2312" w:hAnsi="仿宋_GB2312" w:cs="仿宋_GB2312" w:eastAsia="仿宋_GB2312"/>
                    </w:rPr>
                    <w:t>；</w:t>
                  </w:r>
                </w:p>
                <w:p>
                  <w:pPr>
                    <w:pStyle w:val="null3"/>
                  </w:pPr>
                  <w:r>
                    <w:rPr>
                      <w:rFonts w:ascii="仿宋_GB2312" w:hAnsi="仿宋_GB2312" w:cs="仿宋_GB2312" w:eastAsia="仿宋_GB2312"/>
                    </w:rPr>
                    <w:t>2、▲产品厂商在国家互联网信息办公室完成生成合成类（深度合成）算法备案；提供备案证明</w:t>
                  </w:r>
                  <w:r>
                    <w:rPr>
                      <w:rFonts w:ascii="仿宋_GB2312" w:hAnsi="仿宋_GB2312" w:cs="仿宋_GB2312" w:eastAsia="仿宋_GB2312"/>
                    </w:rPr>
                    <w:t>；</w:t>
                  </w:r>
                </w:p>
                <w:p>
                  <w:pPr>
                    <w:pStyle w:val="null3"/>
                  </w:pPr>
                  <w:r>
                    <w:rPr>
                      <w:rFonts w:ascii="仿宋_GB2312" w:hAnsi="仿宋_GB2312" w:cs="仿宋_GB2312" w:eastAsia="仿宋_GB2312"/>
                    </w:rPr>
                    <w:t>3、系统内置符合《党政机关公文格式（GB／T9704-2012）》要求的15种公文模版，写作时可直接套用模版；</w:t>
                  </w:r>
                </w:p>
                <w:p>
                  <w:pPr>
                    <w:pStyle w:val="null3"/>
                  </w:pPr>
                  <w:r>
                    <w:rPr>
                      <w:rFonts w:ascii="仿宋_GB2312" w:hAnsi="仿宋_GB2312" w:cs="仿宋_GB2312" w:eastAsia="仿宋_GB2312"/>
                    </w:rPr>
                    <w:t>4、支持生成公文一键排版；</w:t>
                  </w:r>
                </w:p>
                <w:p>
                  <w:pPr>
                    <w:pStyle w:val="null3"/>
                  </w:pPr>
                  <w:r>
                    <w:rPr>
                      <w:rFonts w:ascii="仿宋_GB2312" w:hAnsi="仿宋_GB2312" w:cs="仿宋_GB2312" w:eastAsia="仿宋_GB2312"/>
                    </w:rPr>
                    <w:t>5、支持用户自定义模板；</w:t>
                  </w:r>
                </w:p>
                <w:p>
                  <w:pPr>
                    <w:pStyle w:val="null3"/>
                  </w:pPr>
                  <w:r>
                    <w:rPr>
                      <w:rFonts w:ascii="仿宋_GB2312" w:hAnsi="仿宋_GB2312" w:cs="仿宋_GB2312" w:eastAsia="仿宋_GB2312"/>
                    </w:rPr>
                    <w:t>6、支持全文排版、正文排版、选中排版、插入版头版记；</w:t>
                  </w:r>
                </w:p>
                <w:p>
                  <w:pPr>
                    <w:pStyle w:val="null3"/>
                  </w:pPr>
                  <w:r>
                    <w:rPr>
                      <w:rFonts w:ascii="仿宋_GB2312" w:hAnsi="仿宋_GB2312" w:cs="仿宋_GB2312" w:eastAsia="仿宋_GB2312"/>
                    </w:rPr>
                    <w:t>7、可根据《党政机关公文格式（GB/T9704—2012）》对文档进行格式校对；</w:t>
                  </w:r>
                </w:p>
                <w:p>
                  <w:pPr>
                    <w:pStyle w:val="null3"/>
                  </w:pPr>
                  <w:r>
                    <w:rPr>
                      <w:rFonts w:ascii="仿宋_GB2312" w:hAnsi="仿宋_GB2312" w:cs="仿宋_GB2312" w:eastAsia="仿宋_GB2312"/>
                    </w:rPr>
                    <w:t>8、支持字词类错误、知识性错误、政治性错误、英文拼音类、标点错误、计量单位错误、术语性错误、数字类错误、敏感词、领导人讲话校对；</w:t>
                  </w:r>
                </w:p>
                <w:p>
                  <w:pPr>
                    <w:pStyle w:val="null3"/>
                  </w:pPr>
                  <w:r>
                    <w:rPr>
                      <w:rFonts w:ascii="仿宋_GB2312" w:hAnsi="仿宋_GB2312" w:cs="仿宋_GB2312" w:eastAsia="仿宋_GB2312"/>
                    </w:rPr>
                    <w:t>9、支持基于大模型对语句逻辑进行深度校对；</w:t>
                  </w:r>
                </w:p>
                <w:p>
                  <w:pPr>
                    <w:pStyle w:val="null3"/>
                  </w:pPr>
                  <w:r>
                    <w:rPr>
                      <w:rFonts w:ascii="仿宋_GB2312" w:hAnsi="仿宋_GB2312" w:cs="仿宋_GB2312" w:eastAsia="仿宋_GB2312"/>
                    </w:rPr>
                    <w:t>10、▲支持导入业务校对规则进行校对，满足单位个性化需求；提供系统截图</w:t>
                  </w:r>
                  <w:r>
                    <w:rPr>
                      <w:rFonts w:ascii="仿宋_GB2312" w:hAnsi="仿宋_GB2312" w:cs="仿宋_GB2312" w:eastAsia="仿宋_GB2312"/>
                    </w:rPr>
                    <w:t>；</w:t>
                  </w:r>
                </w:p>
                <w:p>
                  <w:pPr>
                    <w:pStyle w:val="null3"/>
                  </w:pPr>
                  <w:r>
                    <w:rPr>
                      <w:rFonts w:ascii="仿宋_GB2312" w:hAnsi="仿宋_GB2312" w:cs="仿宋_GB2312" w:eastAsia="仿宋_GB2312"/>
                    </w:rPr>
                    <w:t>11、支持公文校核结果展示及定位；</w:t>
                  </w:r>
                </w:p>
                <w:p>
                  <w:pPr>
                    <w:pStyle w:val="null3"/>
                  </w:pPr>
                  <w:r>
                    <w:rPr>
                      <w:rFonts w:ascii="仿宋_GB2312" w:hAnsi="仿宋_GB2312" w:cs="仿宋_GB2312" w:eastAsia="仿宋_GB2312"/>
                    </w:rPr>
                    <w:t>12、支持词库维护，支持正词、错词、敏感词、领导排序的导入；</w:t>
                  </w:r>
                </w:p>
                <w:p>
                  <w:pPr>
                    <w:pStyle w:val="null3"/>
                  </w:pPr>
                  <w:r>
                    <w:rPr>
                      <w:rFonts w:ascii="仿宋_GB2312" w:hAnsi="仿宋_GB2312" w:cs="仿宋_GB2312" w:eastAsia="仿宋_GB2312"/>
                    </w:rPr>
                    <w:t>13、支持不同公文进行内容比对，可视化显示两个文本的差异度；</w:t>
                  </w:r>
                </w:p>
                <w:p>
                  <w:pPr>
                    <w:pStyle w:val="null3"/>
                  </w:pPr>
                  <w:r>
                    <w:rPr>
                      <w:rFonts w:ascii="仿宋_GB2312" w:hAnsi="仿宋_GB2312" w:cs="仿宋_GB2312" w:eastAsia="仿宋_GB2312"/>
                    </w:rPr>
                    <w:t>14、▲支持跟现有OA系统做深度融合，在OA系统中可直接使用编校功能，使用范围包含省检察院及其直属院在内三级六院；提供系统截图</w:t>
                  </w:r>
                  <w:r>
                    <w:rPr>
                      <w:rFonts w:ascii="仿宋_GB2312" w:hAnsi="仿宋_GB2312" w:cs="仿宋_GB2312" w:eastAsia="仿宋_GB2312"/>
                    </w:rPr>
                    <w:t>；</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1</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rPr>
                    <w:t>套</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交货时间自合同签订之日起30日。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陕西省秦岭南麓地区人民检察院（安康铁路运输检察院）指定地点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进度款，合同签订完成后，达到付款条件起5个工作日内，支付合同总金额的50.0%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进度款，项目通过终验后，达到付款条件起10个工作日内，支付合同总金额的50.0%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1、产品到货后，中标人负责安装调试，达到正常运行条件后书面通知用户验收。 2、用户根据合同要求对产品进行验收、确认产品的产地、规格、型号和数量。验收依据为本合同文本、招标文件和国家相关标准、行业规范。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质保期不少于3年。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以合同条款为准。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报价包括产品的供应费及所发生的运输费、杂费（含保险）、商检费、搬运费、安装调试费、培训费等，包括从产品供应地点到交货地点所包含的一切费用，报价不可变更，不受市场价变化的影响，不受实际数量变化的影响。 （3）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（4）如提交保函，建议至少提前一个工作日将保函正本送至采购代理机构，如提供电子保函，应将电子保函发送至代理机构指定邮箱deqinjxm@126.com。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身份证复印件(附在资格证明文件中)；法定代表人授权他人参加投标的，须提供法定代表人授权委托书，同时需提供被授权人开标前3个月内任意1个月的社保缴纳证明（依法不需要缴纳社保的被授权人应提供相关证明），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（1.1.2）投标（响应）报价低于通过符合性审查的次低报价供应商投标（响应）报价65%的，即投标（响应）报价&lt;通过符合性审查的次低报价供应商投标（响应）报价×65%； （1.1.3）投标（响应）报价低于采购项目最高限价65%的，即投标（响应）报价&lt;采购项目最高限价×65%； （1.1.4）评标委员会基于专业判断，认为供应商报价过低，有可能影响产品质量或者不能诚信履约的其他情形。 （1.2）相关法律法规对供应商报价有规定的，从其规定。 （1.3）评标委员会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保证金汇款声明函 分项报价表 本国产品说明 中小企业声明函 商务应答表 技术方案 中国境内生产的组件成本核算基本规则 控股管理关系 法定代表人授权书 投标人应提交的相关资格证明材料 近三年无重大违法、违纪书面声明 产品技术参数表 投标函 残疾人福利性单位声明函 标的清单 关于符合本国产品标准的声明函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30分。结合规格、技术参数偏离表的响应证明材料，按招标文件内配置最低要求，每出现1个负偏离，扣1分，带“▲”号指标项每出现1个负偏离扣2分。扣完为止。 注：投标人须按招标文件要求提供带“▲”号指标项的证明材料（证明材料包括但不限于第三方机构出具的检测报告或功能截图或产品说明书或技术参数白皮书等，加盖投标人公章。招标文件要求提供指定证明材料的，以具体要求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需针对本项目提供完整的项目实施方案。内容包含：①总体供货方案②安装、调试方案③质量保证措施④验收措施⑤项目团队配备。完整提供上述5项内容的得5分；每有一项未提供扣1分，扣完为止；每有一处有缺陷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投标人提供所投算力服务器的合法来渠道证明文件得5 分。不提供不得分。投标人可根据自身情况提供以下资料中的任意一种： 1、如投标人为所投产品代理商：提供货物的合法来源渠道证明文件（例如：产品制造商授权、销售协议、代理协议等证明文件）。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为采购人培训操作维护人员，以保障使用过程中能熟练操作、维护和正常使用，培训方案内容包含①培训内容②培训计划安排。完整提供上述2项内容的得5分；每有一项未提供扣2.5分，扣完为止；每有一处有缺陷扣1.5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进行评审，该方案包含：①质量保证期限及质量保证的范围承诺②售后服务保障措施③售后处理响应时间④定期回访及维护。完整提供上述4项内容的得4分；每有一项未提供扣1分，扣完为止；每有一处有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需针对本项目提供切实可行的应急预案，内容包含：①运输中可能出现的紧急情况②设备出现故障或不能正常工作的应急措施。完整提供上述2项内容的得6分；每有一项未提供扣3分，扣完为止；每有一处有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投标人提供自2023年1月1日以来的类似项目业绩（以合同签订日期为准），每份合格业绩合同计3分，满分6分。 备注：需提供完整业绩合同，并加盖投标人公章。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投标人针对本项目提供有利于本项目开展的其它承诺，每提供一项承诺，得2分，满分4分，无承诺不得分。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