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EDA91">
      <w:pPr>
        <w:pStyle w:val="15"/>
        <w:jc w:val="center"/>
        <w:outlineLvl w:val="1"/>
        <w:rPr>
          <w:rFonts w:hint="eastAsia" w:ascii="方正仿宋_GB18030" w:hAnsi="方正仿宋_GB18030" w:eastAsia="方正仿宋_GB18030" w:cs="方正仿宋_GB18030"/>
          <w:color w:val="auto"/>
        </w:rPr>
      </w:pPr>
      <w:r>
        <w:rPr>
          <w:rFonts w:hint="eastAsia" w:ascii="方正仿宋_GB18030" w:hAnsi="方正仿宋_GB18030" w:eastAsia="方正仿宋_GB18030" w:cs="方正仿宋_GB18030"/>
          <w:b/>
          <w:color w:val="auto"/>
          <w:sz w:val="36"/>
          <w:lang w:val="en-US" w:eastAsia="zh-CN"/>
        </w:rPr>
        <w:t>采购</w:t>
      </w:r>
      <w:r>
        <w:rPr>
          <w:rFonts w:hint="eastAsia" w:ascii="方正仿宋_GB18030" w:hAnsi="方正仿宋_GB18030" w:eastAsia="方正仿宋_GB18030" w:cs="方正仿宋_GB18030"/>
          <w:b/>
          <w:color w:val="auto"/>
          <w:sz w:val="36"/>
        </w:rPr>
        <w:t>合同文本</w:t>
      </w:r>
    </w:p>
    <w:p w14:paraId="58B07849">
      <w:pPr>
        <w:pStyle w:val="15"/>
        <w:rPr>
          <w:rFonts w:hint="eastAsia" w:ascii="方正仿宋_GB18030" w:hAnsi="方正仿宋_GB18030" w:eastAsia="方正仿宋_GB18030" w:cs="方正仿宋_GB18030"/>
          <w:color w:val="auto"/>
        </w:rPr>
      </w:pPr>
    </w:p>
    <w:p w14:paraId="29B6BE0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0" w:name="_Toc423973075"/>
      <w:bookmarkStart w:id="1" w:name="_Toc4679"/>
      <w:bookmarkStart w:id="2" w:name="_Toc19199"/>
      <w:bookmarkStart w:id="3" w:name="_Toc389582037"/>
      <w:bookmarkStart w:id="4" w:name="_Toc31520"/>
      <w:bookmarkStart w:id="5" w:name="_Toc19246"/>
      <w:bookmarkStart w:id="6" w:name="_Toc8333"/>
      <w:bookmarkStart w:id="7" w:name="_Toc26595"/>
      <w:bookmarkStart w:id="8" w:name="_Toc29888"/>
      <w:r>
        <w:rPr>
          <w:rFonts w:hint="eastAsia" w:ascii="方正仿宋_GB18030" w:hAnsi="方正仿宋_GB18030" w:eastAsia="方正仿宋_GB18030" w:cs="方正仿宋_GB18030"/>
          <w:color w:val="auto"/>
          <w:kern w:val="0"/>
          <w:sz w:val="21"/>
          <w:szCs w:val="21"/>
          <w:highlight w:val="none"/>
          <w:lang w:val="en-US" w:eastAsia="zh-CN"/>
        </w:rPr>
        <w:t xml:space="preserve">甲方（采购人）：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6C8A65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乙方（供应商）：</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FFBFA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9" w:name="_Toc16824"/>
      <w:bookmarkStart w:id="10" w:name="_Toc24810"/>
    </w:p>
    <w:p w14:paraId="27AC5A0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为了保证本合同项目的顺利进行，根据《中华人民共和国民法典》等相关法律、法规的规定及甲方关于</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（项目名称）的中标结果和招标文件</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的要求，经甲乙双方协商一致，签订本合同，共同遵守。</w:t>
      </w:r>
    </w:p>
    <w:p w14:paraId="43E7244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1.定义</w:t>
      </w:r>
      <w:bookmarkEnd w:id="9"/>
      <w:bookmarkEnd w:id="10"/>
    </w:p>
    <w:p w14:paraId="7BD7163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本合同中的下列术语应解释为：</w:t>
      </w:r>
    </w:p>
    <w:p w14:paraId="15108A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 “合同”系指本合同，包括本合同附带的所有附件、附录和构成合同的其它文件，除非另有特别说明或限定。</w:t>
      </w:r>
    </w:p>
    <w:p w14:paraId="2A68851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 “合同款”系指根据本合同约定，甲方需就乙方提供的服务内容向乙方支付的款项。</w:t>
      </w:r>
    </w:p>
    <w:p w14:paraId="320CE81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1.3 “人员”系指作为雇员由乙方雇佣并被分配执行本合同服务内容的人员。</w:t>
      </w:r>
    </w:p>
    <w:p w14:paraId="55B84A7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1.4 “服务”系指由乙方根据本合同服务内容要求所实施的工作。</w:t>
      </w:r>
    </w:p>
    <w:p w14:paraId="7C644E2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1.5 “甲方”系指与供应单位签署服务合同的单位（含最终用户），即买方。</w:t>
      </w:r>
    </w:p>
    <w:p w14:paraId="604CC3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1.6 “乙方”系指根据合同约定提供服务的供应单位，即卖方。</w:t>
      </w:r>
    </w:p>
    <w:p w14:paraId="705A04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1.7 “现场”系指合同约定服务内容实施地点。</w:t>
      </w:r>
    </w:p>
    <w:p w14:paraId="49BE92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1.8 “必要的支持”系为保证乙方执行合同项下的服务所必须，甲方免费提供的数据、服务、设备以及便利。</w:t>
      </w:r>
    </w:p>
    <w:p w14:paraId="4520A64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1.9“项目”系指《</w:t>
      </w:r>
      <w:r>
        <w:rPr>
          <w:rFonts w:hint="eastAsia" w:ascii="方正仿宋_GB18030" w:hAnsi="方正仿宋_GB18030" w:eastAsia="方正仿宋_GB18030" w:cs="方正仿宋_GB18030"/>
          <w:color w:val="auto"/>
          <w:kern w:val="0"/>
          <w:sz w:val="21"/>
          <w:szCs w:val="21"/>
          <w:highlight w:val="none"/>
          <w:u w:val="single"/>
          <w:lang w:val="en-US" w:eastAsia="zh-CN"/>
        </w:rPr>
        <w:t>（项目名称）</w:t>
      </w:r>
      <w:r>
        <w:rPr>
          <w:rFonts w:hint="eastAsia" w:ascii="方正仿宋_GB18030" w:hAnsi="方正仿宋_GB18030" w:eastAsia="方正仿宋_GB18030" w:cs="方正仿宋_GB18030"/>
          <w:color w:val="auto"/>
          <w:kern w:val="0"/>
          <w:sz w:val="21"/>
          <w:szCs w:val="21"/>
          <w:highlight w:val="none"/>
          <w:lang w:val="en-US" w:eastAsia="zh-CN"/>
        </w:rPr>
        <w:t>》服务项目名称。</w:t>
      </w:r>
    </w:p>
    <w:p w14:paraId="6D346DE8">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11" w:name="_Toc2368"/>
      <w:bookmarkStart w:id="12" w:name="_Toc32760"/>
      <w:r>
        <w:rPr>
          <w:rFonts w:hint="eastAsia" w:ascii="方正仿宋_GB18030" w:hAnsi="方正仿宋_GB18030" w:eastAsia="方正仿宋_GB18030" w:cs="方正仿宋_GB18030"/>
          <w:b/>
          <w:bCs/>
          <w:color w:val="auto"/>
          <w:kern w:val="0"/>
          <w:sz w:val="21"/>
          <w:szCs w:val="21"/>
          <w:highlight w:val="none"/>
          <w:lang w:val="en-US" w:eastAsia="zh-CN"/>
        </w:rPr>
        <w:t>2.合同组成部分：</w:t>
      </w:r>
      <w:bookmarkEnd w:id="11"/>
      <w:bookmarkEnd w:id="12"/>
    </w:p>
    <w:p w14:paraId="37A9A23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（1）合同文本及合同补充文件（条款）；</w:t>
      </w:r>
    </w:p>
    <w:p w14:paraId="583617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（2）国家和行业制定的相应的标准和规范； </w:t>
      </w:r>
    </w:p>
    <w:p w14:paraId="1ABB39D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（3）招标文件；</w:t>
      </w:r>
    </w:p>
    <w:p w14:paraId="3296B2F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（4）成交单位的投标文件；</w:t>
      </w:r>
    </w:p>
    <w:p w14:paraId="1A6964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（5）货物/服务清单等其他相关附件。</w:t>
      </w:r>
    </w:p>
    <w:p w14:paraId="701F05C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3.服务内容</w:t>
      </w:r>
      <w:bookmarkStart w:id="13" w:name="_Toc2258"/>
      <w:bookmarkStart w:id="14" w:name="_Toc14579"/>
    </w:p>
    <w:p w14:paraId="33B3878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3.1.乙方负责承担本次比赛的训练场地、竞赛保障、赛事策划、商务开发、竞赛组织和器材保障、媒体宣传推广、场地布置、志愿者招募管理、后勤接待保障、各类资料印制、赛事保险、医疗保障、安全保卫、电力、通信保障。并向使用部门提交赛事总结等与赛事服务运营有关一切事务，方案策划及运营服务需符合体育赛事相应规范要求。</w:t>
      </w:r>
    </w:p>
    <w:p w14:paraId="571FF93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3.2比赛总结：高质量、高水平、高效率的协助完成委托的其他工作事项，确保各项工作顺利推进，协助项目有关的相关文件资料，每项赛事提交赛事总结报告，并及时提交比赛总结报告及相关档案资料，内容齐全。</w:t>
      </w:r>
    </w:p>
    <w:p w14:paraId="4F4BF1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3.3本项目供应商不得进行转包、分包给第三方。</w:t>
      </w:r>
    </w:p>
    <w:p w14:paraId="296BC5E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3.4在活动的执行过程中，合作双方应遵循甲方确认原则，即所有的设计策划方案、详细报价的预算及结算等，均由乙方提出建议和说明，但最终以甲乙双方确认的内容或方式执行。</w:t>
      </w:r>
    </w:p>
    <w:p w14:paraId="1B1C201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 双方权利和义务</w:t>
      </w:r>
      <w:bookmarkEnd w:id="13"/>
      <w:bookmarkEnd w:id="14"/>
      <w:r>
        <w:rPr>
          <w:rFonts w:hint="eastAsia" w:ascii="方正仿宋_GB18030" w:hAnsi="方正仿宋_GB18030" w:eastAsia="方正仿宋_GB18030" w:cs="方正仿宋_GB18030"/>
          <w:b/>
          <w:bCs/>
          <w:color w:val="auto"/>
          <w:kern w:val="0"/>
          <w:sz w:val="21"/>
          <w:szCs w:val="21"/>
          <w:highlight w:val="none"/>
          <w:lang w:val="en-US" w:eastAsia="zh-CN"/>
        </w:rPr>
        <w:tab/>
      </w:r>
    </w:p>
    <w:p w14:paraId="470FE09D">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4.1甲方权利与义务：</w:t>
      </w:r>
    </w:p>
    <w:p w14:paraId="03AB082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4.1.1 甲方有权利对项目活动的相关细节进行监督及了解，决定项目的实施方案。</w:t>
      </w:r>
    </w:p>
    <w:p w14:paraId="0A9DF4A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4.1.2 甲方有权利根据临时情况向乙方提出活动修改意见，经双方协商后实施。</w:t>
      </w:r>
    </w:p>
    <w:p w14:paraId="07A8C42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4.1.3甲方非因不可抗力因素如需延期开展项目活动，应提前</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5 </w:t>
      </w:r>
      <w:r>
        <w:rPr>
          <w:rFonts w:hint="eastAsia" w:ascii="方正仿宋_GB18030" w:hAnsi="方正仿宋_GB18030" w:eastAsia="方正仿宋_GB18030" w:cs="方正仿宋_GB18030"/>
          <w:color w:val="auto"/>
          <w:kern w:val="0"/>
          <w:sz w:val="21"/>
          <w:szCs w:val="21"/>
          <w:highlight w:val="none"/>
          <w:lang w:val="en-US" w:eastAsia="zh-CN"/>
        </w:rPr>
        <w:t>个工作日告知乙方，双方协商修改活动安排。</w:t>
      </w:r>
    </w:p>
    <w:p w14:paraId="1E54F56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4.1.4甲方应按照合同约定，积极配合乙方开展工作。</w:t>
      </w:r>
    </w:p>
    <w:p w14:paraId="4839E42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4.1.5甲方应按合同约定履行付款的义务。</w:t>
      </w:r>
    </w:p>
    <w:p w14:paraId="549555E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4.1.6甲方应按合同约定履行其他的相应义务。</w:t>
      </w:r>
    </w:p>
    <w:p w14:paraId="20C8268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4.2 乙方权利与义务：</w:t>
      </w:r>
    </w:p>
    <w:p w14:paraId="676478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4.2.1乙方负责全部项目活动的相关策划、组织、实施、调度，保证项目活动的顺利进行。</w:t>
      </w:r>
    </w:p>
    <w:p w14:paraId="7B1D68A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4.2.2乙方应具备符合组织项目活动的专业资格，并保证选派的工作人员具备相关的专业能力及较高的素质。</w:t>
      </w:r>
    </w:p>
    <w:p w14:paraId="47CDDD5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1953D86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4.2.4乙方应按合同约定履行其他的相应义务。</w:t>
      </w:r>
    </w:p>
    <w:p w14:paraId="0E4C69E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15" w:name="_Toc27234"/>
      <w:bookmarkStart w:id="16" w:name="_Toc23580"/>
      <w:r>
        <w:rPr>
          <w:rFonts w:hint="eastAsia" w:ascii="方正仿宋_GB18030" w:hAnsi="方正仿宋_GB18030" w:eastAsia="方正仿宋_GB18030" w:cs="方正仿宋_GB18030"/>
          <w:b/>
          <w:bCs/>
          <w:color w:val="auto"/>
          <w:kern w:val="0"/>
          <w:sz w:val="21"/>
          <w:szCs w:val="21"/>
          <w:highlight w:val="none"/>
          <w:lang w:val="en-US" w:eastAsia="zh-CN"/>
        </w:rPr>
        <w:t>5</w:t>
      </w:r>
      <w:r>
        <w:rPr>
          <w:rFonts w:hint="eastAsia" w:ascii="方正仿宋_GB18030" w:hAnsi="方正仿宋_GB18030" w:eastAsia="方正仿宋_GB18030" w:cs="方正仿宋_GB18030"/>
          <w:b/>
          <w:bCs/>
          <w:color w:val="auto"/>
          <w:kern w:val="0"/>
          <w:sz w:val="21"/>
          <w:szCs w:val="21"/>
          <w:highlight w:val="none"/>
        </w:rPr>
        <w:t>.服务费及资金付款进度</w:t>
      </w:r>
      <w:bookmarkEnd w:id="15"/>
      <w:bookmarkEnd w:id="16"/>
    </w:p>
    <w:p w14:paraId="7D3F479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5.1 本次项目的费用包括但不限于执行该项目所产生的赛事活动组织费用、人员接待费用、媒体费用、广告费用等。</w:t>
      </w:r>
    </w:p>
    <w:p w14:paraId="26D26B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17" w:name="_Toc23438"/>
      <w:bookmarkStart w:id="18" w:name="_Toc4212"/>
      <w:r>
        <w:rPr>
          <w:rFonts w:hint="eastAsia" w:ascii="方正仿宋_GB18030" w:hAnsi="方正仿宋_GB18030" w:eastAsia="方正仿宋_GB18030" w:cs="方正仿宋_GB18030"/>
          <w:color w:val="auto"/>
          <w:kern w:val="0"/>
          <w:sz w:val="21"/>
          <w:szCs w:val="21"/>
          <w:highlight w:val="none"/>
          <w:lang w:val="en-US" w:eastAsia="zh-CN"/>
        </w:rPr>
        <w:t>5.2支付方式</w:t>
      </w:r>
    </w:p>
    <w:p w14:paraId="0AD7127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5.2.1乙方应严格按照双方最后确定的方案、服务规划流程等执行委托工作、随时接受甲方审核及检验，并为甲方提供便利条件，同时承担由自身原因导致返工、修改的费用。</w:t>
      </w:r>
    </w:p>
    <w:p w14:paraId="0BB2CA2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5.2.2支付总价为：￥：</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元；大写</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w:t>
      </w:r>
    </w:p>
    <w:p w14:paraId="3AEFA4C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5.2.3组织服务费由甲方按进度支付乙方。</w:t>
      </w:r>
    </w:p>
    <w:p w14:paraId="0588E74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5.3具体支付方式和时间如下：</w:t>
      </w:r>
    </w:p>
    <w:p w14:paraId="02F609E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kern w:val="0"/>
          <w:sz w:val="21"/>
          <w:szCs w:val="21"/>
          <w:highlight w:val="none"/>
          <w:lang w:val="en-US" w:eastAsia="zh-CN"/>
        </w:rPr>
        <w:t>5.3.1</w:t>
      </w:r>
      <w:r>
        <w:rPr>
          <w:rFonts w:hint="eastAsia" w:ascii="方正仿宋_GB18030" w:hAnsi="方正仿宋_GB18030" w:eastAsia="方正仿宋_GB18030" w:cs="方正仿宋_GB18030"/>
          <w:color w:val="auto"/>
          <w:sz w:val="21"/>
          <w:szCs w:val="21"/>
          <w:highlight w:val="none"/>
          <w:lang w:val="en-US" w:eastAsia="zh-CN"/>
        </w:rPr>
        <w:t>合同签订后，达到付款条件起 10 个工作日内，支付合同总金额的80%；项目执行完毕后，达到付款条件起 10 个工作日内，支付合同总金额的20%。</w:t>
      </w:r>
    </w:p>
    <w:p w14:paraId="4B05EF16">
      <w:pPr>
        <w:keepNext w:val="0"/>
        <w:keepLines w:val="0"/>
        <w:pageBreakBefore w:val="0"/>
        <w:widowControl/>
        <w:kinsoku/>
        <w:wordWrap/>
        <w:overflowPunct/>
        <w:topLinePunct w:val="0"/>
        <w:autoSpaceDE/>
        <w:autoSpaceDN/>
        <w:bidi w:val="0"/>
        <w:adjustRightInd/>
        <w:snapToGrid/>
        <w:spacing w:line="460" w:lineRule="exact"/>
        <w:ind w:firstLine="420" w:firstLineChars="200"/>
        <w:textAlignment w:val="auto"/>
        <w:rPr>
          <w:rFonts w:hint="eastAsia" w:ascii="方正仿宋_GB18030" w:hAnsi="方正仿宋_GB18030" w:eastAsia="方正仿宋_GB18030" w:cs="方正仿宋_GB18030"/>
          <w:color w:val="auto"/>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5.3.2</w:t>
      </w:r>
      <w:r>
        <w:rPr>
          <w:rFonts w:hint="eastAsia" w:ascii="方正仿宋_GB18030" w:hAnsi="方正仿宋_GB18030" w:eastAsia="方正仿宋_GB18030" w:cs="方正仿宋_GB18030"/>
          <w:color w:val="auto"/>
          <w:sz w:val="21"/>
          <w:szCs w:val="21"/>
          <w:highlight w:val="none"/>
        </w:rPr>
        <w:t>赛事服务结束后，</w:t>
      </w:r>
      <w:r>
        <w:rPr>
          <w:rFonts w:hint="eastAsia" w:ascii="方正仿宋_GB18030" w:hAnsi="方正仿宋_GB18030" w:eastAsia="方正仿宋_GB18030" w:cs="方正仿宋_GB18030"/>
          <w:color w:val="auto"/>
          <w:sz w:val="21"/>
          <w:szCs w:val="21"/>
          <w:highlight w:val="none"/>
          <w:lang w:val="en-US" w:eastAsia="zh-CN"/>
        </w:rPr>
        <w:t>乙方</w:t>
      </w:r>
      <w:r>
        <w:rPr>
          <w:rFonts w:hint="eastAsia" w:ascii="方正仿宋_GB18030" w:hAnsi="方正仿宋_GB18030" w:eastAsia="方正仿宋_GB18030" w:cs="方正仿宋_GB18030"/>
          <w:color w:val="auto"/>
          <w:sz w:val="21"/>
          <w:szCs w:val="21"/>
          <w:highlight w:val="none"/>
        </w:rPr>
        <w:t>应向</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提供等额有效且符合</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财务管理要求的体育服务增值税发票或者财政监制的非税收入票据，否则</w:t>
      </w:r>
      <w:r>
        <w:rPr>
          <w:rFonts w:hint="eastAsia" w:ascii="方正仿宋_GB18030" w:hAnsi="方正仿宋_GB18030" w:eastAsia="方正仿宋_GB18030" w:cs="方正仿宋_GB18030"/>
          <w:color w:val="auto"/>
          <w:sz w:val="21"/>
          <w:szCs w:val="21"/>
          <w:highlight w:val="none"/>
          <w:lang w:val="en-US" w:eastAsia="zh-CN"/>
        </w:rPr>
        <w:t>甲方</w:t>
      </w:r>
      <w:r>
        <w:rPr>
          <w:rFonts w:hint="eastAsia" w:ascii="方正仿宋_GB18030" w:hAnsi="方正仿宋_GB18030" w:eastAsia="方正仿宋_GB18030" w:cs="方正仿宋_GB18030"/>
          <w:color w:val="auto"/>
          <w:sz w:val="21"/>
          <w:szCs w:val="21"/>
          <w:highlight w:val="none"/>
        </w:rPr>
        <w:t>有权拒绝付款且不承担违约责任。</w:t>
      </w:r>
    </w:p>
    <w:p w14:paraId="62F72844">
      <w:pPr>
        <w:keepNext w:val="0"/>
        <w:keepLines w:val="0"/>
        <w:pageBreakBefore w:val="0"/>
        <w:widowControl w:val="0"/>
        <w:numPr>
          <w:ilvl w:val="0"/>
          <w:numId w:val="0"/>
        </w:numPr>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6.验收</w:t>
      </w:r>
    </w:p>
    <w:p w14:paraId="08FF73B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6.1按国家现行项目实施规范和合同规定的验收评定标准等要求进行验收。</w:t>
      </w:r>
    </w:p>
    <w:p w14:paraId="307521F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6.2验收依据</w:t>
      </w:r>
    </w:p>
    <w:p w14:paraId="45B40C6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6.2.1本项目招标文件、投标文件；</w:t>
      </w:r>
    </w:p>
    <w:p w14:paraId="41E1E97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6.2.2本合同及附件文本；</w:t>
      </w:r>
    </w:p>
    <w:p w14:paraId="59CF740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6.2.3合同签订时国家及行业现行的标准和技术规范。</w:t>
      </w:r>
    </w:p>
    <w:p w14:paraId="53065980">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lang w:val="en-US" w:eastAsia="zh-CN"/>
        </w:rPr>
        <w:t>7</w:t>
      </w:r>
      <w:r>
        <w:rPr>
          <w:rFonts w:hint="eastAsia" w:ascii="方正仿宋_GB18030" w:hAnsi="方正仿宋_GB18030" w:eastAsia="方正仿宋_GB18030" w:cs="方正仿宋_GB18030"/>
          <w:b/>
          <w:bCs/>
          <w:color w:val="auto"/>
          <w:kern w:val="0"/>
          <w:sz w:val="21"/>
          <w:szCs w:val="21"/>
          <w:highlight w:val="none"/>
        </w:rPr>
        <w:t>.合同终止和违约责任</w:t>
      </w:r>
      <w:bookmarkEnd w:id="17"/>
      <w:bookmarkEnd w:id="18"/>
    </w:p>
    <w:p w14:paraId="4D61A8E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在下述条件下，本合同书可提前终止：</w:t>
      </w:r>
    </w:p>
    <w:p w14:paraId="397397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7.1 如果一方破产，或正在进行清算程序，或其财产的实质性部分被没收或扣押，则另一方可经书面通知该方而立即终止本合同，并有权要求其赔偿由此造成的损失；</w:t>
      </w:r>
    </w:p>
    <w:p w14:paraId="3FFA99F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7.2 如果一方的所有权、组织结构、控制与管理发生重大变化，而导致其不能履行本合同的，则另一方可经书面通知该方而立即终止本合同，并有权要求其赔偿由此造成的损失；</w:t>
      </w:r>
    </w:p>
    <w:p w14:paraId="38A1449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7.3 除本合同另有约定外，如果一方违反本合同书任何约定并在收到另一方向其发出的书面通知后十五天内仍不纠正违约行为，则另一方可经书面通知该方而立即终止本合同，并按照7.4条的约定要求其承担违约责任，违约金不足以弥补损失的还应继续赔偿由此造成的损失。</w:t>
      </w:r>
    </w:p>
    <w:p w14:paraId="4E60E3D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 如果本合同一方不按照合同约定履行义务，则应按照下述规定承担违约责任：</w:t>
      </w:r>
    </w:p>
    <w:p w14:paraId="7DA9B3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4855BF8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7.4.2 甲方应当根据本合同约定按时向乙方付款，无正当理由迟延付款的，每迟延支付一日，应支付迟延付款金额0.1‰的违约金。</w:t>
      </w:r>
    </w:p>
    <w:p w14:paraId="3B065E9E">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rPr>
      </w:pPr>
      <w:bookmarkStart w:id="19" w:name="_Toc27960"/>
      <w:bookmarkStart w:id="20" w:name="_Toc29778"/>
      <w:r>
        <w:rPr>
          <w:rFonts w:hint="eastAsia" w:ascii="方正仿宋_GB18030" w:hAnsi="方正仿宋_GB18030" w:eastAsia="方正仿宋_GB18030" w:cs="方正仿宋_GB18030"/>
          <w:b/>
          <w:bCs/>
          <w:color w:val="auto"/>
          <w:kern w:val="0"/>
          <w:sz w:val="21"/>
          <w:szCs w:val="21"/>
          <w:highlight w:val="none"/>
          <w:lang w:val="en-US" w:eastAsia="zh-CN"/>
        </w:rPr>
        <w:t>8</w:t>
      </w:r>
      <w:r>
        <w:rPr>
          <w:rFonts w:hint="eastAsia" w:ascii="方正仿宋_GB18030" w:hAnsi="方正仿宋_GB18030" w:eastAsia="方正仿宋_GB18030" w:cs="方正仿宋_GB18030"/>
          <w:b/>
          <w:bCs/>
          <w:color w:val="auto"/>
          <w:kern w:val="0"/>
          <w:sz w:val="21"/>
          <w:szCs w:val="21"/>
          <w:highlight w:val="none"/>
        </w:rPr>
        <w:t>.不可抗力</w:t>
      </w:r>
      <w:bookmarkEnd w:id="19"/>
      <w:bookmarkEnd w:id="20"/>
    </w:p>
    <w:p w14:paraId="6F668AE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3E97B15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6F8F624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64B04392">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21" w:name="_Toc12058"/>
      <w:bookmarkStart w:id="22" w:name="_Toc7221"/>
      <w:r>
        <w:rPr>
          <w:rFonts w:hint="eastAsia" w:ascii="方正仿宋_GB18030" w:hAnsi="方正仿宋_GB18030" w:eastAsia="方正仿宋_GB18030" w:cs="方正仿宋_GB18030"/>
          <w:b/>
          <w:bCs/>
          <w:color w:val="auto"/>
          <w:kern w:val="0"/>
          <w:sz w:val="21"/>
          <w:szCs w:val="21"/>
          <w:highlight w:val="none"/>
          <w:lang w:val="en-US" w:eastAsia="zh-CN"/>
        </w:rPr>
        <w:t>9</w:t>
      </w:r>
      <w:r>
        <w:rPr>
          <w:rFonts w:hint="eastAsia" w:ascii="方正仿宋_GB18030" w:hAnsi="方正仿宋_GB18030" w:eastAsia="方正仿宋_GB18030" w:cs="方正仿宋_GB18030"/>
          <w:b/>
          <w:bCs/>
          <w:color w:val="auto"/>
          <w:kern w:val="0"/>
          <w:sz w:val="21"/>
          <w:szCs w:val="21"/>
          <w:highlight w:val="none"/>
          <w:lang w:val="zh-CN" w:eastAsia="zh-CN"/>
        </w:rPr>
        <w:t>.知识产权、保密</w:t>
      </w:r>
      <w:bookmarkEnd w:id="21"/>
      <w:bookmarkEnd w:id="22"/>
    </w:p>
    <w:p w14:paraId="5926E59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.1甲方在中华人民共和国境内使用</w:t>
      </w:r>
      <w:r>
        <w:rPr>
          <w:rFonts w:hint="eastAsia" w:ascii="方正仿宋_GB18030" w:hAnsi="方正仿宋_GB18030" w:eastAsia="方正仿宋_GB18030" w:cs="方正仿宋_GB18030"/>
          <w:color w:val="auto"/>
          <w:kern w:val="0"/>
          <w:sz w:val="21"/>
          <w:szCs w:val="21"/>
          <w:highlight w:val="none"/>
          <w:lang w:val="en-US" w:eastAsia="zh-CN"/>
        </w:rPr>
        <w:t>乙方</w:t>
      </w:r>
      <w:r>
        <w:rPr>
          <w:rFonts w:hint="eastAsia" w:ascii="方正仿宋_GB18030" w:hAnsi="方正仿宋_GB18030" w:eastAsia="方正仿宋_GB18030" w:cs="方正仿宋_GB18030"/>
          <w:color w:val="auto"/>
          <w:kern w:val="0"/>
          <w:sz w:val="21"/>
          <w:szCs w:val="21"/>
          <w:highlight w:val="none"/>
          <w:lang w:val="zh-CN" w:eastAsia="zh-CN"/>
        </w:rPr>
        <w:t>提供的服务时免受第三方提出的侵犯其专利权或其他知识产权的起诉。如果第三方提出侵权指控，乙方应承担由此而引起的一切法律责任和费用。</w:t>
      </w:r>
    </w:p>
    <w:p w14:paraId="7A2A282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00C8165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.3本合同涉及的文件、资料内容属于甲方商业秘密，除为履行本合同所必须外，未经甲方授权乙方无权向第三方公开。</w:t>
      </w:r>
    </w:p>
    <w:p w14:paraId="1ACC688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.4合同双方对因签署和履行本合同而获得的本合同各项条款、有关本合同的谈判、合同一方提供给对方的涉及提供方专属的或保密的信息和数据等</w:t>
      </w:r>
      <w:bookmarkStart w:id="29" w:name="_GoBack"/>
      <w:bookmarkEnd w:id="29"/>
      <w:r>
        <w:rPr>
          <w:rFonts w:hint="eastAsia" w:ascii="方正仿宋_GB18030" w:hAnsi="方正仿宋_GB18030" w:eastAsia="方正仿宋_GB18030" w:cs="方正仿宋_GB18030"/>
          <w:color w:val="auto"/>
          <w:kern w:val="0"/>
          <w:sz w:val="21"/>
          <w:szCs w:val="21"/>
          <w:highlight w:val="none"/>
          <w:lang w:val="zh-CN" w:eastAsia="zh-CN"/>
        </w:rPr>
        <w:t>属于商业秘密，仅在下列情况下，合同双方才可披露商业秘密条款信息：</w:t>
      </w:r>
    </w:p>
    <w:p w14:paraId="19AAD3E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.4.1依法律法规的规定；</w:t>
      </w:r>
    </w:p>
    <w:p w14:paraId="3F98CF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.4.2 依任何有管辖权的政府机关、</w:t>
      </w:r>
      <w:r>
        <w:rPr>
          <w:rFonts w:hint="eastAsia" w:ascii="方正仿宋_GB18030" w:hAnsi="方正仿宋_GB18030" w:eastAsia="方正仿宋_GB18030" w:cs="方正仿宋_GB18030"/>
          <w:color w:val="auto"/>
          <w:kern w:val="0"/>
          <w:sz w:val="21"/>
          <w:szCs w:val="21"/>
          <w:highlight w:val="none"/>
          <w:lang w:val="en-US" w:eastAsia="zh-CN"/>
        </w:rPr>
        <w:t>司法机关、</w:t>
      </w:r>
      <w:r>
        <w:rPr>
          <w:rFonts w:hint="eastAsia" w:ascii="方正仿宋_GB18030" w:hAnsi="方正仿宋_GB18030" w:eastAsia="方正仿宋_GB18030" w:cs="方正仿宋_GB18030"/>
          <w:color w:val="auto"/>
          <w:kern w:val="0"/>
          <w:sz w:val="21"/>
          <w:szCs w:val="21"/>
          <w:highlight w:val="none"/>
          <w:lang w:val="zh-CN" w:eastAsia="zh-CN"/>
        </w:rPr>
        <w:t>监管机构或自律组织的要求；</w:t>
      </w:r>
    </w:p>
    <w:p w14:paraId="1AB5CA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.4.3在收到对方披露的保密信息之时或之前已从对该保密信息无保密义务的第三方合法知悉该信息；</w:t>
      </w:r>
    </w:p>
    <w:p w14:paraId="3AA54A3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.4.4 非因乙方过错，而使信息已经公开；</w:t>
      </w:r>
    </w:p>
    <w:p w14:paraId="3B98BFA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.4.5合同双方事先达成书面认可；</w:t>
      </w:r>
    </w:p>
    <w:p w14:paraId="0EC049C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4A01F624">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3" w:name="_Toc26449"/>
      <w:bookmarkStart w:id="24" w:name="_Toc20922"/>
      <w:r>
        <w:rPr>
          <w:rFonts w:hint="eastAsia" w:ascii="方正仿宋_GB18030" w:hAnsi="方正仿宋_GB18030" w:eastAsia="方正仿宋_GB18030" w:cs="方正仿宋_GB18030"/>
          <w:b/>
          <w:bCs/>
          <w:color w:val="auto"/>
          <w:kern w:val="0"/>
          <w:sz w:val="21"/>
          <w:szCs w:val="21"/>
          <w:highlight w:val="none"/>
          <w:lang w:val="en-US" w:eastAsia="zh-CN"/>
        </w:rPr>
        <w:t>10</w:t>
      </w:r>
      <w:r>
        <w:rPr>
          <w:rFonts w:hint="eastAsia" w:ascii="方正仿宋_GB18030" w:hAnsi="方正仿宋_GB18030" w:eastAsia="方正仿宋_GB18030" w:cs="方正仿宋_GB18030"/>
          <w:b/>
          <w:bCs/>
          <w:color w:val="auto"/>
          <w:kern w:val="0"/>
          <w:sz w:val="21"/>
          <w:szCs w:val="21"/>
          <w:highlight w:val="none"/>
        </w:rPr>
        <w:t>.争议解决</w:t>
      </w:r>
      <w:bookmarkEnd w:id="23"/>
      <w:bookmarkEnd w:id="24"/>
    </w:p>
    <w:p w14:paraId="7503615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10.1 如果甲乙双方就本合同的履行发生任何争议，双方应首先通过友好协商解决该等争议。如果在协商开始的30日内双方无法解决争议，则提交给</w:t>
      </w:r>
      <w:r>
        <w:rPr>
          <w:rFonts w:hint="eastAsia" w:ascii="方正仿宋_GB18030" w:hAnsi="方正仿宋_GB18030" w:eastAsia="方正仿宋_GB18030" w:cs="方正仿宋_GB18030"/>
          <w:color w:val="auto"/>
          <w:kern w:val="0"/>
          <w:sz w:val="21"/>
          <w:szCs w:val="21"/>
          <w:highlight w:val="none"/>
          <w:u w:val="single"/>
          <w:lang w:val="en-US" w:eastAsia="zh-CN"/>
        </w:rPr>
        <w:t>西安</w:t>
      </w:r>
      <w:r>
        <w:rPr>
          <w:rFonts w:hint="eastAsia" w:ascii="方正仿宋_GB18030" w:hAnsi="方正仿宋_GB18030" w:eastAsia="方正仿宋_GB18030" w:cs="方正仿宋_GB18030"/>
          <w:color w:val="auto"/>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7D84628A">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5" w:name="_Toc2658"/>
      <w:bookmarkStart w:id="26" w:name="_Toc17905"/>
      <w:r>
        <w:rPr>
          <w:rFonts w:hint="eastAsia" w:ascii="方正仿宋_GB18030" w:hAnsi="方正仿宋_GB18030" w:eastAsia="方正仿宋_GB18030" w:cs="方正仿宋_GB18030"/>
          <w:b/>
          <w:color w:val="auto"/>
          <w:kern w:val="0"/>
          <w:sz w:val="21"/>
          <w:szCs w:val="21"/>
          <w:highlight w:val="none"/>
          <w:lang w:val="en-US" w:eastAsia="zh-CN"/>
        </w:rPr>
        <w:t>11</w:t>
      </w:r>
      <w:r>
        <w:rPr>
          <w:rFonts w:hint="eastAsia" w:ascii="方正仿宋_GB18030" w:hAnsi="方正仿宋_GB18030" w:eastAsia="方正仿宋_GB18030" w:cs="方正仿宋_GB18030"/>
          <w:b/>
          <w:color w:val="auto"/>
          <w:kern w:val="0"/>
          <w:sz w:val="21"/>
          <w:szCs w:val="21"/>
          <w:highlight w:val="none"/>
        </w:rPr>
        <w:t>.通知</w:t>
      </w:r>
      <w:bookmarkEnd w:id="25"/>
      <w:bookmarkEnd w:id="26"/>
    </w:p>
    <w:p w14:paraId="6888AB9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11.1本合同任何一方给另一方的通知都应以书面或电传、电报、传真的形式发送，而另一方应以书面形式确认并发送到对方明确的地址。</w:t>
      </w:r>
    </w:p>
    <w:p w14:paraId="2062C0F3">
      <w:pPr>
        <w:keepNext w:val="0"/>
        <w:keepLines w:val="0"/>
        <w:pageBreakBefore w:val="0"/>
        <w:widowControl w:val="0"/>
        <w:kinsoku/>
        <w:wordWrap/>
        <w:overflowPunct/>
        <w:topLinePunct w:val="0"/>
        <w:bidi w:val="0"/>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7" w:name="_Toc20904"/>
      <w:bookmarkStart w:id="28" w:name="_Toc29310"/>
      <w:r>
        <w:rPr>
          <w:rFonts w:hint="eastAsia" w:ascii="方正仿宋_GB18030" w:hAnsi="方正仿宋_GB18030" w:eastAsia="方正仿宋_GB18030" w:cs="方正仿宋_GB18030"/>
          <w:b/>
          <w:color w:val="auto"/>
          <w:kern w:val="0"/>
          <w:sz w:val="21"/>
          <w:szCs w:val="21"/>
          <w:highlight w:val="none"/>
          <w:lang w:val="en-US" w:eastAsia="zh-CN"/>
        </w:rPr>
        <w:t>12</w:t>
      </w:r>
      <w:r>
        <w:rPr>
          <w:rFonts w:hint="eastAsia" w:ascii="方正仿宋_GB18030" w:hAnsi="方正仿宋_GB18030" w:eastAsia="方正仿宋_GB18030" w:cs="方正仿宋_GB18030"/>
          <w:b/>
          <w:color w:val="auto"/>
          <w:kern w:val="0"/>
          <w:sz w:val="21"/>
          <w:szCs w:val="21"/>
          <w:highlight w:val="none"/>
        </w:rPr>
        <w:t>.合同生效及其它</w:t>
      </w:r>
      <w:bookmarkEnd w:id="27"/>
      <w:bookmarkEnd w:id="28"/>
    </w:p>
    <w:p w14:paraId="0E64E95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12.1 双方本着善意和合作的目的，同意就本项目组织中发生的不可预见的变化进行友好协商，并签署书面确认，以修正并取代本合同的约定。如没有签署书面确认，双方以本合同为准。</w:t>
      </w:r>
    </w:p>
    <w:p w14:paraId="5A397E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12.2本合同一式</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肆 </w:t>
      </w:r>
      <w:r>
        <w:rPr>
          <w:rFonts w:hint="eastAsia" w:ascii="方正仿宋_GB18030" w:hAnsi="方正仿宋_GB18030" w:eastAsia="方正仿宋_GB18030" w:cs="方正仿宋_GB18030"/>
          <w:color w:val="auto"/>
          <w:kern w:val="0"/>
          <w:sz w:val="21"/>
          <w:szCs w:val="21"/>
          <w:highlight w:val="none"/>
          <w:lang w:val="en-US" w:eastAsia="zh-CN"/>
        </w:rPr>
        <w:t>份，甲乙双方各执</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贰 </w:t>
      </w:r>
      <w:r>
        <w:rPr>
          <w:rFonts w:hint="eastAsia" w:ascii="方正仿宋_GB18030" w:hAnsi="方正仿宋_GB18030" w:eastAsia="方正仿宋_GB18030" w:cs="方正仿宋_GB18030"/>
          <w:color w:val="auto"/>
          <w:kern w:val="0"/>
          <w:sz w:val="21"/>
          <w:szCs w:val="21"/>
          <w:highlight w:val="none"/>
          <w:u w:val="none"/>
          <w:lang w:val="en-US" w:eastAsia="zh-CN"/>
        </w:rPr>
        <w:t>份，</w:t>
      </w:r>
      <w:r>
        <w:rPr>
          <w:rFonts w:hint="eastAsia" w:ascii="方正仿宋_GB18030" w:hAnsi="方正仿宋_GB18030" w:eastAsia="方正仿宋_GB18030" w:cs="方正仿宋_GB18030"/>
          <w:color w:val="auto"/>
          <w:kern w:val="0"/>
          <w:sz w:val="21"/>
          <w:szCs w:val="21"/>
          <w:highlight w:val="none"/>
          <w:lang w:val="en-US" w:eastAsia="zh-CN"/>
        </w:rPr>
        <w:t>经双方签字盖章后即发生法律效力，且均具有同等法律效力。</w:t>
      </w:r>
    </w:p>
    <w:p w14:paraId="07F7012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12.3签订时间</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none"/>
          <w:lang w:val="en-US" w:eastAsia="zh-CN"/>
        </w:rPr>
        <w:t>。</w:t>
      </w:r>
    </w:p>
    <w:p w14:paraId="0D113F80">
      <w:pPr>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u w:val="none"/>
          <w:lang w:val="en-US" w:eastAsia="zh-CN"/>
        </w:rPr>
        <w:br w:type="page"/>
      </w:r>
    </w:p>
    <w:p w14:paraId="6477F23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u w:val="none"/>
          <w:lang w:val="en-US" w:eastAsia="zh-CN"/>
        </w:rPr>
        <w:t>（本页无正文）</w:t>
      </w:r>
    </w:p>
    <w:tbl>
      <w:tblPr>
        <w:tblStyle w:val="9"/>
        <w:tblW w:w="8522" w:type="dxa"/>
        <w:tblInd w:w="0" w:type="dxa"/>
        <w:tblLayout w:type="autofit"/>
        <w:tblCellMar>
          <w:top w:w="0" w:type="dxa"/>
          <w:left w:w="108" w:type="dxa"/>
          <w:bottom w:w="0" w:type="dxa"/>
          <w:right w:w="108" w:type="dxa"/>
        </w:tblCellMar>
      </w:tblPr>
      <w:tblGrid>
        <w:gridCol w:w="4261"/>
        <w:gridCol w:w="4261"/>
      </w:tblGrid>
      <w:tr w14:paraId="01B4CFFC">
        <w:tblPrEx>
          <w:tblCellMar>
            <w:top w:w="0" w:type="dxa"/>
            <w:left w:w="108" w:type="dxa"/>
            <w:bottom w:w="0" w:type="dxa"/>
            <w:right w:w="108" w:type="dxa"/>
          </w:tblCellMar>
        </w:tblPrEx>
        <w:trPr>
          <w:trHeight w:val="968" w:hRule="atLeast"/>
        </w:trPr>
        <w:tc>
          <w:tcPr>
            <w:tcW w:w="4261" w:type="dxa"/>
            <w:noWrap w:val="0"/>
            <w:vAlign w:val="top"/>
          </w:tcPr>
          <w:p w14:paraId="4A50BE03">
            <w:pPr>
              <w:bidi w:val="0"/>
              <w:spacing w:line="240" w:lineRule="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eastAsia="zh-CN"/>
              </w:rPr>
              <w:t>甲方</w:t>
            </w:r>
            <w:r>
              <w:rPr>
                <w:rFonts w:hint="eastAsia" w:ascii="方正仿宋_GB18030" w:hAnsi="方正仿宋_GB18030" w:eastAsia="方正仿宋_GB18030" w:cs="方正仿宋_GB18030"/>
                <w:color w:val="auto"/>
                <w:kern w:val="0"/>
                <w:sz w:val="21"/>
                <w:szCs w:val="21"/>
                <w:highlight w:val="none"/>
              </w:rPr>
              <w:t>：</w:t>
            </w:r>
          </w:p>
        </w:tc>
        <w:tc>
          <w:tcPr>
            <w:tcW w:w="4261" w:type="dxa"/>
            <w:noWrap w:val="0"/>
            <w:vAlign w:val="top"/>
          </w:tcPr>
          <w:p w14:paraId="473C36F5">
            <w:pPr>
              <w:bidi w:val="0"/>
              <w:spacing w:line="240" w:lineRule="auto"/>
              <w:ind w:left="0" w:leftChars="0" w:right="0" w:rightChars="0" w:firstLine="0" w:firstLineChars="0"/>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eastAsia="zh-CN"/>
              </w:rPr>
              <w:t>乙方</w:t>
            </w:r>
            <w:r>
              <w:rPr>
                <w:rFonts w:hint="eastAsia" w:ascii="方正仿宋_GB18030" w:hAnsi="方正仿宋_GB18030" w:eastAsia="方正仿宋_GB18030" w:cs="方正仿宋_GB18030"/>
                <w:color w:val="auto"/>
                <w:kern w:val="0"/>
                <w:sz w:val="21"/>
                <w:szCs w:val="21"/>
                <w:highlight w:val="none"/>
              </w:rPr>
              <w:t>：</w:t>
            </w:r>
          </w:p>
        </w:tc>
      </w:tr>
      <w:tr w14:paraId="07B20112">
        <w:tblPrEx>
          <w:tblCellMar>
            <w:top w:w="0" w:type="dxa"/>
            <w:left w:w="108" w:type="dxa"/>
            <w:bottom w:w="0" w:type="dxa"/>
            <w:right w:w="108" w:type="dxa"/>
          </w:tblCellMar>
        </w:tblPrEx>
        <w:trPr>
          <w:trHeight w:val="1540" w:hRule="atLeast"/>
        </w:trPr>
        <w:tc>
          <w:tcPr>
            <w:tcW w:w="4261" w:type="dxa"/>
            <w:shd w:val="clear" w:color="auto" w:fill="auto"/>
            <w:noWrap w:val="0"/>
            <w:vAlign w:val="center"/>
          </w:tcPr>
          <w:p w14:paraId="6CC9F1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1974CA7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p>
        </w:tc>
        <w:tc>
          <w:tcPr>
            <w:tcW w:w="4261" w:type="dxa"/>
            <w:shd w:val="clear" w:color="auto" w:fill="auto"/>
            <w:noWrap w:val="0"/>
            <w:vAlign w:val="center"/>
          </w:tcPr>
          <w:p w14:paraId="1E8889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46A0BFC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p>
        </w:tc>
      </w:tr>
      <w:tr w14:paraId="4112A756">
        <w:tblPrEx>
          <w:tblCellMar>
            <w:top w:w="0" w:type="dxa"/>
            <w:left w:w="108" w:type="dxa"/>
            <w:bottom w:w="0" w:type="dxa"/>
            <w:right w:w="108" w:type="dxa"/>
          </w:tblCellMar>
        </w:tblPrEx>
        <w:trPr>
          <w:trHeight w:val="1134" w:hRule="atLeast"/>
        </w:trPr>
        <w:tc>
          <w:tcPr>
            <w:tcW w:w="4261" w:type="dxa"/>
            <w:shd w:val="clear" w:color="auto" w:fill="auto"/>
            <w:noWrap w:val="0"/>
            <w:vAlign w:val="center"/>
          </w:tcPr>
          <w:p w14:paraId="2550A6DF">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c>
          <w:tcPr>
            <w:tcW w:w="4261" w:type="dxa"/>
            <w:shd w:val="clear" w:color="auto" w:fill="auto"/>
            <w:noWrap w:val="0"/>
            <w:vAlign w:val="center"/>
          </w:tcPr>
          <w:p w14:paraId="119A2511">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r>
      <w:tr w14:paraId="29DBF086">
        <w:tblPrEx>
          <w:tblCellMar>
            <w:top w:w="0" w:type="dxa"/>
            <w:left w:w="108" w:type="dxa"/>
            <w:bottom w:w="0" w:type="dxa"/>
            <w:right w:w="108" w:type="dxa"/>
          </w:tblCellMar>
        </w:tblPrEx>
        <w:trPr>
          <w:trHeight w:val="1134" w:hRule="atLeast"/>
        </w:trPr>
        <w:tc>
          <w:tcPr>
            <w:tcW w:w="4261" w:type="dxa"/>
            <w:noWrap w:val="0"/>
            <w:vAlign w:val="center"/>
          </w:tcPr>
          <w:p w14:paraId="17A2B23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c>
          <w:tcPr>
            <w:tcW w:w="4261" w:type="dxa"/>
            <w:noWrap w:val="0"/>
            <w:vAlign w:val="center"/>
          </w:tcPr>
          <w:p w14:paraId="2FA4DED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r>
      <w:tr w14:paraId="48362B72">
        <w:tblPrEx>
          <w:tblCellMar>
            <w:top w:w="0" w:type="dxa"/>
            <w:left w:w="108" w:type="dxa"/>
            <w:bottom w:w="0" w:type="dxa"/>
            <w:right w:w="108" w:type="dxa"/>
          </w:tblCellMar>
        </w:tblPrEx>
        <w:trPr>
          <w:trHeight w:val="1134" w:hRule="atLeast"/>
        </w:trPr>
        <w:tc>
          <w:tcPr>
            <w:tcW w:w="4261" w:type="dxa"/>
            <w:noWrap w:val="0"/>
            <w:vAlign w:val="center"/>
          </w:tcPr>
          <w:p w14:paraId="5ACCEE41">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c>
          <w:tcPr>
            <w:tcW w:w="4261" w:type="dxa"/>
            <w:noWrap w:val="0"/>
            <w:vAlign w:val="center"/>
          </w:tcPr>
          <w:p w14:paraId="7E39DB70">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r>
      <w:tr w14:paraId="5546D68A">
        <w:tblPrEx>
          <w:tblCellMar>
            <w:top w:w="0" w:type="dxa"/>
            <w:left w:w="108" w:type="dxa"/>
            <w:bottom w:w="0" w:type="dxa"/>
            <w:right w:w="108" w:type="dxa"/>
          </w:tblCellMar>
        </w:tblPrEx>
        <w:trPr>
          <w:trHeight w:val="1134" w:hRule="atLeast"/>
        </w:trPr>
        <w:tc>
          <w:tcPr>
            <w:tcW w:w="4261" w:type="dxa"/>
            <w:noWrap w:val="0"/>
            <w:vAlign w:val="center"/>
          </w:tcPr>
          <w:p w14:paraId="1C0DE40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c>
          <w:tcPr>
            <w:tcW w:w="4261" w:type="dxa"/>
            <w:noWrap w:val="0"/>
            <w:vAlign w:val="center"/>
          </w:tcPr>
          <w:p w14:paraId="57102B75">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r>
      <w:tr w14:paraId="53AF1D17">
        <w:tblPrEx>
          <w:tblCellMar>
            <w:top w:w="0" w:type="dxa"/>
            <w:left w:w="108" w:type="dxa"/>
            <w:bottom w:w="0" w:type="dxa"/>
            <w:right w:w="108" w:type="dxa"/>
          </w:tblCellMar>
        </w:tblPrEx>
        <w:trPr>
          <w:trHeight w:val="1134" w:hRule="atLeast"/>
        </w:trPr>
        <w:tc>
          <w:tcPr>
            <w:tcW w:w="4261" w:type="dxa"/>
            <w:noWrap w:val="0"/>
            <w:vAlign w:val="center"/>
          </w:tcPr>
          <w:p w14:paraId="33909039">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c>
          <w:tcPr>
            <w:tcW w:w="4261" w:type="dxa"/>
            <w:noWrap w:val="0"/>
            <w:vAlign w:val="center"/>
          </w:tcPr>
          <w:p w14:paraId="607868C3">
            <w:pPr>
              <w:bidi w:val="0"/>
              <w:spacing w:line="240" w:lineRule="auto"/>
              <w:ind w:left="0" w:leftChars="0" w:right="0" w:rightChars="0" w:firstLine="0" w:firstLineChars="0"/>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r>
      <w:bookmarkEnd w:id="0"/>
      <w:bookmarkEnd w:id="1"/>
      <w:bookmarkEnd w:id="2"/>
      <w:bookmarkEnd w:id="3"/>
      <w:bookmarkEnd w:id="4"/>
      <w:bookmarkEnd w:id="5"/>
      <w:bookmarkEnd w:id="6"/>
      <w:bookmarkEnd w:id="7"/>
      <w:bookmarkEnd w:id="8"/>
    </w:tbl>
    <w:p w14:paraId="151EA4ED">
      <w:pPr>
        <w:pStyle w:val="15"/>
        <w:rPr>
          <w:rFonts w:hint="eastAsia" w:ascii="方正仿宋_GB18030" w:hAnsi="方正仿宋_GB18030" w:eastAsia="方正仿宋_GB18030" w:cs="方正仿宋_GB18030"/>
          <w:color w:val="auto"/>
          <w:lang w:val="en-US" w:eastAsia="zh-Hans"/>
        </w:rPr>
      </w:pPr>
    </w:p>
    <w:p w14:paraId="21F6DFB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C045EC9-35A7-420C-9B9F-197F34FF64E3}"/>
  </w:font>
  <w:font w:name="仿宋">
    <w:panose1 w:val="02010609060101010101"/>
    <w:charset w:val="86"/>
    <w:family w:val="modern"/>
    <w:pitch w:val="default"/>
    <w:sig w:usb0="8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embedRegular r:id="rId2" w:fontKey="{B8FCC445-BC50-4BD7-A9D2-98A0E1A105FA}"/>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804F0"/>
    <w:rsid w:val="05FD1BBE"/>
    <w:rsid w:val="06AC0A0C"/>
    <w:rsid w:val="0EC73F5E"/>
    <w:rsid w:val="0FA314C4"/>
    <w:rsid w:val="100C66D5"/>
    <w:rsid w:val="122A05F8"/>
    <w:rsid w:val="17395C7D"/>
    <w:rsid w:val="1E731794"/>
    <w:rsid w:val="240D341D"/>
    <w:rsid w:val="24422E26"/>
    <w:rsid w:val="26E7587D"/>
    <w:rsid w:val="29DF3391"/>
    <w:rsid w:val="2B780E96"/>
    <w:rsid w:val="2EA62314"/>
    <w:rsid w:val="30DB2D00"/>
    <w:rsid w:val="31F05F32"/>
    <w:rsid w:val="3465383C"/>
    <w:rsid w:val="3CB75A27"/>
    <w:rsid w:val="3D643E0C"/>
    <w:rsid w:val="3D6E74D6"/>
    <w:rsid w:val="40CC25C5"/>
    <w:rsid w:val="422804F0"/>
    <w:rsid w:val="4541667C"/>
    <w:rsid w:val="49787CEA"/>
    <w:rsid w:val="4AFE4EC2"/>
    <w:rsid w:val="4E8A006A"/>
    <w:rsid w:val="54897A6D"/>
    <w:rsid w:val="5B6B56EA"/>
    <w:rsid w:val="5D5B6D2D"/>
    <w:rsid w:val="5DB91FC8"/>
    <w:rsid w:val="5E041700"/>
    <w:rsid w:val="5F8B18AF"/>
    <w:rsid w:val="60E0460C"/>
    <w:rsid w:val="61915623"/>
    <w:rsid w:val="623C0084"/>
    <w:rsid w:val="634C5649"/>
    <w:rsid w:val="65705DC1"/>
    <w:rsid w:val="678332EB"/>
    <w:rsid w:val="69507602"/>
    <w:rsid w:val="6FAC02E5"/>
    <w:rsid w:val="710A048B"/>
    <w:rsid w:val="711F04E9"/>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3">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4">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5">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List 2"/>
    <w:basedOn w:val="1"/>
    <w:qFormat/>
    <w:uiPriority w:val="0"/>
    <w:pPr>
      <w:ind w:left="100" w:leftChars="200" w:hanging="200" w:hangingChars="200"/>
    </w:pPr>
  </w:style>
  <w:style w:type="paragraph" w:styleId="8">
    <w:name w:val="Body Text First Indent 2"/>
    <w:basedOn w:val="6"/>
    <w:qFormat/>
    <w:uiPriority w:val="0"/>
    <w:pPr>
      <w:ind w:firstLine="420" w:firstLineChars="200"/>
    </w:pPr>
  </w:style>
  <w:style w:type="character" w:customStyle="1" w:styleId="11">
    <w:name w:val="标题 1 Char"/>
    <w:link w:val="2"/>
    <w:qFormat/>
    <w:uiPriority w:val="0"/>
    <w:rPr>
      <w:rFonts w:ascii="仿宋" w:hAnsi="仿宋" w:eastAsia="仿宋" w:cs="仿宋"/>
      <w:b/>
      <w:bCs/>
      <w:kern w:val="0"/>
      <w:sz w:val="44"/>
      <w:szCs w:val="44"/>
    </w:rPr>
  </w:style>
  <w:style w:type="character" w:customStyle="1" w:styleId="12">
    <w:name w:val="标题 2 Char"/>
    <w:link w:val="3"/>
    <w:qFormat/>
    <w:uiPriority w:val="0"/>
    <w:rPr>
      <w:rFonts w:ascii="仿宋" w:hAnsi="仿宋" w:eastAsia="宋体" w:cs="宋体"/>
      <w:b/>
      <w:bCs/>
      <w:kern w:val="0"/>
      <w:sz w:val="32"/>
      <w:szCs w:val="32"/>
    </w:rPr>
  </w:style>
  <w:style w:type="character" w:customStyle="1" w:styleId="13">
    <w:name w:val="标题 3 Char"/>
    <w:link w:val="4"/>
    <w:qFormat/>
    <w:uiPriority w:val="0"/>
    <w:rPr>
      <w:rFonts w:ascii="宋体" w:hAnsi="宋体" w:eastAsia="宋体"/>
      <w:b/>
      <w:bCs/>
      <w:kern w:val="0"/>
      <w:sz w:val="28"/>
    </w:rPr>
  </w:style>
  <w:style w:type="character" w:customStyle="1" w:styleId="14">
    <w:name w:val="标题 4 Char"/>
    <w:link w:val="5"/>
    <w:qFormat/>
    <w:uiPriority w:val="0"/>
    <w:rPr>
      <w:rFonts w:ascii="宋体" w:hAnsi="宋体" w:eastAsia="宋体"/>
      <w:b/>
      <w:bCs/>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3554</Words>
  <Characters>3761</Characters>
  <Lines>0</Lines>
  <Paragraphs>0</Paragraphs>
  <TotalTime>8</TotalTime>
  <ScaleCrop>false</ScaleCrop>
  <LinksUpToDate>false</LinksUpToDate>
  <CharactersWithSpaces>4044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2026-08-06T04:10:00Z</dcterms:created>
  <dc:creator>朱娟</dc:creator>
  <cp:lastModifiedBy>朱娟</cp:lastModifiedBy>
  <dcterms:modified xsi:type="dcterms:W3CDTF">2026-08-06T04:22:46Z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6C3F82AA7409499C8F02CB70D657D07B_11</vt:lpwstr>
  </property>
  <property fmtid="{D5CDD505-2E9C-101B-9397-08002B2CF9AE}" pid="4" name="KSOTemplateDocerSaveRecord">
    <vt:lpwstr>eyJoZGlkIjoiNmQ5YTlhOTI1MTIxMWQzZmNmMTc3YTIwMzNkYjU1MDciLCJ1c2VySWQiOiIyMDIwODMyODIifQ==</vt:lpwstr>
  </property>
</Properties>
</file>