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712"/>
        <w:gridCol w:w="6905"/>
      </w:tblGrid>
      <w:tr w14:paraId="64AE59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c>
          <w:tcPr>
            <w:tcW w:w="690" w:type="dxa"/>
          </w:tcPr>
          <w:p w14:paraId="67F1493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参数性质</w:t>
            </w:r>
          </w:p>
        </w:tc>
        <w:tc>
          <w:tcPr>
            <w:tcW w:w="712" w:type="dxa"/>
          </w:tcPr>
          <w:p w14:paraId="724EE753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6905" w:type="dxa"/>
          </w:tcPr>
          <w:p w14:paraId="7E777143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技术参数与性能指标</w:t>
            </w:r>
          </w:p>
        </w:tc>
      </w:tr>
      <w:tr w14:paraId="08FA4C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vAlign w:val="center"/>
          </w:tcPr>
          <w:p w14:paraId="79284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dxa"/>
            <w:vAlign w:val="center"/>
          </w:tcPr>
          <w:p w14:paraId="5903A183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905" w:type="dxa"/>
            <w:vAlign w:val="center"/>
          </w:tcPr>
          <w:p w14:paraId="186169B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一、项目概况</w:t>
            </w:r>
          </w:p>
          <w:p w14:paraId="0D3C9D14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bookmarkStart w:id="0" w:name="bookmark87"/>
            <w:bookmarkStart w:id="1" w:name="bookmark86"/>
            <w:bookmarkStart w:id="2" w:name="bookmark88"/>
            <w:bookmarkStart w:id="3" w:name="bookmark89"/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本项目为雁塔区范围内两拆专项整治工程，主要包含各类楼顶搭建构筑物、高层搭建设施、大型落地LED广告牌、各类违章建（构）筑物的拆除施工，同步配套实施施工安防防护、拆除垃圾分类整理、全程清运处置、场地黄土夯实填平、标高恢复及地面原貌修复等全部工作内容。项目施工范围为采购人指定的雁塔区全域作业点位，所有施工内容需符合市容环境整治、安全生产及场地复原相关标准，确保施工后场地整洁、平整，无遗留杂物、建筑垃圾及安全隐患。</w:t>
            </w:r>
          </w:p>
          <w:p w14:paraId="23244461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工程内容</w:t>
            </w:r>
          </w:p>
          <w:bookmarkEnd w:id="0"/>
          <w:bookmarkEnd w:id="1"/>
          <w:bookmarkEnd w:id="2"/>
          <w:bookmarkEnd w:id="3"/>
          <w:p w14:paraId="2BEAF8D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（一）楼顶搭建构筑物拆除工程</w:t>
            </w:r>
          </w:p>
          <w:p w14:paraId="04A6119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针对项目范围内各类楼顶违规搭建设施进行全面拆除，拆除对象包含楼顶钢架结构、砖混结构搭建物、活动板房及各类附属搭建设施。施工需采用合规拆除工艺，杜绝暴力拆除，避免破坏建筑原有主体结构、屋面防水层及周边附属设施。拆除完成后，对楼顶拆除产生的所有建筑垃圾、废旧钢架、板材、砖石废料进行全面归集、分类整理，统一清运离场，做到楼顶无残留杂物、废料，保持屋面整洁完好。</w:t>
            </w:r>
          </w:p>
          <w:p w14:paraId="367AB491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（二）大型落地LED广告牌拆除及复原工程</w:t>
            </w:r>
          </w:p>
          <w:p w14:paraId="6B748CF3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针对雁塔区范围内大型落地LED广告牌开展专项拆除作业，具体工作包含大型LED屏体、广告牌钢架支撑结构、外接线路、防护设施的完整拆除；广告牌混凝土/砖混基础整体挖除、破除清理。拆除及基础挖除施工全程做好周边路面、绿化、管线保护，杜绝施工破损。施工完成后，对广告牌拆除、基础破除产生的所有渣土、建材垃圾、废旧设备材料进行分类整理、全部清运。最后对基础开挖后的坑体进行分层回填、黄土夯实，精准恢复场地原有标高，平整压实地面，恢复场地原貌，无坑洼、无沉降隐患。</w:t>
            </w:r>
          </w:p>
          <w:p w14:paraId="2A4A38F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（三）违章建（构）筑物拆除及配套工程</w:t>
            </w:r>
          </w:p>
          <w:p w14:paraId="0961D8B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对项目范围内各类违规搭建、违章附属建（构）筑物进行彻底拆除，涵盖各类简易搭建、临时违建、附属围挡、违规附属设施等。拆除过程严格遵循自上而下、分层拆除原则，确保拆除彻底、无残留违建构件。同步完成拆除废料、建筑垃圾、杂物的全面清理归集，全程密闭清运处置，做到作业面场清料净。</w:t>
            </w:r>
          </w:p>
          <w:p w14:paraId="5140EBC5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（四）高层搭建设施专项拆除工程</w:t>
            </w:r>
          </w:p>
          <w:p w14:paraId="30CC56DC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针对高层建筑物外立面、屋面高空搭建设施开展拆除作业，拆除对象包含高层钢架搭建。高空拆除作业必须严格遵守高空施工安全规范，搭设安全防护设施、划定危险作业区域，做好防坠落、防扬尘、防坠物防护，杜绝高空坠物、扬尘污染、结构破损等问题。拆除物料有序下放、分类整理，全部清运离场，杜绝高空抛洒废料。</w:t>
            </w:r>
          </w:p>
          <w:p w14:paraId="260E906D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（五）场地整体恢复及垃圾处置工程</w:t>
            </w:r>
          </w:p>
          <w:p w14:paraId="3AA17FD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1. 垃圾处置：所有拆除作业产生的建筑垃圾、渣土、废旧金属、板材、砖石、杂物等，全部由供应商负责现场分类整理、打包归集，采用密闭运输车辆清运至政府指定合规垃圾消纳场地，严禁随意倾倒、遗撒、堆放，施工全程保持场地及周边道路干净整洁。</w:t>
            </w:r>
          </w:p>
          <w:p w14:paraId="7A02381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2. 场地复原：所有拆除作业点位、基础开挖点位，全部采用优质黄土分层回填、逐层夯实，严格按照原有场地标高找平压实，修复破损地面、路基，确保场地平整、压实度达标，无积水坑洼、无松散土层，符合场地原有使用标准。</w:t>
            </w:r>
          </w:p>
          <w:p w14:paraId="27D85B2D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三、限价标准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93"/>
              <w:gridCol w:w="3563"/>
              <w:gridCol w:w="637"/>
              <w:gridCol w:w="919"/>
              <w:gridCol w:w="867"/>
            </w:tblGrid>
            <w:tr w14:paraId="78C7CE8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3" w:type="dxa"/>
                  <w:vAlign w:val="center"/>
                </w:tcPr>
                <w:p w14:paraId="265A7B10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序 号</w:t>
                  </w:r>
                </w:p>
              </w:tc>
              <w:tc>
                <w:tcPr>
                  <w:tcW w:w="3563" w:type="dxa"/>
                  <w:vAlign w:val="center"/>
                </w:tcPr>
                <w:p w14:paraId="32279F03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工作内容</w:t>
                  </w:r>
                </w:p>
              </w:tc>
              <w:tc>
                <w:tcPr>
                  <w:tcW w:w="637" w:type="dxa"/>
                  <w:vAlign w:val="center"/>
                </w:tcPr>
                <w:p w14:paraId="5BB8DBD1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单位</w:t>
                  </w:r>
                </w:p>
              </w:tc>
              <w:tc>
                <w:tcPr>
                  <w:tcW w:w="919" w:type="dxa"/>
                  <w:vAlign w:val="center"/>
                </w:tcPr>
                <w:p w14:paraId="7C37D229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全费用综合单价限价（元/㎡）</w:t>
                  </w:r>
                </w:p>
              </w:tc>
              <w:tc>
                <w:tcPr>
                  <w:tcW w:w="867" w:type="dxa"/>
                  <w:vAlign w:val="center"/>
                </w:tcPr>
                <w:p w14:paraId="34356C96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备注</w:t>
                  </w:r>
                </w:p>
              </w:tc>
            </w:tr>
            <w:tr w14:paraId="445A537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3" w:type="dxa"/>
                  <w:vAlign w:val="center"/>
                </w:tcPr>
                <w:p w14:paraId="158C679D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1</w:t>
                  </w:r>
                </w:p>
              </w:tc>
              <w:tc>
                <w:tcPr>
                  <w:tcW w:w="3563" w:type="dxa"/>
                  <w:vAlign w:val="center"/>
                </w:tcPr>
                <w:p w14:paraId="0DF2ECE3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别墅区违法建设拆除-楼顶搭建、镂空搭建</w:t>
                  </w:r>
                </w:p>
              </w:tc>
              <w:tc>
                <w:tcPr>
                  <w:tcW w:w="637" w:type="dxa"/>
                  <w:vAlign w:val="center"/>
                </w:tcPr>
                <w:p w14:paraId="33EE1F24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㎡</w:t>
                  </w:r>
                </w:p>
              </w:tc>
              <w:tc>
                <w:tcPr>
                  <w:tcW w:w="919" w:type="dxa"/>
                  <w:vAlign w:val="center"/>
                </w:tcPr>
                <w:p w14:paraId="269E291D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470.00</w:t>
                  </w:r>
                </w:p>
              </w:tc>
              <w:tc>
                <w:tcPr>
                  <w:tcW w:w="867" w:type="dxa"/>
                  <w:vAlign w:val="center"/>
                </w:tcPr>
                <w:p w14:paraId="642A8B6A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建筑面积</w:t>
                  </w:r>
                </w:p>
              </w:tc>
            </w:tr>
            <w:tr w14:paraId="3C21B0D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3" w:type="dxa"/>
                  <w:vAlign w:val="center"/>
                </w:tcPr>
                <w:p w14:paraId="5143AAAE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2</w:t>
                  </w:r>
                </w:p>
              </w:tc>
              <w:tc>
                <w:tcPr>
                  <w:tcW w:w="3563" w:type="dxa"/>
                  <w:vAlign w:val="center"/>
                </w:tcPr>
                <w:p w14:paraId="26684874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大型LED落地广告牌拆除(钢结构、落地立柱显示屏）</w:t>
                  </w:r>
                </w:p>
              </w:tc>
              <w:tc>
                <w:tcPr>
                  <w:tcW w:w="637" w:type="dxa"/>
                  <w:vAlign w:val="center"/>
                </w:tcPr>
                <w:p w14:paraId="2D72980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㎡</w:t>
                  </w:r>
                </w:p>
              </w:tc>
              <w:tc>
                <w:tcPr>
                  <w:tcW w:w="919" w:type="dxa"/>
                  <w:vAlign w:val="center"/>
                </w:tcPr>
                <w:p w14:paraId="02F5415F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275.00</w:t>
                  </w:r>
                </w:p>
              </w:tc>
              <w:tc>
                <w:tcPr>
                  <w:tcW w:w="867" w:type="dxa"/>
                  <w:vAlign w:val="center"/>
                </w:tcPr>
                <w:p w14:paraId="7F71729C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正投影面积</w:t>
                  </w:r>
                </w:p>
              </w:tc>
            </w:tr>
            <w:tr w14:paraId="20BEF7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3" w:type="dxa"/>
                  <w:vAlign w:val="center"/>
                </w:tcPr>
                <w:p w14:paraId="151F078F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3</w:t>
                  </w:r>
                </w:p>
              </w:tc>
              <w:tc>
                <w:tcPr>
                  <w:tcW w:w="3563" w:type="dxa"/>
                  <w:vAlign w:val="center"/>
                </w:tcPr>
                <w:p w14:paraId="793F278C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门头牌匾、小电子屏、楼顶、楼体广告牌、广告字拆除（六层以下、六层（含）以上）</w:t>
                  </w:r>
                </w:p>
              </w:tc>
              <w:tc>
                <w:tcPr>
                  <w:tcW w:w="637" w:type="dxa"/>
                  <w:vAlign w:val="center"/>
                </w:tcPr>
                <w:p w14:paraId="4903838D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㎡</w:t>
                  </w:r>
                </w:p>
              </w:tc>
              <w:tc>
                <w:tcPr>
                  <w:tcW w:w="919" w:type="dxa"/>
                  <w:vAlign w:val="center"/>
                </w:tcPr>
                <w:p w14:paraId="49B1A544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125.00</w:t>
                  </w:r>
                </w:p>
              </w:tc>
              <w:tc>
                <w:tcPr>
                  <w:tcW w:w="867" w:type="dxa"/>
                  <w:vAlign w:val="center"/>
                </w:tcPr>
                <w:p w14:paraId="40F4F1C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广告牌为正投影面积</w:t>
                  </w:r>
                </w:p>
              </w:tc>
            </w:tr>
            <w:tr w14:paraId="5B74810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3" w:type="dxa"/>
                  <w:vAlign w:val="center"/>
                </w:tcPr>
                <w:p w14:paraId="2F587BE6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4</w:t>
                  </w:r>
                </w:p>
              </w:tc>
              <w:tc>
                <w:tcPr>
                  <w:tcW w:w="3563" w:type="dxa"/>
                  <w:vAlign w:val="center"/>
                </w:tcPr>
                <w:p w14:paraId="6446783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多层、高层、低层、地下空间、围墙侵占绿地违法建设拆除-一层搭建花园</w:t>
                  </w:r>
                </w:p>
              </w:tc>
              <w:tc>
                <w:tcPr>
                  <w:tcW w:w="637" w:type="dxa"/>
                  <w:vAlign w:val="center"/>
                </w:tcPr>
                <w:p w14:paraId="62FFAD3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㎡</w:t>
                  </w:r>
                </w:p>
              </w:tc>
              <w:tc>
                <w:tcPr>
                  <w:tcW w:w="919" w:type="dxa"/>
                  <w:vAlign w:val="center"/>
                </w:tcPr>
                <w:p w14:paraId="3B421D25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376.00</w:t>
                  </w:r>
                </w:p>
              </w:tc>
              <w:tc>
                <w:tcPr>
                  <w:tcW w:w="867" w:type="dxa"/>
                  <w:vAlign w:val="center"/>
                </w:tcPr>
                <w:p w14:paraId="0A837E9D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1"/>
                      <w:szCs w:val="21"/>
                      <w:highlight w:val="none"/>
                      <w:lang w:val="en-US" w:eastAsia="zh-CN"/>
                      <w14:textFill>
                        <w14:gradFill>
                          <w14:gsLst>
                            <w14:gs w14:pos="50000">
                              <w14:schemeClr w14:val="tx1"/>
                            </w14:gs>
                            <w14:gs w14:pos="0">
                              <w14:schemeClr w14:val="tx1">
                                <w14:lumMod w14:val="25000"/>
                                <w14:lumOff w14:val="75000"/>
                              </w14:schemeClr>
                            </w14:gs>
                            <w14:gs w14:pos="100000">
                              <w14:schemeClr w14:val="tx1">
                                <w14:lumMod w14:val="85000"/>
                              </w14:schemeClr>
                            </w14:gs>
                          </w14:gsLst>
                          <w14:lin w14:ang="5400000" w14:scaled="1"/>
                        </w14:gradFill>
                      </w14:textFill>
                    </w:rPr>
                    <w:t>（广告字为字体轮廓面积）</w:t>
                  </w:r>
                </w:p>
              </w:tc>
            </w:tr>
          </w:tbl>
          <w:p w14:paraId="537A826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四、施工要求</w:t>
            </w:r>
          </w:p>
          <w:p w14:paraId="0CE1E12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本项目高空拆除、大型构筑物拆除作业风险较高，供应商需全程落实全方位安防工作，具体要求如下：</w:t>
            </w:r>
          </w:p>
          <w:p w14:paraId="0DC6E11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1. 施工前编制专项安全拆除施工方案、高空作业专项方案及应急处置预案，报采购人审核通过后方可进场施工，严禁无方案、无防护施工。</w:t>
            </w:r>
          </w:p>
          <w:p w14:paraId="53D7686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2. 作业现场全程设置硬质围挡、安全警示标识、警戒区域，严禁无关人员、车辆进入作业区域；高空作业人员必须持证上岗，全程佩戴安全帽、安全带等防护用具，搭设安全防护架、防护网。</w:t>
            </w:r>
          </w:p>
          <w:p w14:paraId="4554B37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3. 施工全程落实扬尘治理措施，拆除、清运、回填作业同步洒水降尘，裸露垃圾、渣土全覆盖防尘网，杜绝扬尘污染。</w:t>
            </w:r>
          </w:p>
          <w:p w14:paraId="6EDB66E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4. 配备专职安全员全程现场值守，负责施工安全巡查、隐患排查、现场管控，及时处置施工安全隐患，杜绝安全事故、施工扰民、设施破损等问题。</w:t>
            </w:r>
          </w:p>
          <w:p w14:paraId="75234CF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5. 所有施工设备、运输车辆合规备案，操作人员持证上岗，运输车辆全程密闭，杜绝垃圾遗撒、尾气超标等问题。施工期间造成的周边设施损坏、环境卫生污染，由供应商全权负责修复、清理。</w:t>
            </w:r>
          </w:p>
          <w:p w14:paraId="55656CED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施工技术要求：</w:t>
            </w:r>
          </w:p>
          <w:p w14:paraId="31102DBD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1. 拆除施工：严格遵循《建筑拆除工程安全技术规范》《高空作业安全规范》等国家及地方现行标准，拆除彻底、无残留违建构件，不损坏原有建筑主体、市政管线、绿化及道路设施。</w:t>
            </w:r>
          </w:p>
          <w:p w14:paraId="61052E7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2. 垃圾清运：所有垃圾100%清运离场，分类合规处置，现场无遗留废料、渣土、杂物，作业后场地干净整洁。</w:t>
            </w:r>
          </w:p>
          <w:p w14:paraId="5D7E1BF1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3. 场地恢复：回填黄土土质均匀、无杂质，分层夯实，压实度符合场地回填标准，标高与原场地一致，地面平整无沉降、无坑洼，恢复原有场地使用功能。</w:t>
            </w:r>
          </w:p>
          <w:p w14:paraId="29E91A3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4. 文明施工：全程文明规范作业，严控施工噪音、扬尘，合理安排施工时间，减少对周边居民及环境的影响，服从采购人及属地城管、住建部门现场管控</w:t>
            </w:r>
          </w:p>
          <w:p w14:paraId="16CC87E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施工工期：</w:t>
            </w:r>
          </w:p>
          <w:p w14:paraId="56D8EE2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仿宋" w:hAnsi="仿宋" w:eastAsia="仿宋" w:cs="仿宋"/>
                <w:color w:val="C00000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ascii="仿宋" w:hAnsi="仿宋" w:eastAsia="仿宋" w:cs="仿宋"/>
                <w:color w:val="C00000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本项目施工工期自合同签订之日起一年。</w:t>
            </w:r>
          </w:p>
          <w:p w14:paraId="6BC4962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1"/>
                <w:szCs w:val="21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注：本项目招标预算1000000.00元，依据成交各综合单价据实结算至预算金额使用完时，本项目至此终止。</w:t>
            </w:r>
          </w:p>
        </w:tc>
      </w:tr>
    </w:tbl>
    <w:p w14:paraId="30289B88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BE05DE"/>
    <w:rsid w:val="74AD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2120</Words>
  <Characters>2173</Characters>
  <Lines>0</Lines>
  <Paragraphs>0</Paragraphs>
  <TotalTime>0</TotalTime>
  <ScaleCrop>false</ScaleCrop>
  <LinksUpToDate>false</LinksUpToDate>
  <CharactersWithSpaces>2185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2026-08-27T01:53:00Z</dcterms:created>
  <dc:creator>PC</dc:creator>
  <cp:lastModifiedBy>doit</cp:lastModifiedBy>
  <dcterms:modified xsi:type="dcterms:W3CDTF">2026-08-27T06:31:58Z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9F3B07CBAE4E4E088168F61ED624AF77_12</vt:lpwstr>
  </property>
</Properties>
</file>