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版本号：SXZHZC2026-CS06320260826001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违章建筑和危旧房屋拆除工程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SXZHZC2026-CS063</w:t>
      </w:r>
      <w:r>
        <w:br/>
      </w:r>
      <w:r>
        <w:br/>
      </w:r>
      <w:r>
        <w:br/>
      </w:r>
    </w:p>
    <w:p>
      <w:pPr>
        <w:pStyle w:val="null3"/>
        <w:jc w:val="center"/>
        <w:outlineLvl w:val="2"/>
      </w:pPr>
      <w:r>
        <w:rPr>
          <w:rFonts w:ascii="仿宋_GB2312" w:hAnsi="仿宋_GB2312" w:cs="仿宋_GB2312" w:eastAsia="仿宋_GB2312"/>
          <w:sz w:val="28"/>
          <w:b/>
        </w:rPr>
        <w:t>西安市雁塔区城市管理和综合执法局</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违章建筑和危旧房屋拆除工程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SXZHZC2026-CS063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违章建筑和危旧房屋拆除工程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西安市雁塔区城市管理和综合执法局违章建筑和危旧房屋拆除工程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采购包1（违章建筑和危旧房屋拆除工程）：属于专门面向中小企业采购。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2、供应商资质要求：供应商具有建设行政主管部门颁发的建筑工程施工总承包三级及以上资质，且具备有效的安全生产许可证；</w:t>
      </w:r>
    </w:p>
    <w:p>
      <w:pPr>
        <w:pStyle w:val="null3"/>
      </w:pPr>
      <w:r>
        <w:rPr>
          <w:rFonts w:ascii="仿宋_GB2312" w:hAnsi="仿宋_GB2312" w:cs="仿宋_GB2312" w:eastAsia="仿宋_GB2312"/>
        </w:rPr>
        <w:t>3、拟派项目经理资质要求：拟派项目经理具备建筑工程专业二级及以上注册建造师执业资格,具备有效的安全生产考核合格证（B证）,在本单位注册，且无在建项目(提供承诺书)；</w:t>
      </w:r>
    </w:p>
    <w:p>
      <w:pPr>
        <w:pStyle w:val="null3"/>
      </w:pPr>
      <w:r>
        <w:rPr>
          <w:rFonts w:ascii="仿宋_GB2312" w:hAnsi="仿宋_GB2312" w:cs="仿宋_GB2312" w:eastAsia="仿宋_GB2312"/>
        </w:rPr>
        <w:t>4、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029-85233885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029-85241400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以磋商文件及合同约定为准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联系人：张婉莹</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违章建筑和危旧房屋拆除工程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标的名称：违章建筑和危旧房屋拆除工程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本项目为雁塔区范围内两拆专项整治工程，主要包含各类楼顶搭建构筑物、高层搭建设施、大型落地</w:t>
            </w:r>
            <w:r>
              <w:rPr>
                <w:rFonts w:ascii="仿宋_GB2312" w:hAnsi="仿宋_GB2312" w:cs="仿宋_GB2312" w:eastAsia="仿宋_GB2312"/>
                <w:sz w:val="21"/>
              </w:rPr>
              <w:t>LED广告牌、各类违章建（构）筑物的拆除施工，同步配套实施施工安防防护、拆除垃圾分类整理、全程清运处置、场地黄土夯实填平、标高恢复及地面原貌修复等全部工作内容。项目施工范围为采购人指定的雁塔区全域作业点位，所有施工内容需符合市容环境整治、安全生产及场地复原相关标准，确保施工后场地整洁、平整，无遗留杂物、建筑垃圾及安全隐患。</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工程内容</w:t>
            </w:r>
          </w:p>
          <w:p>
            <w:pPr>
              <w:pStyle w:val="null3"/>
              <w:ind w:firstLine="420"/>
              <w:jc w:val="both"/>
            </w:pPr>
            <w:r>
              <w:rPr>
                <w:rFonts w:ascii="仿宋_GB2312" w:hAnsi="仿宋_GB2312" w:cs="仿宋_GB2312" w:eastAsia="仿宋_GB2312"/>
                <w:sz w:val="21"/>
              </w:rPr>
              <w:t>（一）楼顶搭建构筑物拆除工程</w:t>
            </w:r>
          </w:p>
          <w:p>
            <w:pPr>
              <w:pStyle w:val="null3"/>
              <w:ind w:firstLine="420"/>
              <w:jc w:val="both"/>
            </w:pPr>
            <w:r>
              <w:rPr>
                <w:rFonts w:ascii="仿宋_GB2312" w:hAnsi="仿宋_GB2312" w:cs="仿宋_GB2312" w:eastAsia="仿宋_GB2312"/>
                <w:sz w:val="21"/>
              </w:rPr>
              <w:t>针对项目范围内各类楼顶违规搭建设施进行全面拆除，拆除对象包含楼顶钢架结构、砖混结构搭建物、活动板房及各类附属搭建设施。施工需采用合规拆除工艺，杜绝暴力拆除，避免破坏建筑原有主体结构、屋面防水层及周边附属设施。拆除完成后，对楼顶拆除产生的所有建筑垃圾、废旧钢架、板材、砖石废料进行全面归集、分类整理，统一清运离场，做到楼顶无残留杂物、废料，保持屋面整洁完好。</w:t>
            </w:r>
          </w:p>
          <w:p>
            <w:pPr>
              <w:pStyle w:val="null3"/>
              <w:ind w:firstLine="420"/>
              <w:jc w:val="both"/>
            </w:pPr>
            <w:r>
              <w:rPr>
                <w:rFonts w:ascii="仿宋_GB2312" w:hAnsi="仿宋_GB2312" w:cs="仿宋_GB2312" w:eastAsia="仿宋_GB2312"/>
                <w:sz w:val="21"/>
              </w:rPr>
              <w:t>（二）大型落地</w:t>
            </w:r>
            <w:r>
              <w:rPr>
                <w:rFonts w:ascii="仿宋_GB2312" w:hAnsi="仿宋_GB2312" w:cs="仿宋_GB2312" w:eastAsia="仿宋_GB2312"/>
                <w:sz w:val="21"/>
              </w:rPr>
              <w:t>LED广告牌拆除及复原工程</w:t>
            </w:r>
          </w:p>
          <w:p>
            <w:pPr>
              <w:pStyle w:val="null3"/>
              <w:ind w:firstLine="420"/>
              <w:jc w:val="both"/>
            </w:pPr>
            <w:r>
              <w:rPr>
                <w:rFonts w:ascii="仿宋_GB2312" w:hAnsi="仿宋_GB2312" w:cs="仿宋_GB2312" w:eastAsia="仿宋_GB2312"/>
                <w:sz w:val="21"/>
              </w:rPr>
              <w:t>针对雁塔区范围内大型落地</w:t>
            </w:r>
            <w:r>
              <w:rPr>
                <w:rFonts w:ascii="仿宋_GB2312" w:hAnsi="仿宋_GB2312" w:cs="仿宋_GB2312" w:eastAsia="仿宋_GB2312"/>
                <w:sz w:val="21"/>
              </w:rPr>
              <w:t>LED广告牌开展专项拆除作业，具体工作包含大型LED屏体、广告牌钢架支撑结构、外接线路、防护设施的完整拆除；广告牌混凝土/砖混基础整体挖除、破除清理。拆除及基础挖除施工全程做好周边路面、绿化、管线保护，杜绝施工破损。施工完成后，对广告牌拆除、基础破除产生的所有渣土、建材垃圾、废旧设备材料进行分类整理、全部清运。最后对基础开挖后的坑体进行分层回填、黄土夯实，精准恢复场地原有标高，平整压实地面，恢复场地原貌，无坑洼、无沉降隐患。</w:t>
            </w:r>
          </w:p>
          <w:p>
            <w:pPr>
              <w:pStyle w:val="null3"/>
              <w:ind w:firstLine="420"/>
              <w:jc w:val="both"/>
            </w:pPr>
            <w:r>
              <w:rPr>
                <w:rFonts w:ascii="仿宋_GB2312" w:hAnsi="仿宋_GB2312" w:cs="仿宋_GB2312" w:eastAsia="仿宋_GB2312"/>
                <w:sz w:val="21"/>
              </w:rPr>
              <w:t>（三）违章建（构）筑物拆除及配套工程</w:t>
            </w:r>
          </w:p>
          <w:p>
            <w:pPr>
              <w:pStyle w:val="null3"/>
              <w:ind w:firstLine="420"/>
              <w:jc w:val="both"/>
            </w:pPr>
            <w:r>
              <w:rPr>
                <w:rFonts w:ascii="仿宋_GB2312" w:hAnsi="仿宋_GB2312" w:cs="仿宋_GB2312" w:eastAsia="仿宋_GB2312"/>
                <w:sz w:val="21"/>
              </w:rPr>
              <w:t>对项目范围内各类违规搭建、违章附属建（构）筑物进行彻底拆除，涵盖各类简易搭建、临时违建、附属围挡、违规附属设施等。拆除过程严格遵循自上而下、分层拆除原则，确保拆除彻底、无残留违建构件。同步完成拆除废料、建筑垃圾、杂物的全面清理归集，全程密闭清运处置，做到作业面场清料净。</w:t>
            </w:r>
          </w:p>
          <w:p>
            <w:pPr>
              <w:pStyle w:val="null3"/>
              <w:ind w:firstLine="420"/>
              <w:jc w:val="both"/>
            </w:pPr>
            <w:r>
              <w:rPr>
                <w:rFonts w:ascii="仿宋_GB2312" w:hAnsi="仿宋_GB2312" w:cs="仿宋_GB2312" w:eastAsia="仿宋_GB2312"/>
                <w:sz w:val="21"/>
              </w:rPr>
              <w:t>（四）高层搭建设施专项拆除工程</w:t>
            </w:r>
          </w:p>
          <w:p>
            <w:pPr>
              <w:pStyle w:val="null3"/>
              <w:ind w:firstLine="420"/>
              <w:jc w:val="both"/>
            </w:pPr>
            <w:r>
              <w:rPr>
                <w:rFonts w:ascii="仿宋_GB2312" w:hAnsi="仿宋_GB2312" w:cs="仿宋_GB2312" w:eastAsia="仿宋_GB2312"/>
                <w:sz w:val="21"/>
              </w:rPr>
              <w:t>针对高层建筑物外立面、屋面高空搭建设施开展拆除作业，拆除对象包含高层钢架搭建。高空拆除作业必须严格遵守高空施工安全规范，搭设安全防护设施、划定危险作业区域，做好防坠落、防扬尘、防坠物防护，杜绝高空坠物、扬尘污染、结构破损等问题。拆除物料有序下放、分类整理，全部清运离场，杜绝高空抛洒废料。</w:t>
            </w:r>
          </w:p>
          <w:p>
            <w:pPr>
              <w:pStyle w:val="null3"/>
              <w:ind w:firstLine="420"/>
              <w:jc w:val="both"/>
            </w:pPr>
            <w:r>
              <w:rPr>
                <w:rFonts w:ascii="仿宋_GB2312" w:hAnsi="仿宋_GB2312" w:cs="仿宋_GB2312" w:eastAsia="仿宋_GB2312"/>
                <w:sz w:val="21"/>
              </w:rPr>
              <w:t>（五）场地整体恢复及垃圾处置工程</w:t>
            </w:r>
          </w:p>
          <w:p>
            <w:pPr>
              <w:pStyle w:val="null3"/>
              <w:ind w:firstLine="420"/>
              <w:jc w:val="both"/>
            </w:pPr>
            <w:r>
              <w:rPr>
                <w:rFonts w:ascii="仿宋_GB2312" w:hAnsi="仿宋_GB2312" w:cs="仿宋_GB2312" w:eastAsia="仿宋_GB2312"/>
                <w:sz w:val="21"/>
              </w:rPr>
              <w:t>1. 垃圾处置：所有拆除作业产生的建筑垃圾、渣土、废旧金属、板材、砖石、杂物等，全部由供应商负责现场分类整理、打包归集，采用密闭运输车辆清运至政府指定合规垃圾消纳场地，严禁随意倾倒、遗撒、堆放，施工全程保持场地及周边道路干净整洁。</w:t>
            </w:r>
          </w:p>
          <w:p>
            <w:pPr>
              <w:pStyle w:val="null3"/>
              <w:ind w:firstLine="420"/>
              <w:jc w:val="both"/>
            </w:pPr>
            <w:r>
              <w:rPr>
                <w:rFonts w:ascii="仿宋_GB2312" w:hAnsi="仿宋_GB2312" w:cs="仿宋_GB2312" w:eastAsia="仿宋_GB2312"/>
                <w:sz w:val="21"/>
              </w:rPr>
              <w:t>2. 场地复原：所有拆除作业点位、基础开挖点位，全部采用优质黄土分层回填、逐层夯实，严格按照原有场地标高找平压实，修复破损地面、路基，确保场地平整、压实度达标，无积水坑洼、无松散土层，符合场地原有使用标准。</w:t>
            </w:r>
          </w:p>
          <w:p>
            <w:pPr>
              <w:pStyle w:val="null3"/>
              <w:jc w:val="both"/>
            </w:pPr>
            <w:r>
              <w:rPr>
                <w:rFonts w:ascii="仿宋_GB2312" w:hAnsi="仿宋_GB2312" w:cs="仿宋_GB2312" w:eastAsia="仿宋_GB2312"/>
                <w:sz w:val="21"/>
              </w:rPr>
              <w:t>三、限价标准</w:t>
            </w:r>
          </w:p>
          <w:tbl>
            <w:tblPr>
              <w:tblInd w:type="dxa" w:w="120"/>
              <w:tblBorders>
                <w:top w:val="none" w:color="000000" w:sz="4"/>
                <w:left w:val="none" w:color="000000" w:sz="4"/>
                <w:bottom w:val="none" w:color="000000" w:sz="4"/>
                <w:right w:val="none" w:color="000000" w:sz="4"/>
                <w:insideH w:val="none"/>
                <w:insideV w:val="none"/>
              </w:tblBorders>
            </w:tblPr>
            <w:tblGrid>
              <w:gridCol w:w="265"/>
              <w:gridCol w:w="1366"/>
              <w:gridCol w:w="242"/>
              <w:gridCol w:w="352"/>
              <w:gridCol w:w="328"/>
            </w:tblGrid>
            <w:tr>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w:t>
                  </w:r>
                  <w:r>
                    <w:rPr>
                      <w:rFonts w:ascii="仿宋_GB2312" w:hAnsi="仿宋_GB2312" w:cs="仿宋_GB2312" w:eastAsia="仿宋_GB2312"/>
                      <w:sz w:val="21"/>
                    </w:rPr>
                    <w:t>号</w:t>
                  </w:r>
                </w:p>
              </w:tc>
              <w:tc>
                <w:tcPr>
                  <w:tcW w:type="dxa" w:w="1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工作内容</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全费用综合单价限价（元</w:t>
                  </w:r>
                  <w:r>
                    <w:rPr>
                      <w:rFonts w:ascii="仿宋_GB2312" w:hAnsi="仿宋_GB2312" w:cs="仿宋_GB2312" w:eastAsia="仿宋_GB2312"/>
                      <w:sz w:val="21"/>
                    </w:rPr>
                    <w:t>/㎡）</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别墅区违法建设拆除</w:t>
                  </w:r>
                  <w:r>
                    <w:rPr>
                      <w:rFonts w:ascii="仿宋_GB2312" w:hAnsi="仿宋_GB2312" w:cs="仿宋_GB2312" w:eastAsia="仿宋_GB2312"/>
                      <w:sz w:val="21"/>
                    </w:rPr>
                    <w:t>-楼顶搭建、镂空搭建</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470.00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建筑面积</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大型</w:t>
                  </w:r>
                  <w:r>
                    <w:rPr>
                      <w:rFonts w:ascii="仿宋_GB2312" w:hAnsi="仿宋_GB2312" w:cs="仿宋_GB2312" w:eastAsia="仿宋_GB2312"/>
                      <w:sz w:val="21"/>
                    </w:rPr>
                    <w:t>LED落地广告牌拆除(钢结构、落地立柱显示屏）</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275.00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正投影面积</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门头牌匾、小电子屏、楼顶、楼体广告牌、广告字拆除（六层以下、六层（含）以上）</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125.00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广告牌为正投影面积</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多层、高层、低层、地下空间、围墙侵占绿地违法建设拆除</w:t>
                  </w:r>
                  <w:r>
                    <w:rPr>
                      <w:rFonts w:ascii="仿宋_GB2312" w:hAnsi="仿宋_GB2312" w:cs="仿宋_GB2312" w:eastAsia="仿宋_GB2312"/>
                      <w:sz w:val="21"/>
                    </w:rPr>
                    <w:t>-一层搭建花园</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376.00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（广告字为字体轮廓面积）</w:t>
                  </w:r>
                </w:p>
              </w:tc>
            </w:tr>
          </w:tbl>
          <w:p>
            <w:pPr>
              <w:pStyle w:val="null3"/>
              <w:jc w:val="both"/>
            </w:pPr>
            <w:r>
              <w:rPr>
                <w:rFonts w:ascii="仿宋_GB2312" w:hAnsi="仿宋_GB2312" w:cs="仿宋_GB2312" w:eastAsia="仿宋_GB2312"/>
                <w:sz w:val="21"/>
              </w:rPr>
              <w:t>四、施工要求</w:t>
            </w:r>
          </w:p>
          <w:p>
            <w:pPr>
              <w:pStyle w:val="null3"/>
              <w:ind w:firstLine="420"/>
              <w:jc w:val="both"/>
            </w:pPr>
            <w:r>
              <w:rPr>
                <w:rFonts w:ascii="仿宋_GB2312" w:hAnsi="仿宋_GB2312" w:cs="仿宋_GB2312" w:eastAsia="仿宋_GB2312"/>
                <w:sz w:val="21"/>
              </w:rPr>
              <w:t>本项目高空拆除、大型构筑物拆除作业风险较高，供应商需全程落实全方位安防工作，具体要求如下：</w:t>
            </w:r>
          </w:p>
          <w:p>
            <w:pPr>
              <w:pStyle w:val="null3"/>
              <w:ind w:firstLine="420"/>
              <w:jc w:val="both"/>
            </w:pPr>
            <w:r>
              <w:rPr>
                <w:rFonts w:ascii="仿宋_GB2312" w:hAnsi="仿宋_GB2312" w:cs="仿宋_GB2312" w:eastAsia="仿宋_GB2312"/>
                <w:sz w:val="21"/>
              </w:rPr>
              <w:t>1. 施工前编制专项安全拆除施工方案、高空作业专项方案及应急处置预案，报采购人审核通过后方可进场施工，严禁无方案、无防护施工。</w:t>
            </w:r>
          </w:p>
          <w:p>
            <w:pPr>
              <w:pStyle w:val="null3"/>
              <w:ind w:firstLine="420"/>
              <w:jc w:val="both"/>
            </w:pPr>
            <w:r>
              <w:rPr>
                <w:rFonts w:ascii="仿宋_GB2312" w:hAnsi="仿宋_GB2312" w:cs="仿宋_GB2312" w:eastAsia="仿宋_GB2312"/>
                <w:sz w:val="21"/>
              </w:rPr>
              <w:t>2. 作业现场全程设置硬质围挡、安全警示标识、警戒区域，严禁无关人员、车辆进入作业区域；高空作业人员必须持证上岗，全程佩戴安全帽、安全带等防护用具，搭设安全防护架、防护网。</w:t>
            </w:r>
          </w:p>
          <w:p>
            <w:pPr>
              <w:pStyle w:val="null3"/>
              <w:ind w:firstLine="420"/>
              <w:jc w:val="both"/>
            </w:pPr>
            <w:r>
              <w:rPr>
                <w:rFonts w:ascii="仿宋_GB2312" w:hAnsi="仿宋_GB2312" w:cs="仿宋_GB2312" w:eastAsia="仿宋_GB2312"/>
                <w:sz w:val="21"/>
              </w:rPr>
              <w:t>3. 施工全程落实扬尘治理措施，拆除、清运、回填作业同步洒水降尘，裸露垃圾、渣土全覆盖防尘网，杜绝扬尘污染。</w:t>
            </w:r>
          </w:p>
          <w:p>
            <w:pPr>
              <w:pStyle w:val="null3"/>
              <w:ind w:firstLine="420"/>
              <w:jc w:val="both"/>
            </w:pPr>
            <w:r>
              <w:rPr>
                <w:rFonts w:ascii="仿宋_GB2312" w:hAnsi="仿宋_GB2312" w:cs="仿宋_GB2312" w:eastAsia="仿宋_GB2312"/>
                <w:sz w:val="21"/>
              </w:rPr>
              <w:t>4. 配备专职安全员全程现场值守，负责施工安全巡查、隐患排查、现场管控，及时处置施工安全隐患，杜绝安全事故、施工扰民、设施破损等问题。</w:t>
            </w:r>
          </w:p>
          <w:p>
            <w:pPr>
              <w:pStyle w:val="null3"/>
              <w:ind w:firstLine="420"/>
              <w:jc w:val="both"/>
            </w:pPr>
            <w:r>
              <w:rPr>
                <w:rFonts w:ascii="仿宋_GB2312" w:hAnsi="仿宋_GB2312" w:cs="仿宋_GB2312" w:eastAsia="仿宋_GB2312"/>
                <w:sz w:val="21"/>
              </w:rPr>
              <w:t>5. 所有施工设备、运输车辆合规备案，操作人员持证上岗，运输车辆全程密闭，杜绝垃圾遗撒、尾气超标等问题。施工期间造成的周边设施损坏、环境卫生污染，由供应商全权负责修复、清理。</w:t>
            </w:r>
          </w:p>
          <w:p>
            <w:pPr>
              <w:pStyle w:val="null3"/>
              <w:ind w:firstLine="420"/>
              <w:jc w:val="both"/>
            </w:pPr>
            <w:r>
              <w:rPr>
                <w:rFonts w:ascii="仿宋_GB2312" w:hAnsi="仿宋_GB2312" w:cs="仿宋_GB2312" w:eastAsia="仿宋_GB2312"/>
                <w:sz w:val="21"/>
              </w:rPr>
              <w:t>施工技术要求：</w:t>
            </w:r>
          </w:p>
          <w:p>
            <w:pPr>
              <w:pStyle w:val="null3"/>
              <w:ind w:firstLine="420"/>
              <w:jc w:val="both"/>
            </w:pPr>
            <w:r>
              <w:rPr>
                <w:rFonts w:ascii="仿宋_GB2312" w:hAnsi="仿宋_GB2312" w:cs="仿宋_GB2312" w:eastAsia="仿宋_GB2312"/>
                <w:sz w:val="21"/>
              </w:rPr>
              <w:t>1. 拆除施工：严格遵循《建筑拆除工程安全技术规范》《高空作业安全规范》等国家及地方现行标准，拆除彻底、无残留违建构件，不损坏原有建筑主体、市政管线、绿化及道路设施。</w:t>
            </w:r>
          </w:p>
          <w:p>
            <w:pPr>
              <w:pStyle w:val="null3"/>
              <w:ind w:firstLine="420"/>
              <w:jc w:val="both"/>
            </w:pPr>
            <w:r>
              <w:rPr>
                <w:rFonts w:ascii="仿宋_GB2312" w:hAnsi="仿宋_GB2312" w:cs="仿宋_GB2312" w:eastAsia="仿宋_GB2312"/>
                <w:sz w:val="21"/>
              </w:rPr>
              <w:t>2. 垃圾清运：所有垃圾100%清运离场，分类合规处置，现场无遗留废料、渣土、杂物，作业后场地干净整洁。</w:t>
            </w:r>
          </w:p>
          <w:p>
            <w:pPr>
              <w:pStyle w:val="null3"/>
              <w:ind w:firstLine="420"/>
              <w:jc w:val="both"/>
            </w:pPr>
            <w:r>
              <w:rPr>
                <w:rFonts w:ascii="仿宋_GB2312" w:hAnsi="仿宋_GB2312" w:cs="仿宋_GB2312" w:eastAsia="仿宋_GB2312"/>
                <w:sz w:val="21"/>
              </w:rPr>
              <w:t>3. 场地恢复：回填黄土土质均匀、无杂质，分层夯实，压实度符合场地回填标准，标高与原场地一致，地面平整无沉降、无坑洼，恢复原有场地使用功能。</w:t>
            </w:r>
          </w:p>
          <w:p>
            <w:pPr>
              <w:pStyle w:val="null3"/>
              <w:ind w:firstLine="420"/>
              <w:jc w:val="both"/>
            </w:pPr>
            <w:r>
              <w:rPr>
                <w:rFonts w:ascii="仿宋_GB2312" w:hAnsi="仿宋_GB2312" w:cs="仿宋_GB2312" w:eastAsia="仿宋_GB2312"/>
                <w:sz w:val="21"/>
              </w:rPr>
              <w:t>4. 文明施工：全程文明规范作业，严控施工噪音、扬尘，合理安排施工时间，减少对周边居民及环境的影响，服从采购人及属地城管、住建部门现场管控</w:t>
            </w:r>
          </w:p>
          <w:p>
            <w:pPr>
              <w:pStyle w:val="null3"/>
              <w:ind w:firstLine="420"/>
              <w:jc w:val="both"/>
            </w:pPr>
            <w:r>
              <w:rPr>
                <w:rFonts w:ascii="仿宋_GB2312" w:hAnsi="仿宋_GB2312" w:cs="仿宋_GB2312" w:eastAsia="仿宋_GB2312"/>
                <w:sz w:val="21"/>
              </w:rPr>
              <w:t>施工工期：</w:t>
            </w:r>
            <w:r>
              <w:rPr>
                <w:rFonts w:ascii="仿宋_GB2312" w:hAnsi="仿宋_GB2312" w:cs="仿宋_GB2312" w:eastAsia="仿宋_GB2312"/>
                <w:sz w:val="21"/>
              </w:rPr>
              <w:t>本项目施工工期自合同签订之日起一年。</w:t>
            </w:r>
          </w:p>
          <w:p>
            <w:pPr>
              <w:pStyle w:val="null3"/>
            </w:pPr>
            <w:r>
              <w:rPr>
                <w:rFonts w:ascii="仿宋_GB2312" w:hAnsi="仿宋_GB2312" w:cs="仿宋_GB2312" w:eastAsia="仿宋_GB2312"/>
                <w:sz w:val="21"/>
              </w:rPr>
              <w:t>注：本项目招标预算1000000.00元，依据成交各综合单价据实结算至预算金额使用完时，本项目至此终止。</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3.3.2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 3.3.3本项目投标报价（总价）为各分项综合单价之和且各分项综合单价不超限价，项目实际实施结算过程中以最终各分项综合单价为准。 3.3.4文件所附已标价工程量清单受系统格式限制，无法编辑修改，各供应商无需改动该清单内容，投标时直接签章后上传。最终结算价款以成交单价结合现场实际发生工程量核算。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供应商具有建设行政主管部门颁发的建筑工程施工总承包三级及以上资质，且具备有效的安全生产许可证；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拟派项目经理具备建筑工程专业二级及以上注册建造师执业资格,具备有效的安全生产考核合格证（B证）,在本单位注册，且无在建项目(提供承诺书)；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已标价工程量清单 施工组织设计 分项报价表 中小企业声明函 技术和商务偏离表 响应文件封面 资格证明文件 业绩证明材料 残疾人福利性单位声明函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响应文件按照磋商文件要求的格式编写；响应文件内容无实质性遗漏；响应文件组成符合磋商文件要求。</w:t>
            </w:r>
          </w:p>
        </w:tc>
        <w:tc>
          <w:tcPr>
            <w:tcW w:type="dxa" w:w="1661"/>
          </w:tcPr>
          <w:p>
            <w:pPr>
              <w:pStyle w:val="null3"/>
            </w:pPr>
            <w:r>
              <w:rPr>
                <w:rFonts w:ascii="仿宋_GB2312" w:hAnsi="仿宋_GB2312" w:cs="仿宋_GB2312" w:eastAsia="仿宋_GB2312"/>
              </w:rPr>
              <w:t>已标价工程量清单 施工组织设计 分项报价表 中小企业声明函 技术和商务偏离表 响应文件封面 资格证明文件 业绩证明材料 残疾人福利性单位声明函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已标价工程量清单 施工组织设计 分项报价表 中小企业声明函 技术和商务偏离表 响应文件封面 资格证明文件 业绩证明材料 残疾人福利性单位声明函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供应商针对本项目制定的施工方案与技术措施包含：①对项目总体概况表述和管理思路②拆除部署及措施③垃圾整理清除方案④拆除恢复方案。方案合理完善的计12分，方案不完善或有缺陷（不完善或有缺陷是指：方案粗略、逻辑混乱、描述过于简单、与项目特点不匹配、凭空编造、逻辑漏洞、出现常识性错误、套用其他项目方案、存在不可能实现的夸大情形、存在不适用项目实际情况的情形）每处扣0.2分，方案缺漏项或只有标题没有实质性内容的每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方案合理完整的计12分，方案不完善或有缺陷（不完善或有缺陷是指：方案粗略、逻辑混乱、描述过于简单、与项目特点不匹配、凭空编造、逻辑漏洞、出现常识性错误、套用其他项目方案、存在不可能实现的夸大情形、存在不适用项目实际情况的情形）每处扣0.2分，方案缺漏项或只有标题没有实质性内容的每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方案全面、有效的计12分，方案不完善或有缺陷（不完善或有缺陷是指：方案粗略、逻辑混乱、描述过于简单、与项目特点不匹配、凭空编造、逻辑漏洞、出现常识性错误、套用其他项目方案、存在不可能实现的夸大情形、存在不适用项目实际情况的情形）每处扣0.2分，方案缺漏项或只有标题没有实质性内容的每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环境保护及常规建筑保护管理体系与措施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及常规建筑保护管理目标②环境保护及常规建筑保护管理机构职责分工③环境保护及常规建筑保护管理制度④环境保护及常规建筑保护保证措施。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处扣0.2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方案合理完整的计6分，方案不完善或有缺陷（不完善或有缺陷是指：方案粗略、逻辑混乱、描述过于简单、与项目特点不匹配、凭空编造、逻辑漏洞、出现常识性错误、套用其他项目方案、存在不可能实现的夸大情形、存在不适用项目实际情况的情形）每处扣0.2分，方案缺漏项或不合理的每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资源调配计划③施工机械设备配备计划。方案合理完整的计6分，方案不完善或有缺陷（不完善或有缺陷是指：方案粗略、逻辑混乱、描述过于简单、与项目特点不匹配、凭空编造、逻辑漏洞、出现常识性错误、套用其他项目方案、存在不可能实现的夸大情形、存在不适用项目实际情况的情形）每项扣0.2分，方案缺漏项或只有标题没有实质性内容的每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投标人针对本项目制定的合理化建议。①拆除过程合理化建议②垃圾清运及拆除后恢复合理化建议。合理化建议方案合理完整的计4分，方案不完善或有缺陷（不完善或有缺陷是指：方案粗略、逻辑混乱、描述过于简单、与项目特点不匹配、凭空编造、逻辑漏洞、出现常识性错误、套用其他项目方案、存在不可能实现的夸大情形、存在不适用项目实际情况的情形）每项扣0.2分，方案缺漏项或只有标题没有实质性内容的每项扣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本项目提供的服务承诺包含：①拆除过程中的相关承诺②拆除垃圾清理相关承诺③拆除后相关恢复承诺④服务响应时间⑤服务响应措施。服务承诺合理、可行的计10分，方案不完善或有缺陷（不完善或有缺陷是指：方案粗略、逻辑混乱、描述过于简单、与项目特点不匹配、凭空编造、逻辑漏洞、出现常识性错误、套用其他项目方案、存在不可能实现的夸大情形、存在不适用项目实际情况的情形）每项扣0.2分，方案缺漏项或只有标题没有实质性内容的每项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供应商自2023年1月至提交响应文件日期止（以合同签订日期为准），具有类似项目业绩的，每提供一个计2分，最多计10分（提供合同复印件并加盖供应商公章，否则不计分。）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