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AAC6A">
      <w:pPr>
        <w:pStyle w:val="10"/>
        <w:rPr>
          <w:rFonts w:hint="eastAsia" w:ascii="仿宋" w:hAnsi="仿宋" w:eastAsia="仿宋" w:cs="仿宋"/>
        </w:rPr>
      </w:pPr>
    </w:p>
    <w:p w14:paraId="674F6802">
      <w:pPr>
        <w:pStyle w:val="10"/>
        <w:rPr>
          <w:rFonts w:hint="eastAsia" w:ascii="仿宋" w:hAnsi="仿宋" w:eastAsia="仿宋" w:cs="仿宋"/>
          <w:color w:val="auto"/>
          <w:sz w:val="24"/>
          <w:szCs w:val="24"/>
        </w:rPr>
      </w:pPr>
    </w:p>
    <w:p w14:paraId="504F5CE4">
      <w:pPr>
        <w:pStyle w:val="10"/>
        <w:rPr>
          <w:rFonts w:hint="eastAsia" w:ascii="仿宋" w:hAnsi="仿宋" w:eastAsia="仿宋" w:cs="仿宋"/>
          <w:color w:val="auto"/>
          <w:highlight w:val="none"/>
          <w:lang w:val="en-US" w:eastAsia="zh-CN"/>
        </w:rPr>
      </w:pPr>
      <w:r>
        <w:rPr>
          <w:rFonts w:hint="eastAsia" w:ascii="仿宋" w:hAnsi="仿宋" w:eastAsia="仿宋" w:cs="仿宋"/>
          <w:color w:val="auto"/>
        </w:rPr>
        <w:t xml:space="preserve"> </w:t>
      </w:r>
    </w:p>
    <w:p w14:paraId="1D577663">
      <w:pPr>
        <w:pStyle w:val="3"/>
        <w:spacing w:line="360" w:lineRule="auto"/>
        <w:rPr>
          <w:rFonts w:hint="eastAsia" w:ascii="仿宋" w:hAnsi="仿宋" w:eastAsia="仿宋" w:cs="仿宋"/>
          <w:color w:val="auto"/>
          <w:highlight w:val="none"/>
          <w:lang w:val="en-US" w:eastAsia="zh-CN"/>
        </w:rPr>
      </w:pPr>
    </w:p>
    <w:p w14:paraId="7BB3AF50">
      <w:pPr>
        <w:widowControl w:val="0"/>
        <w:spacing w:line="360" w:lineRule="auto"/>
        <w:ind w:left="0" w:leftChars="0" w:firstLine="0" w:firstLineChars="0"/>
        <w:jc w:val="both"/>
        <w:rPr>
          <w:rFonts w:hint="eastAsia" w:ascii="仿宋" w:hAnsi="仿宋" w:eastAsia="仿宋" w:cs="仿宋"/>
          <w:b/>
          <w:bCs/>
          <w:color w:val="auto"/>
          <w:sz w:val="28"/>
          <w:szCs w:val="28"/>
          <w:lang w:val="en-US" w:eastAsia="zh-CN" w:bidi="ar-SA"/>
        </w:rPr>
      </w:pPr>
      <w:r>
        <w:rPr>
          <w:rFonts w:hint="eastAsia" w:ascii="仿宋" w:hAnsi="仿宋" w:eastAsia="仿宋" w:cs="仿宋"/>
          <w:b/>
          <w:bCs/>
          <w:color w:val="auto"/>
          <w:sz w:val="28"/>
          <w:szCs w:val="28"/>
          <w:lang w:val="en-US" w:eastAsia="zh-CN" w:bidi="ar-SA"/>
        </w:rPr>
        <w:t>合同编号:</w:t>
      </w:r>
    </w:p>
    <w:p w14:paraId="2526346C">
      <w:pPr>
        <w:pStyle w:val="6"/>
        <w:rPr>
          <w:rFonts w:hint="eastAsia" w:ascii="仿宋" w:hAnsi="仿宋" w:eastAsia="仿宋" w:cs="仿宋"/>
          <w:color w:val="auto"/>
          <w:lang w:val="en-US" w:eastAsia="zh-CN"/>
        </w:rPr>
      </w:pPr>
    </w:p>
    <w:p w14:paraId="7D6BAE3A">
      <w:pPr>
        <w:widowControl w:val="0"/>
        <w:ind w:left="0" w:leftChars="0" w:firstLine="0" w:firstLineChars="0"/>
        <w:jc w:val="both"/>
        <w:rPr>
          <w:rFonts w:hint="eastAsia" w:ascii="仿宋" w:hAnsi="仿宋" w:eastAsia="仿宋" w:cs="仿宋"/>
          <w:color w:val="auto"/>
          <w:sz w:val="28"/>
          <w:szCs w:val="28"/>
          <w:lang w:val="en-US" w:eastAsia="zh-CN" w:bidi="ar-SA"/>
        </w:rPr>
      </w:pPr>
    </w:p>
    <w:p w14:paraId="19528A67">
      <w:pPr>
        <w:jc w:val="center"/>
        <w:rPr>
          <w:rFonts w:hint="eastAsia" w:ascii="仿宋" w:hAnsi="仿宋" w:eastAsia="仿宋" w:cs="仿宋"/>
          <w:b/>
          <w:bCs w:val="0"/>
          <w:color w:val="auto"/>
          <w:kern w:val="0"/>
          <w:sz w:val="44"/>
          <w:szCs w:val="44"/>
          <w:lang w:val="en-US" w:eastAsia="zh-CN" w:bidi="ar-SA"/>
        </w:rPr>
      </w:pPr>
      <w:r>
        <w:rPr>
          <w:rFonts w:hint="eastAsia" w:ascii="仿宋" w:hAnsi="仿宋" w:eastAsia="仿宋" w:cs="仿宋"/>
          <w:b/>
          <w:bCs w:val="0"/>
          <w:color w:val="auto"/>
          <w:kern w:val="0"/>
          <w:sz w:val="44"/>
          <w:szCs w:val="44"/>
          <w:lang w:val="en-US" w:eastAsia="zh-CN" w:bidi="ar-SA"/>
        </w:rPr>
        <w:t>西安市雁塔区城市管理和综合执法局违章建筑和危旧房屋拆除工程</w:t>
      </w:r>
    </w:p>
    <w:p w14:paraId="02182879">
      <w:pPr>
        <w:pStyle w:val="2"/>
        <w:jc w:val="center"/>
        <w:rPr>
          <w:rFonts w:hint="eastAsia" w:ascii="仿宋" w:hAnsi="仿宋" w:eastAsia="仿宋" w:cs="仿宋"/>
          <w:b/>
          <w:bCs w:val="0"/>
          <w:color w:val="auto"/>
          <w:kern w:val="0"/>
          <w:sz w:val="44"/>
          <w:szCs w:val="44"/>
          <w:lang w:val="en-US" w:eastAsia="zh-CN"/>
        </w:rPr>
      </w:pPr>
    </w:p>
    <w:p w14:paraId="337088FB">
      <w:pPr>
        <w:pStyle w:val="2"/>
        <w:jc w:val="center"/>
        <w:rPr>
          <w:rFonts w:hint="eastAsia" w:ascii="仿宋" w:hAnsi="仿宋" w:eastAsia="仿宋" w:cs="仿宋"/>
          <w:b/>
          <w:bCs w:val="0"/>
          <w:color w:val="auto"/>
          <w:kern w:val="0"/>
          <w:sz w:val="44"/>
          <w:szCs w:val="44"/>
          <w:lang w:val="en-US" w:eastAsia="zh-CN"/>
        </w:rPr>
      </w:pPr>
      <w:r>
        <w:rPr>
          <w:rFonts w:hint="eastAsia" w:ascii="仿宋" w:hAnsi="仿宋" w:eastAsia="仿宋" w:cs="仿宋"/>
          <w:b/>
          <w:bCs w:val="0"/>
          <w:color w:val="auto"/>
          <w:kern w:val="0"/>
          <w:sz w:val="44"/>
          <w:szCs w:val="44"/>
          <w:lang w:val="en-US" w:eastAsia="zh-CN"/>
        </w:rPr>
        <w:t>（示范文本）</w:t>
      </w:r>
    </w:p>
    <w:p w14:paraId="35779BB4">
      <w:pPr>
        <w:widowControl w:val="0"/>
        <w:ind w:left="0" w:leftChars="0" w:firstLine="0" w:firstLineChars="0"/>
        <w:jc w:val="both"/>
        <w:rPr>
          <w:rFonts w:hint="eastAsia" w:ascii="仿宋" w:hAnsi="仿宋" w:eastAsia="仿宋" w:cs="仿宋"/>
          <w:color w:val="auto"/>
          <w:sz w:val="28"/>
          <w:szCs w:val="28"/>
          <w:lang w:val="en-US" w:eastAsia="zh-CN" w:bidi="ar-SA"/>
        </w:rPr>
      </w:pPr>
    </w:p>
    <w:p w14:paraId="76565FD6">
      <w:pPr>
        <w:pStyle w:val="6"/>
        <w:rPr>
          <w:rFonts w:hint="eastAsia" w:ascii="仿宋" w:hAnsi="仿宋" w:eastAsia="仿宋" w:cs="仿宋"/>
          <w:color w:val="auto"/>
          <w:lang w:val="en-US" w:eastAsia="zh-CN"/>
        </w:rPr>
      </w:pPr>
    </w:p>
    <w:p w14:paraId="44B54605">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采购人(甲方) :                              </w:t>
      </w:r>
    </w:p>
    <w:p w14:paraId="0642F144">
      <w:pPr>
        <w:ind w:firstLine="1968" w:firstLineChars="700"/>
        <w:jc w:val="left"/>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 xml:space="preserve">供应商(乙方) :                              </w:t>
      </w:r>
    </w:p>
    <w:p w14:paraId="2805AC55">
      <w:pPr>
        <w:pStyle w:val="6"/>
        <w:ind w:left="0" w:leftChars="0" w:firstLine="0" w:firstLineChars="0"/>
        <w:rPr>
          <w:rFonts w:hint="eastAsia" w:ascii="仿宋" w:hAnsi="仿宋" w:eastAsia="仿宋" w:cs="仿宋"/>
          <w:color w:val="auto"/>
        </w:rPr>
      </w:pPr>
    </w:p>
    <w:p w14:paraId="0ADD2478">
      <w:pPr>
        <w:pStyle w:val="7"/>
        <w:ind w:left="294" w:leftChars="0" w:hanging="294" w:hangingChars="105"/>
        <w:rPr>
          <w:rFonts w:hint="eastAsia"/>
          <w:color w:val="auto"/>
        </w:rPr>
      </w:pPr>
    </w:p>
    <w:p w14:paraId="6D4535A0">
      <w:pPr>
        <w:pStyle w:val="7"/>
        <w:ind w:left="294" w:leftChars="0" w:hanging="294" w:hangingChars="105"/>
        <w:rPr>
          <w:rFonts w:hint="eastAsia"/>
          <w:color w:val="auto"/>
        </w:rPr>
      </w:pPr>
    </w:p>
    <w:p w14:paraId="315BFE3B">
      <w:pPr>
        <w:bidi w:val="0"/>
        <w:rPr>
          <w:rFonts w:hint="eastAsia" w:ascii="仿宋" w:hAnsi="仿宋" w:eastAsia="仿宋" w:cs="仿宋"/>
          <w:color w:val="auto"/>
          <w:sz w:val="24"/>
        </w:rPr>
      </w:pPr>
    </w:p>
    <w:p w14:paraId="0971926C">
      <w:pPr>
        <w:bidi w:val="0"/>
        <w:ind w:firstLine="480" w:firstLineChars="200"/>
        <w:rPr>
          <w:rFonts w:hint="eastAsia" w:ascii="仿宋" w:hAnsi="仿宋" w:eastAsia="仿宋" w:cs="仿宋"/>
          <w:color w:val="auto"/>
          <w:sz w:val="24"/>
        </w:rPr>
      </w:pPr>
      <w:r>
        <w:rPr>
          <w:rFonts w:hint="eastAsia" w:ascii="仿宋" w:hAnsi="仿宋" w:eastAsia="仿宋" w:cs="仿宋"/>
          <w:color w:val="auto"/>
          <w:sz w:val="24"/>
        </w:rPr>
        <w:t>合同编号：</w:t>
      </w:r>
      <w:r>
        <w:rPr>
          <w:rFonts w:hint="eastAsia" w:ascii="仿宋" w:hAnsi="仿宋" w:eastAsia="仿宋" w:cs="仿宋"/>
          <w:color w:val="auto"/>
          <w:sz w:val="24"/>
          <w:u w:val="single"/>
          <w:lang w:val="en-US" w:eastAsia="zh-CN"/>
        </w:rPr>
        <w:t xml:space="preserve">                                             </w:t>
      </w:r>
    </w:p>
    <w:p w14:paraId="1631FDBE">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签订地点：</w:t>
      </w:r>
      <w:r>
        <w:rPr>
          <w:rFonts w:hint="eastAsia" w:ascii="仿宋" w:hAnsi="仿宋" w:eastAsia="仿宋" w:cs="仿宋"/>
          <w:color w:val="auto"/>
          <w:sz w:val="24"/>
          <w:u w:val="single"/>
        </w:rPr>
        <w:t xml:space="preserve">                                             </w:t>
      </w:r>
    </w:p>
    <w:p w14:paraId="4DBBE551">
      <w:pPr>
        <w:numPr>
          <w:ilvl w:val="0"/>
          <w:numId w:val="0"/>
        </w:numPr>
        <w:ind w:firstLine="480" w:firstLineChars="200"/>
        <w:jc w:val="left"/>
        <w:rPr>
          <w:rFonts w:hint="eastAsia" w:ascii="仿宋" w:hAnsi="仿宋" w:eastAsia="仿宋" w:cs="仿宋"/>
          <w:color w:val="auto"/>
          <w:sz w:val="24"/>
          <w:u w:val="single"/>
        </w:rPr>
      </w:pPr>
      <w:r>
        <w:rPr>
          <w:rFonts w:hint="eastAsia" w:ascii="仿宋" w:hAnsi="仿宋" w:eastAsia="仿宋" w:cs="仿宋"/>
          <w:color w:val="auto"/>
          <w:sz w:val="24"/>
        </w:rPr>
        <w:t>签订时间：</w:t>
      </w:r>
      <w:r>
        <w:rPr>
          <w:rFonts w:hint="eastAsia" w:ascii="仿宋" w:hAnsi="仿宋" w:eastAsia="仿宋" w:cs="仿宋"/>
          <w:color w:val="auto"/>
          <w:sz w:val="24"/>
          <w:u w:val="single"/>
        </w:rPr>
        <w:t xml:space="preserve">                                             </w:t>
      </w:r>
    </w:p>
    <w:p w14:paraId="0E6B7A73">
      <w:pPr>
        <w:rPr>
          <w:rFonts w:hint="eastAsia" w:ascii="仿宋" w:hAnsi="仿宋" w:eastAsia="仿宋" w:cs="仿宋"/>
          <w:color w:val="auto"/>
          <w:sz w:val="24"/>
          <w:u w:val="single"/>
        </w:rPr>
      </w:pPr>
      <w:r>
        <w:rPr>
          <w:rFonts w:hint="eastAsia" w:ascii="仿宋" w:hAnsi="仿宋" w:eastAsia="仿宋" w:cs="仿宋"/>
          <w:color w:val="auto"/>
          <w:sz w:val="24"/>
          <w:u w:val="single"/>
        </w:rPr>
        <w:br w:type="page"/>
      </w:r>
    </w:p>
    <w:p w14:paraId="75FCADCF">
      <w:pPr>
        <w:numPr>
          <w:ilvl w:val="0"/>
          <w:numId w:val="0"/>
        </w:numPr>
        <w:jc w:val="center"/>
        <w:rPr>
          <w:rFonts w:hint="eastAsia" w:ascii="宋体" w:hAnsi="宋体" w:eastAsia="宋体" w:cs="宋体"/>
          <w:b/>
          <w:color w:val="auto"/>
          <w:sz w:val="36"/>
        </w:rPr>
      </w:pPr>
      <w:r>
        <w:rPr>
          <w:rFonts w:hint="eastAsia" w:ascii="宋体" w:hAnsi="宋体" w:eastAsia="宋体" w:cs="宋体"/>
          <w:b/>
          <w:color w:val="auto"/>
          <w:sz w:val="36"/>
        </w:rPr>
        <w:t>拟签订采购合同文本</w:t>
      </w:r>
    </w:p>
    <w:p w14:paraId="473B7682">
      <w:pPr>
        <w:numPr>
          <w:ilvl w:val="0"/>
          <w:numId w:val="0"/>
        </w:numPr>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本合同为中小企业预留合同</w:t>
      </w:r>
      <w:r>
        <w:rPr>
          <w:rFonts w:hint="eastAsia" w:ascii="仿宋" w:hAnsi="仿宋" w:eastAsia="仿宋" w:cs="仿宋"/>
          <w:color w:val="auto"/>
          <w:highlight w:val="none"/>
          <w:lang w:eastAsia="zh-CN"/>
        </w:rPr>
        <w:t>）</w:t>
      </w:r>
    </w:p>
    <w:p w14:paraId="7A08F906">
      <w:pPr>
        <w:autoSpaceDE w:val="0"/>
        <w:autoSpaceDN w:val="0"/>
        <w:adjustRightInd w:val="0"/>
        <w:spacing w:line="360" w:lineRule="auto"/>
        <w:ind w:firstLine="480" w:firstLineChars="200"/>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西安市雁塔区城市管理和综合执法局</w:t>
      </w:r>
      <w:r>
        <w:rPr>
          <w:rFonts w:hint="eastAsia" w:ascii="仿宋" w:hAnsi="仿宋" w:eastAsia="仿宋" w:cs="仿宋"/>
          <w:bCs/>
          <w:color w:val="auto"/>
          <w:sz w:val="24"/>
          <w:szCs w:val="24"/>
          <w:highlight w:val="none"/>
          <w:u w:val="single"/>
          <w:lang w:val="en-US" w:eastAsia="zh-CN"/>
        </w:rPr>
        <w:t xml:space="preserve">    </w:t>
      </w:r>
    </w:p>
    <w:p w14:paraId="703B22DF">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32174277">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val="en-US" w:eastAsia="zh-CN"/>
        </w:rPr>
        <w:t>西安市雁塔区城市管理和综合执法局违章建筑和危旧房屋拆除工程</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u w:val="single"/>
          <w:lang w:eastAsia="zh-CN"/>
        </w:rPr>
        <w:t>陕西泽航项目管理有限公司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eastAsia="zh-CN"/>
        </w:rPr>
        <w:t>西安市雁塔区城市管理和综合执法局</w:t>
      </w:r>
      <w:r>
        <w:rPr>
          <w:rFonts w:hint="eastAsia" w:ascii="仿宋" w:hAnsi="仿宋" w:eastAsia="仿宋" w:cs="仿宋"/>
          <w:bCs/>
          <w:color w:val="auto"/>
          <w:sz w:val="24"/>
          <w:szCs w:val="24"/>
          <w:highlight w:val="none"/>
        </w:rPr>
        <w:t>(以下简称“甲方”)确定</w:t>
      </w:r>
      <w:r>
        <w:rPr>
          <w:rFonts w:hint="eastAsia" w:ascii="仿宋" w:hAnsi="仿宋" w:eastAsia="仿宋" w:cs="仿宋"/>
          <w:bCs/>
          <w:color w:val="auto"/>
          <w:sz w:val="24"/>
          <w:szCs w:val="24"/>
          <w:highlight w:val="none"/>
          <w:u w:val="single"/>
          <w:lang w:val="en-US" w:eastAsia="zh-CN"/>
        </w:rPr>
        <w:t xml:space="preserve">       供应商名称       </w:t>
      </w:r>
      <w:r>
        <w:rPr>
          <w:rFonts w:hint="eastAsia" w:ascii="仿宋" w:hAnsi="仿宋" w:eastAsia="仿宋" w:cs="仿宋"/>
          <w:bCs/>
          <w:color w:val="auto"/>
          <w:sz w:val="24"/>
          <w:szCs w:val="24"/>
          <w:highlight w:val="none"/>
        </w:rPr>
        <w:t>（以下简称“乙方”）为的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42CB3E37">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p w14:paraId="4579A524">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238302EE">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val="en-US" w:eastAsia="zh-CN"/>
        </w:rPr>
        <w:t>综合单价</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5CECF5E4">
      <w:pPr>
        <w:tabs>
          <w:tab w:val="center" w:pos="4153"/>
        </w:tabs>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val="en-US" w:eastAsia="zh-CN"/>
        </w:rPr>
        <w:t>各分项综合单价</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ab/>
      </w:r>
    </w:p>
    <w:p w14:paraId="5B404880">
      <w:pPr>
        <w:tabs>
          <w:tab w:val="center" w:pos="4153"/>
        </w:tabs>
        <w:autoSpaceDE w:val="0"/>
        <w:autoSpaceDN w:val="0"/>
        <w:adjustRightInd w:val="0"/>
        <w:spacing w:line="360" w:lineRule="auto"/>
        <w:ind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lang w:val="en-US" w:eastAsia="zh-CN"/>
        </w:rPr>
        <w:t>1、别墅区违法建设拆除-楼顶搭建、镂空搭建：</w:t>
      </w:r>
      <w:r>
        <w:rPr>
          <w:rFonts w:hint="eastAsia" w:ascii="仿宋" w:hAnsi="仿宋" w:eastAsia="仿宋" w:cs="仿宋"/>
          <w:bCs/>
          <w:color w:val="auto"/>
          <w:sz w:val="24"/>
          <w:szCs w:val="24"/>
          <w:highlight w:val="none"/>
          <w:u w:val="single"/>
          <w:lang w:val="en-US" w:eastAsia="zh-CN"/>
        </w:rPr>
        <w:t xml:space="preserve">         元/㎡；</w:t>
      </w:r>
    </w:p>
    <w:p w14:paraId="38D5FCBC">
      <w:pPr>
        <w:tabs>
          <w:tab w:val="center" w:pos="4153"/>
        </w:tabs>
        <w:autoSpaceDE w:val="0"/>
        <w:autoSpaceDN w:val="0"/>
        <w:adjustRightInd w:val="0"/>
        <w:spacing w:line="360" w:lineRule="auto"/>
        <w:ind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u w:val="single"/>
          <w:lang w:val="en-US" w:eastAsia="zh-CN"/>
        </w:rPr>
        <w:t>2、大型LED落地广告牌拆除(钢结构、落地立柱显示屏）：         元/㎡；</w:t>
      </w:r>
    </w:p>
    <w:p w14:paraId="5087B970">
      <w:pPr>
        <w:tabs>
          <w:tab w:val="center" w:pos="4153"/>
        </w:tabs>
        <w:autoSpaceDE w:val="0"/>
        <w:autoSpaceDN w:val="0"/>
        <w:adjustRightInd w:val="0"/>
        <w:spacing w:line="360" w:lineRule="auto"/>
        <w:ind w:firstLine="480" w:firstLineChars="200"/>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u w:val="single"/>
          <w:lang w:val="en-US" w:eastAsia="zh-CN"/>
        </w:rPr>
        <w:t>3、门头牌匾、小电子屏、楼顶、楼体广告牌、广告字拆除（六层以下、六层（含）以上）：         元/㎡；</w:t>
      </w:r>
    </w:p>
    <w:p w14:paraId="4EA58E78">
      <w:pPr>
        <w:tabs>
          <w:tab w:val="center" w:pos="4153"/>
        </w:tabs>
        <w:autoSpaceDE w:val="0"/>
        <w:autoSpaceDN w:val="0"/>
        <w:adjustRightInd w:val="0"/>
        <w:spacing w:line="360" w:lineRule="auto"/>
        <w:ind w:firstLine="480" w:firstLineChars="200"/>
        <w:rPr>
          <w:rFonts w:hint="default"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u w:val="single"/>
          <w:lang w:val="en-US" w:eastAsia="zh-CN"/>
        </w:rPr>
        <w:t>4、多层、高层、低层、地下空间、围墙侵占绿地违法建设拆除-一层搭建花园：         元/㎡。</w:t>
      </w:r>
    </w:p>
    <w:p w14:paraId="45AB3B7E">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25A039BD">
      <w:pPr>
        <w:autoSpaceDE w:val="0"/>
        <w:autoSpaceDN w:val="0"/>
        <w:adjustRightInd w:val="0"/>
        <w:spacing w:line="360" w:lineRule="auto"/>
        <w:ind w:firstLine="480" w:firstLineChars="200"/>
        <w:rPr>
          <w:rFonts w:hint="default" w:ascii="仿宋" w:hAnsi="仿宋" w:eastAsia="仿宋" w:cs="仿宋"/>
          <w:b w:val="0"/>
          <w:bCs/>
          <w:color w:val="C00000"/>
          <w:sz w:val="24"/>
          <w:szCs w:val="24"/>
          <w:highlight w:val="none"/>
          <w:lang w:val="en-US" w:eastAsia="zh-CN"/>
        </w:rPr>
      </w:pPr>
      <w:r>
        <w:rPr>
          <w:rFonts w:hint="eastAsia" w:ascii="仿宋" w:hAnsi="仿宋" w:eastAsia="仿宋" w:cs="仿宋"/>
          <w:b w:val="0"/>
          <w:bCs/>
          <w:color w:val="auto"/>
          <w:sz w:val="24"/>
          <w:szCs w:val="24"/>
          <w:highlight w:val="none"/>
          <w:u w:val="none"/>
          <w:lang w:val="en-US" w:eastAsia="zh-CN"/>
        </w:rPr>
        <w:t>竣工验收合格后成交供应商报送结算资料，经甲方核算后，依据成交各分项综合单价据实结算，最终结算金额不超过预算</w:t>
      </w:r>
      <w:r>
        <w:rPr>
          <w:rFonts w:hint="eastAsia" w:ascii="仿宋" w:hAnsi="仿宋" w:eastAsia="仿宋" w:cs="仿宋"/>
          <w:b w:val="0"/>
          <w:bCs/>
          <w:color w:val="auto"/>
          <w:sz w:val="24"/>
          <w:szCs w:val="24"/>
          <w:highlight w:val="none"/>
          <w:lang w:val="en-US" w:eastAsia="zh-CN"/>
        </w:rPr>
        <w:t>。</w:t>
      </w:r>
    </w:p>
    <w:p w14:paraId="65966176">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bookmarkStart w:id="7" w:name="_GoBack"/>
      <w:bookmarkEnd w:id="7"/>
    </w:p>
    <w:p w14:paraId="44B1232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2FC1A9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8C2BD8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（三）工程内容：</w:t>
      </w:r>
    </w:p>
    <w:p w14:paraId="37A7CD1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（四）工程承包范围：答疑以及本磋商文件规定的全部内容。文字与清单不符时，以清单为准。</w:t>
      </w:r>
    </w:p>
    <w:p w14:paraId="435B8BE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（五）质量标准：符合国家现行有关施工质量验收规范“合格”要求。</w:t>
      </w:r>
    </w:p>
    <w:p w14:paraId="3F1B676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（六）项目经理姓名：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708C7F4B">
      <w:pPr>
        <w:pStyle w:val="7"/>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5D19F24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符合国家环保等相关标准，满足施工要求。</w:t>
      </w:r>
    </w:p>
    <w:p w14:paraId="470D693E">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1AF7B94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13C6800">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5E0DD384">
      <w:pPr>
        <w:spacing w:line="360" w:lineRule="auto"/>
        <w:ind w:firstLine="480" w:firstLineChars="200"/>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3BF50B1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049DFB8E">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、对工程进度、质量进行监督检查。</w:t>
      </w:r>
    </w:p>
    <w:p w14:paraId="5254146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、组织有关单位对工程进行竣工验收。</w:t>
      </w:r>
    </w:p>
    <w:p w14:paraId="78EB7B3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、按时支付工程款。</w:t>
      </w:r>
    </w:p>
    <w:p w14:paraId="5C1663B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5BDB06F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0FE4A7F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133329C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21619B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7EEE0501">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1408242B">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、采取有效的安全保障措施，确保施工安全，包括悬挂警示标牌、装设围栏、配备安全人员等，并承担事故的全部费用和责任。</w:t>
      </w:r>
    </w:p>
    <w:p w14:paraId="1330EE0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、工程竣工后提供竣工验收技术资料及竣工图</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1F7FD2E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、已完工的项目，在交工前乙方应负责保管，清理现场达到建筑物无污染，现场无建筑垃圾。</w:t>
      </w:r>
    </w:p>
    <w:p w14:paraId="47A1257E">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、本工程不得转包。</w:t>
      </w:r>
    </w:p>
    <w:p w14:paraId="2768DB0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、乙方应在设备运行过程中，对安全隐患进行全面的不定期检查与维护，并对不按安全规程操作的施工单位及时制止，并报甲方进行处理。</w:t>
      </w:r>
    </w:p>
    <w:p w14:paraId="1609B63E">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rPr>
        <w:t>、乙方不能按合同规定的工期竣工的，应向甲方支付违约金，每逾期一日，支付合同总价款万分之二的违约金，造成甲方损失的，还应赔偿甲方损失。</w:t>
      </w:r>
    </w:p>
    <w:p w14:paraId="5CD11427">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7CC7C2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661A760D">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10A61BE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A0DADE0">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3A7E8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77F49915">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509737B3">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407EF5D8">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5F6BC8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2D8AAEE">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4FCA3C12">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574ECC3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7E3F828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1FD9BBF9">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465AC1B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39570F57">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FBE6CF1">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63BF54C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7CC8964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04D13C2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3B7B32B4">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2266E14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602BB07B">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8"/>
        <w:tblW w:w="8403" w:type="dxa"/>
        <w:jc w:val="center"/>
        <w:tblLayout w:type="fixed"/>
        <w:tblCellMar>
          <w:top w:w="0" w:type="dxa"/>
          <w:left w:w="108" w:type="dxa"/>
          <w:bottom w:w="0" w:type="dxa"/>
          <w:right w:w="108" w:type="dxa"/>
        </w:tblCellMar>
      </w:tblPr>
      <w:tblGrid>
        <w:gridCol w:w="4201"/>
        <w:gridCol w:w="4202"/>
      </w:tblGrid>
      <w:tr w14:paraId="476FF227">
        <w:tblPrEx>
          <w:tblCellMar>
            <w:top w:w="0" w:type="dxa"/>
            <w:left w:w="108" w:type="dxa"/>
            <w:bottom w:w="0" w:type="dxa"/>
            <w:right w:w="108" w:type="dxa"/>
          </w:tblCellMar>
        </w:tblPrEx>
        <w:trPr>
          <w:trHeight w:val="567" w:hRule="exact"/>
          <w:jc w:val="center"/>
        </w:trPr>
        <w:tc>
          <w:tcPr>
            <w:tcW w:w="4201" w:type="dxa"/>
            <w:noWrap/>
            <w:vAlign w:val="center"/>
          </w:tcPr>
          <w:p w14:paraId="6EA19CA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29CC40F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2CCBDA6A">
        <w:tblPrEx>
          <w:tblCellMar>
            <w:top w:w="0" w:type="dxa"/>
            <w:left w:w="108" w:type="dxa"/>
            <w:bottom w:w="0" w:type="dxa"/>
            <w:right w:w="108" w:type="dxa"/>
          </w:tblCellMar>
        </w:tblPrEx>
        <w:trPr>
          <w:trHeight w:val="567" w:hRule="exact"/>
          <w:jc w:val="center"/>
        </w:trPr>
        <w:tc>
          <w:tcPr>
            <w:tcW w:w="4201" w:type="dxa"/>
            <w:noWrap/>
            <w:vAlign w:val="center"/>
          </w:tcPr>
          <w:p w14:paraId="209C88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492DFABB">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127279CD">
        <w:tblPrEx>
          <w:tblCellMar>
            <w:top w:w="0" w:type="dxa"/>
            <w:left w:w="108" w:type="dxa"/>
            <w:bottom w:w="0" w:type="dxa"/>
            <w:right w:w="108" w:type="dxa"/>
          </w:tblCellMar>
        </w:tblPrEx>
        <w:trPr>
          <w:trHeight w:val="567" w:hRule="exact"/>
          <w:jc w:val="center"/>
        </w:trPr>
        <w:tc>
          <w:tcPr>
            <w:tcW w:w="4201" w:type="dxa"/>
            <w:noWrap/>
            <w:vAlign w:val="center"/>
          </w:tcPr>
          <w:p w14:paraId="65C7B48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789FFEB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6F517C5F">
        <w:tblPrEx>
          <w:tblCellMar>
            <w:top w:w="0" w:type="dxa"/>
            <w:left w:w="108" w:type="dxa"/>
            <w:bottom w:w="0" w:type="dxa"/>
            <w:right w:w="108" w:type="dxa"/>
          </w:tblCellMar>
        </w:tblPrEx>
        <w:trPr>
          <w:trHeight w:val="567" w:hRule="exact"/>
          <w:jc w:val="center"/>
        </w:trPr>
        <w:tc>
          <w:tcPr>
            <w:tcW w:w="4201" w:type="dxa"/>
            <w:noWrap/>
            <w:vAlign w:val="center"/>
          </w:tcPr>
          <w:p w14:paraId="1D696CBD">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1659783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38B22C2B">
        <w:tblPrEx>
          <w:tblCellMar>
            <w:top w:w="0" w:type="dxa"/>
            <w:left w:w="108" w:type="dxa"/>
            <w:bottom w:w="0" w:type="dxa"/>
            <w:right w:w="108" w:type="dxa"/>
          </w:tblCellMar>
        </w:tblPrEx>
        <w:trPr>
          <w:trHeight w:val="567" w:hRule="exact"/>
          <w:jc w:val="center"/>
        </w:trPr>
        <w:tc>
          <w:tcPr>
            <w:tcW w:w="4201" w:type="dxa"/>
            <w:noWrap/>
            <w:vAlign w:val="center"/>
          </w:tcPr>
          <w:p w14:paraId="0E3191E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586A4FB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24DE0148">
        <w:tblPrEx>
          <w:tblCellMar>
            <w:top w:w="0" w:type="dxa"/>
            <w:left w:w="108" w:type="dxa"/>
            <w:bottom w:w="0" w:type="dxa"/>
            <w:right w:w="108" w:type="dxa"/>
          </w:tblCellMar>
        </w:tblPrEx>
        <w:trPr>
          <w:trHeight w:val="567" w:hRule="exact"/>
          <w:jc w:val="center"/>
        </w:trPr>
        <w:tc>
          <w:tcPr>
            <w:tcW w:w="4201" w:type="dxa"/>
            <w:noWrap/>
            <w:vAlign w:val="center"/>
          </w:tcPr>
          <w:p w14:paraId="1D737D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5C3D45D">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B04A0D0">
        <w:tblPrEx>
          <w:tblCellMar>
            <w:top w:w="0" w:type="dxa"/>
            <w:left w:w="108" w:type="dxa"/>
            <w:bottom w:w="0" w:type="dxa"/>
            <w:right w:w="108" w:type="dxa"/>
          </w:tblCellMar>
        </w:tblPrEx>
        <w:trPr>
          <w:trHeight w:val="567" w:hRule="exact"/>
          <w:jc w:val="center"/>
        </w:trPr>
        <w:tc>
          <w:tcPr>
            <w:tcW w:w="4201" w:type="dxa"/>
            <w:noWrap/>
            <w:vAlign w:val="center"/>
          </w:tcPr>
          <w:p w14:paraId="275486E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57775C5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28B1DD23">
        <w:trPr>
          <w:trHeight w:val="567" w:hRule="exact"/>
          <w:jc w:val="center"/>
        </w:trPr>
        <w:tc>
          <w:tcPr>
            <w:tcW w:w="4201" w:type="dxa"/>
            <w:noWrap/>
            <w:vAlign w:val="center"/>
          </w:tcPr>
          <w:p w14:paraId="1AA5D7C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1D03134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65BCAC9E">
        <w:trPr>
          <w:trHeight w:val="567" w:hRule="exact"/>
          <w:jc w:val="center"/>
        </w:trPr>
        <w:tc>
          <w:tcPr>
            <w:tcW w:w="4201" w:type="dxa"/>
            <w:noWrap/>
            <w:vAlign w:val="center"/>
          </w:tcPr>
          <w:p w14:paraId="76C4979A">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474D7465">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3E0DB32E">
      <w:pPr>
        <w:pStyle w:val="5"/>
        <w:rPr>
          <w:rFonts w:hint="eastAsia"/>
          <w:color w:val="auto"/>
          <w:highlight w:val="none"/>
        </w:rPr>
      </w:pPr>
    </w:p>
    <w:p w14:paraId="2C85DDEA">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06F2D00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0" w:name="_Toc296503226"/>
      <w:bookmarkStart w:id="1" w:name="_Toc296944565"/>
      <w:bookmarkStart w:id="2" w:name="_Toc296346727"/>
      <w:bookmarkStart w:id="3" w:name="_Toc296347225"/>
      <w:bookmarkStart w:id="4" w:name="_Toc296891054"/>
      <w:bookmarkStart w:id="5" w:name="_Toc267261693"/>
      <w:bookmarkStart w:id="6" w:name="_Toc296891266"/>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0"/>
      <w:bookmarkEnd w:id="1"/>
      <w:bookmarkEnd w:id="2"/>
      <w:bookmarkEnd w:id="3"/>
      <w:bookmarkEnd w:id="4"/>
      <w:bookmarkEnd w:id="5"/>
      <w:bookmarkEnd w:id="6"/>
      <w:r>
        <w:rPr>
          <w:rFonts w:hint="eastAsia" w:ascii="仿宋" w:hAnsi="仿宋" w:eastAsia="仿宋" w:cs="仿宋"/>
          <w:color w:val="auto"/>
          <w:sz w:val="24"/>
          <w:szCs w:val="24"/>
          <w:highlight w:val="none"/>
        </w:rPr>
        <w:t xml:space="preserve">    </w:t>
      </w:r>
    </w:p>
    <w:p w14:paraId="0DD9A668">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工程质量保修书</w:t>
      </w:r>
    </w:p>
    <w:p w14:paraId="5EAC2D9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 xml:space="preserve">）： </w:t>
      </w:r>
      <w:r>
        <w:rPr>
          <w:rFonts w:hint="eastAsia" w:ascii="仿宋" w:hAnsi="仿宋" w:eastAsia="仿宋" w:cs="仿宋"/>
          <w:bCs/>
          <w:color w:val="auto"/>
          <w:sz w:val="24"/>
          <w:szCs w:val="24"/>
          <w:highlight w:val="none"/>
          <w:u w:val="single"/>
          <w:lang w:eastAsia="zh-CN"/>
        </w:rPr>
        <w:t>西安市雁塔区城市管理和综合执法局</w:t>
      </w:r>
    </w:p>
    <w:p w14:paraId="16D62DBF">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33ECB6A">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39863E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（西安市雁塔区城市管理和综合执法局</w:t>
      </w:r>
      <w:r>
        <w:rPr>
          <w:rFonts w:hint="eastAsia" w:ascii="仿宋" w:hAnsi="仿宋" w:eastAsia="仿宋" w:cs="仿宋"/>
          <w:bCs/>
          <w:color w:val="auto"/>
          <w:sz w:val="24"/>
          <w:szCs w:val="24"/>
          <w:highlight w:val="none"/>
          <w:u w:val="single"/>
          <w:lang w:val="en-US" w:eastAsia="zh-CN"/>
        </w:rPr>
        <w:t>违章建筑和危旧房屋拆除工程</w:t>
      </w:r>
      <w:r>
        <w:rPr>
          <w:rFonts w:hint="eastAsia" w:ascii="仿宋" w:hAnsi="仿宋" w:eastAsia="仿宋" w:cs="仿宋"/>
          <w:color w:val="auto"/>
          <w:sz w:val="24"/>
          <w:szCs w:val="24"/>
          <w:highlight w:val="none"/>
        </w:rPr>
        <w:t>）签订工程质量保修书。</w:t>
      </w:r>
    </w:p>
    <w:p w14:paraId="6DFFCA0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31B8FB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3CDAB9A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3AA1C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793E0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26AD1F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56A34E5D">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63662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58751D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7F0DA7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069855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14:paraId="4BC7A3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14:paraId="17C854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u w:val="single"/>
          <w:lang w:val="en-US" w:eastAsia="zh-CN"/>
        </w:rPr>
        <w:t>2年</w:t>
      </w:r>
      <w:r>
        <w:rPr>
          <w:rFonts w:hint="eastAsia" w:ascii="仿宋" w:hAnsi="仿宋" w:eastAsia="仿宋" w:cs="仿宋"/>
          <w:color w:val="auto"/>
          <w:sz w:val="24"/>
          <w:szCs w:val="24"/>
          <w:highlight w:val="none"/>
        </w:rPr>
        <w:t>。</w:t>
      </w:r>
    </w:p>
    <w:p w14:paraId="776E816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7316DB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6A8D0D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15781BD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四、质量保修责任</w:t>
      </w:r>
    </w:p>
    <w:p w14:paraId="6F4FBFE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4E5D442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14:paraId="554F49D6">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851302D">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5FE8B6C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72F0C65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6D6A2D0">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u w:val="singl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p>
    <w:p w14:paraId="4A9232B3">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E2196C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798E6B53">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38A1679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14:paraId="77B3C5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7657809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14:paraId="067CF0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14:paraId="72E244D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5FF8DB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2AF74F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0DD2241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045FD2A9">
      <w:pPr>
        <w:rPr>
          <w:rFonts w:hint="eastAsia" w:ascii="仿宋" w:hAnsi="仿宋" w:eastAsia="仿宋" w:cs="仿宋"/>
          <w:color w:val="auto"/>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7A1C7C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4422A2"/>
    <w:rsid w:val="5A294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unhideWhenUsed/>
    <w:qFormat/>
    <w:uiPriority w:val="0"/>
    <w:pPr>
      <w:spacing w:after="120"/>
    </w:p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99"/>
    <w:rPr>
      <w:rFonts w:ascii="宋体" w:hAnsi="Courier New" w:cs="宋体"/>
    </w:rPr>
  </w:style>
  <w:style w:type="paragraph" w:styleId="6">
    <w:name w:val="Body Text First Indent"/>
    <w:basedOn w:val="3"/>
    <w:next w:val="7"/>
    <w:qFormat/>
    <w:uiPriority w:val="99"/>
    <w:pPr>
      <w:ind w:firstLine="420" w:firstLineChars="100"/>
    </w:pPr>
    <w:rPr>
      <w:rFonts w:ascii="宋体"/>
    </w:rPr>
  </w:style>
  <w:style w:type="paragraph" w:styleId="7">
    <w:name w:val="Body Text First Indent 2"/>
    <w:basedOn w:val="4"/>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0">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3326</Words>
  <Characters>3350</Characters>
  <Lines>0</Lines>
  <Paragraphs>0</Paragraphs>
  <TotalTime>1</TotalTime>
  <ScaleCrop>false</ScaleCrop>
  <LinksUpToDate>false</LinksUpToDate>
  <CharactersWithSpaces>4069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2026-08-26T08:23:00Z</dcterms:created>
  <dc:creator>PC</dc:creator>
  <cp:lastModifiedBy>doit</cp:lastModifiedBy>
  <dcterms:modified xsi:type="dcterms:W3CDTF">2026-08-27T06:29:55Z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3A2D21E717D4452C83A7B9466DC06273_12</vt:lpwstr>
  </property>
</Properties>
</file>