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版本号：MZ2026-CS102020260529001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游泳中心水处理设备维保项目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MZ2026-CS1020</w:t>
      </w:r>
      <w:r>
        <w:br/>
      </w:r>
      <w:r>
        <w:br/>
      </w:r>
      <w:r>
        <w:br/>
      </w:r>
    </w:p>
    <w:p>
      <w:pPr>
        <w:pStyle w:val="null3"/>
        <w:jc w:val="center"/>
        <w:outlineLvl w:val="2"/>
      </w:pPr>
      <w:r>
        <w:rPr>
          <w:rFonts w:ascii="仿宋_GB2312" w:hAnsi="仿宋_GB2312" w:cs="仿宋_GB2312" w:eastAsia="仿宋_GB2312"/>
          <w:sz w:val="28"/>
          <w:b/>
        </w:rPr>
        <w:t>西安市游泳运动管理中心</w:t>
      </w:r>
    </w:p>
    <w:p>
      <w:pPr>
        <w:pStyle w:val="null3"/>
        <w:jc w:val="center"/>
        <w:outlineLvl w:val="2"/>
      </w:pPr>
      <w:r>
        <w:rPr>
          <w:rFonts w:ascii="仿宋_GB2312" w:hAnsi="仿宋_GB2312" w:cs="仿宋_GB2312" w:eastAsia="仿宋_GB2312"/>
          <w:sz w:val="28"/>
          <w:b/>
        </w:rPr>
        <w:t>陕西明正招标有限公司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西安市游泳运动管理中心</w:t>
      </w:r>
      <w:r>
        <w:rPr>
          <w:rFonts w:ascii="仿宋_GB2312" w:hAnsi="仿宋_GB2312" w:cs="仿宋_GB2312" w:eastAsia="仿宋_GB2312"/>
        </w:rPr>
        <w:t>委托，拟对</w:t>
      </w:r>
      <w:r>
        <w:rPr>
          <w:rFonts w:ascii="仿宋_GB2312" w:hAnsi="仿宋_GB2312" w:cs="仿宋_GB2312" w:eastAsia="仿宋_GB2312"/>
        </w:rPr>
        <w:t>游泳中心水处理设备维保项目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MZ2026-CS1020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游泳中心水处理设备维保项目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丝路体育训练基地，游泳馆总面积6250㎡,共地上3层，地下1层。运行4年来，泳池水处理设备各部位运作正常，某些设备已开始老化，但泳池设备原厂已过保，为保障泳池水处理设备运转正常，拟对地下一层游泳池水处理进行维修和保养。 根据维保需求，对游泳馆水处理系统设备进行整体维护保养周期为：一年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采购包1（游泳中心水处理设备维保项目）：属于专门面向中小企业采购。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书：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p>
      <w:pPr>
        <w:pStyle w:val="null3"/>
      </w:pPr>
      <w:r>
        <w:rPr>
          <w:rFonts w:ascii="仿宋_GB2312" w:hAnsi="仿宋_GB2312" w:cs="仿宋_GB2312" w:eastAsia="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西安市游泳运动管理中心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西安市体育训练中心科研教学楼11层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029-88060589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西安市雁塔区二环南路西段88号老三届世纪星大厦30层AB座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代洋 韩微 张玉洁 乔艳 韩乐乐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029-87551608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费管理暂行办法〉的通知》（计价格【2002】1980号）、《国家发展和改革委员会办公厅关于招标代理服务收费有关问题的通知》（发改办价格〔2003〕857号）规定收取，具体金额将在结果公告中公布。 成交单位的代理服务费交纳信息 银行户名：陕西明正招标有限公司 开户银行：招商银行股份有限公司西安白沙路支行 账 号：129907967910101 联系人：韩乐乐 联系电话：029-87551611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西安市游泳运动管理中心</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西安市游泳运动管理中心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西安市游泳运动管理中心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陕西明正招标有限公司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1.由采购人自行组织相关人员成立验收小组对项目进行验收，依据竞争性磋商文件、竞争性磋商响应文件及政府采购合同，结合考核情况和服务效果进行验收，形成验收报告。 2.其他未尽事宜应严格按照《财政部关于进一步加强政府采购需求和履约验收管理的指导意见》(财库(2016) 205号)的要求进行。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联系人：代洋</w:t>
      </w:r>
    </w:p>
    <w:p>
      <w:pPr>
        <w:pStyle w:val="null3"/>
      </w:pPr>
      <w:r>
        <w:rPr>
          <w:rFonts w:ascii="仿宋_GB2312" w:hAnsi="仿宋_GB2312" w:cs="仿宋_GB2312" w:eastAsia="仿宋_GB2312"/>
        </w:rPr>
        <w:t>联系电话：029-87551608</w:t>
      </w:r>
    </w:p>
    <w:p>
      <w:pPr>
        <w:pStyle w:val="null3"/>
      </w:pPr>
      <w:r>
        <w:rPr>
          <w:rFonts w:ascii="仿宋_GB2312" w:hAnsi="仿宋_GB2312" w:cs="仿宋_GB2312" w:eastAsia="仿宋_GB2312"/>
        </w:rPr>
        <w:t>地址：西安市雁塔区二环南路西段88号老三届世纪星大厦30层AB座</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丝路体育训练基地，游泳馆总面积6250㎡,共地上3层，地下1层。运行4年来，泳池水处理设备各部位运作正常，某些设备已开始老化，但泳池设备原厂已过保，为保障泳池水处理设备运转正常，拟对地下一层游泳池水处理进行维修和保养。 根据维保需求，对游泳馆水处理系统设备进行整体维护保养周期为：一年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游泳中心水处理设备维保项目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标的名称：游泳中心水处理设备维保项目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2"/>
            </w:pPr>
            <w:r>
              <w:rPr>
                <w:rFonts w:ascii="仿宋_GB2312" w:hAnsi="仿宋_GB2312" w:cs="仿宋_GB2312" w:eastAsia="仿宋_GB2312"/>
                <w:b/>
              </w:rPr>
              <w:t>服务要求</w:t>
            </w:r>
          </w:p>
          <w:p>
            <w:pPr>
              <w:pStyle w:val="null3"/>
              <w:ind w:firstLine="400"/>
            </w:pPr>
            <w:r>
              <w:rPr>
                <w:rFonts w:ascii="仿宋_GB2312" w:hAnsi="仿宋_GB2312" w:cs="仿宋_GB2312" w:eastAsia="仿宋_GB2312"/>
              </w:rPr>
              <w:t>1、完全满足采购</w:t>
            </w:r>
            <w:r>
              <w:rPr>
                <w:rFonts w:ascii="仿宋_GB2312" w:hAnsi="仿宋_GB2312" w:cs="仿宋_GB2312" w:eastAsia="仿宋_GB2312"/>
              </w:rPr>
              <w:t>人</w:t>
            </w:r>
            <w:r>
              <w:rPr>
                <w:rFonts w:ascii="仿宋_GB2312" w:hAnsi="仿宋_GB2312" w:cs="仿宋_GB2312" w:eastAsia="仿宋_GB2312"/>
              </w:rPr>
              <w:t>的要求。</w:t>
            </w:r>
          </w:p>
          <w:p>
            <w:pPr>
              <w:pStyle w:val="null3"/>
              <w:ind w:firstLine="400"/>
            </w:pPr>
            <w:r>
              <w:rPr>
                <w:rFonts w:ascii="仿宋_GB2312" w:hAnsi="仿宋_GB2312" w:cs="仿宋_GB2312" w:eastAsia="仿宋_GB2312"/>
              </w:rPr>
              <w:t>2、人员每次维保完毕后需和甲方、运行方进行联合测试验收，并签署维保测试记录。</w:t>
            </w:r>
          </w:p>
          <w:p>
            <w:pPr>
              <w:pStyle w:val="null3"/>
              <w:ind w:firstLine="400"/>
            </w:pPr>
            <w:r>
              <w:rPr>
                <w:rFonts w:ascii="仿宋_GB2312" w:hAnsi="仿宋_GB2312" w:cs="仿宋_GB2312" w:eastAsia="仿宋_GB2312"/>
              </w:rPr>
              <w:t>3、如甲方需对水质进行送检，则维保单位需无条件配合</w:t>
            </w:r>
          </w:p>
          <w:p>
            <w:pPr>
              <w:pStyle w:val="null3"/>
              <w:ind w:firstLine="400"/>
            </w:pPr>
            <w:r>
              <w:rPr>
                <w:rFonts w:ascii="仿宋_GB2312" w:hAnsi="仿宋_GB2312" w:cs="仿宋_GB2312" w:eastAsia="仿宋_GB2312"/>
              </w:rPr>
              <w:t>4、每年甲方组织专家组对维保的成果进行验收，维保单位需要全程配合。</w:t>
            </w:r>
          </w:p>
          <w:p>
            <w:pPr>
              <w:pStyle w:val="null3"/>
              <w:ind w:firstLine="400"/>
            </w:pPr>
            <w:r>
              <w:rPr>
                <w:rFonts w:ascii="仿宋_GB2312" w:hAnsi="仿宋_GB2312" w:cs="仿宋_GB2312" w:eastAsia="仿宋_GB2312"/>
              </w:rPr>
              <w:t>5、如出现水泵或其他主体设备应急故障，需在2小时之内处理完成并保持设备正常运行</w:t>
            </w:r>
          </w:p>
          <w:p>
            <w:pPr>
              <w:pStyle w:val="null3"/>
            </w:pPr>
            <w:r>
              <w:rPr>
                <w:rFonts w:ascii="仿宋_GB2312" w:hAnsi="仿宋_GB2312" w:cs="仿宋_GB2312" w:eastAsia="仿宋_GB2312"/>
                <w:sz w:val="21"/>
              </w:rPr>
              <w:t xml:space="preserve">      6、每月至少对所有设备维保4次及以上，产生的问题需进行及时整理并形成书面记录，留根保存</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服务内容</w:t>
            </w:r>
          </w:p>
          <w:p>
            <w:pPr>
              <w:pStyle w:val="null3"/>
              <w:ind w:firstLine="400"/>
              <w:jc w:val="both"/>
            </w:pPr>
            <w:r>
              <w:rPr>
                <w:rFonts w:ascii="仿宋_GB2312" w:hAnsi="仿宋_GB2312" w:cs="仿宋_GB2312" w:eastAsia="仿宋_GB2312"/>
                <w:sz w:val="20"/>
              </w:rPr>
              <w:t>1、 循环水泵及增压泵：每个季度对水泵进行一次检修，内容包括清洗和检查。清洗主要是刮去叶轮内外表面的水垢，特别是叶轮流道内的水垢要清除干净，因为它对水泵的流量和效率影响很大。此外还要清洗泵壳的内表面以及轴承。在清洗过程中，对水泵的各个部件顺便进行详细认真的检查，以便确定是否需要修理或更换，特别是叶轮、密封环、轴承、填料等部件要重点检查。</w:t>
            </w:r>
          </w:p>
          <w:p>
            <w:pPr>
              <w:pStyle w:val="null3"/>
              <w:ind w:firstLine="400"/>
              <w:jc w:val="both"/>
            </w:pPr>
            <w:r>
              <w:rPr>
                <w:rFonts w:ascii="仿宋_GB2312" w:hAnsi="仿宋_GB2312" w:cs="仿宋_GB2312" w:eastAsia="仿宋_GB2312"/>
                <w:sz w:val="20"/>
              </w:rPr>
              <w:t>2、 快开式毛发收集器：清理毛发滤网并检查毛发密封情况，看是否需更换密封圈，检查毛发上密封构件是否需要更换。</w:t>
            </w:r>
          </w:p>
          <w:p>
            <w:pPr>
              <w:pStyle w:val="null3"/>
              <w:ind w:firstLine="400"/>
              <w:jc w:val="both"/>
            </w:pPr>
            <w:r>
              <w:rPr>
                <w:rFonts w:ascii="仿宋_GB2312" w:hAnsi="仿宋_GB2312" w:cs="仿宋_GB2312" w:eastAsia="仿宋_GB2312"/>
                <w:sz w:val="20"/>
              </w:rPr>
              <w:t>3、 立式石英砂过滤器：1）每月清洁压力表连接管口一次，并检查排气阀的工作情况；2）每季度应检查压力表及流量计读数的准确性，并对其进行校正；3）每季度打开人孔一次，观察过滤介质与过滤器接触面的腐蚀情况及滤料的质量，观察滤料密实度，及时更换滤料；4）每年对过滤器壳体及内部配件进行检修，看是否需更换及防腐处理。5）每年根据使用情况至少更换一次滤料</w:t>
            </w:r>
          </w:p>
          <w:p>
            <w:pPr>
              <w:pStyle w:val="null3"/>
              <w:ind w:firstLine="400"/>
              <w:jc w:val="both"/>
            </w:pPr>
            <w:r>
              <w:rPr>
                <w:rFonts w:ascii="仿宋_GB2312" w:hAnsi="仿宋_GB2312" w:cs="仿宋_GB2312" w:eastAsia="仿宋_GB2312"/>
                <w:sz w:val="20"/>
              </w:rPr>
              <w:t>4、 絮凝剂投加装置、pH值调整剂投加装置、长效消毒剂投加装置、全自动水质监测仪：计量泵及水质监控仪每半年进行一次检修和调校。每年更换一次水质探头（PH/OPR/CL/浊度/温度探头）</w:t>
            </w:r>
          </w:p>
          <w:p>
            <w:pPr>
              <w:pStyle w:val="null3"/>
              <w:ind w:firstLine="400"/>
              <w:jc w:val="both"/>
            </w:pPr>
            <w:r>
              <w:rPr>
                <w:rFonts w:ascii="仿宋_GB2312" w:hAnsi="仿宋_GB2312" w:cs="仿宋_GB2312" w:eastAsia="仿宋_GB2312"/>
                <w:sz w:val="20"/>
              </w:rPr>
              <w:t>5、 中压紫外线杀菌器：灯管及线路每季度检查，自动清洗装置每季度检查测试。每年更换一次灯管</w:t>
            </w:r>
          </w:p>
          <w:p>
            <w:pPr>
              <w:pStyle w:val="null3"/>
              <w:ind w:firstLine="400"/>
              <w:jc w:val="both"/>
            </w:pPr>
            <w:r>
              <w:rPr>
                <w:rFonts w:ascii="仿宋_GB2312" w:hAnsi="仿宋_GB2312" w:cs="仿宋_GB2312" w:eastAsia="仿宋_GB2312"/>
                <w:sz w:val="20"/>
              </w:rPr>
              <w:t>6、 均衡水箱：每季度进行清洗杀菌处理。</w:t>
            </w:r>
          </w:p>
          <w:p>
            <w:pPr>
              <w:pStyle w:val="null3"/>
              <w:ind w:firstLine="400"/>
              <w:jc w:val="both"/>
            </w:pPr>
            <w:r>
              <w:rPr>
                <w:rFonts w:ascii="仿宋_GB2312" w:hAnsi="仿宋_GB2312" w:cs="仿宋_GB2312" w:eastAsia="仿宋_GB2312"/>
                <w:sz w:val="20"/>
              </w:rPr>
              <w:t>7、 板式换热器：每年对板换进行一次检修。检查垫片密封圈等是否老化需要更换，拆开清洗内部结垢。</w:t>
            </w:r>
          </w:p>
          <w:p>
            <w:pPr>
              <w:pStyle w:val="null3"/>
              <w:ind w:firstLine="400"/>
              <w:jc w:val="both"/>
            </w:pPr>
            <w:r>
              <w:rPr>
                <w:rFonts w:ascii="仿宋_GB2312" w:hAnsi="仿宋_GB2312" w:cs="仿宋_GB2312" w:eastAsia="仿宋_GB2312"/>
                <w:sz w:val="20"/>
              </w:rPr>
              <w:t>8、 温控系统：元器件每个季度检查，温度控制探头每年进行校准。</w:t>
            </w:r>
          </w:p>
          <w:p>
            <w:pPr>
              <w:pStyle w:val="null3"/>
              <w:ind w:firstLine="400"/>
              <w:jc w:val="both"/>
            </w:pPr>
            <w:r>
              <w:rPr>
                <w:rFonts w:ascii="仿宋_GB2312" w:hAnsi="仿宋_GB2312" w:cs="仿宋_GB2312" w:eastAsia="仿宋_GB2312"/>
                <w:sz w:val="20"/>
              </w:rPr>
              <w:t>9、 工艺附件：1、每个季度对管道进行检查、是否有裂纹等问题进行检查；2、阀门每个季度进行检修，根据实际情况是否需更换，防止止回阀等有老化损坏造成机房淹没等情况；3、每年进行除锈防腐处理。</w:t>
            </w:r>
          </w:p>
          <w:p>
            <w:pPr>
              <w:pStyle w:val="null3"/>
              <w:ind w:firstLine="400"/>
              <w:jc w:val="both"/>
            </w:pPr>
            <w:r>
              <w:rPr>
                <w:rFonts w:ascii="仿宋_GB2312" w:hAnsi="仿宋_GB2312" w:cs="仿宋_GB2312" w:eastAsia="仿宋_GB2312"/>
                <w:sz w:val="20"/>
              </w:rPr>
              <w:t>10、低压控制柜带PLC控制：每个季度对电气元器件进行检查、检查PLC输入输出电压是否正常、模块是否乱码。</w:t>
            </w:r>
          </w:p>
          <w:p>
            <w:pPr>
              <w:pStyle w:val="null3"/>
              <w:ind w:firstLine="400"/>
              <w:jc w:val="both"/>
            </w:pPr>
            <w:r>
              <w:rPr>
                <w:rFonts w:ascii="仿宋_GB2312" w:hAnsi="仿宋_GB2312" w:cs="仿宋_GB2312" w:eastAsia="仿宋_GB2312"/>
                <w:sz w:val="20"/>
              </w:rPr>
              <w:t>11、循环管路：1、每个季度对管道进行检查、是否有裂纹等问题进行检查2、阀门每个季度进行检修，根据实际情况是否需更换，防止止回阀等有老化损坏造成机房淹没等情况。3、每年进行除锈防腐处理。</w:t>
            </w:r>
          </w:p>
          <w:p>
            <w:pPr>
              <w:pStyle w:val="null3"/>
              <w:ind w:firstLine="400"/>
              <w:jc w:val="both"/>
            </w:pPr>
            <w:r>
              <w:rPr>
                <w:rFonts w:ascii="仿宋_GB2312" w:hAnsi="仿宋_GB2312" w:cs="仿宋_GB2312" w:eastAsia="仿宋_GB2312"/>
                <w:sz w:val="20"/>
              </w:rPr>
              <w:t>12、跳水池特殊设施系统：每月对系统进行整体检查，对里面空气压缩机、冷冻式干燥机等进行单独数据测试，PLC模块对电气元器件进行检查、检查PLC输入输出电压是否正常、模块是否乱码，最后进行整体测试，确保使用安全</w:t>
            </w:r>
          </w:p>
          <w:p>
            <w:pPr>
              <w:pStyle w:val="null3"/>
            </w:pPr>
            <w:r>
              <w:rPr>
                <w:rFonts w:ascii="仿宋_GB2312" w:hAnsi="仿宋_GB2312" w:cs="仿宋_GB2312" w:eastAsia="仿宋_GB2312"/>
                <w:sz w:val="20"/>
              </w:rPr>
              <w:t>本次维保</w:t>
            </w:r>
            <w:r>
              <w:rPr>
                <w:rFonts w:ascii="仿宋_GB2312" w:hAnsi="仿宋_GB2312" w:cs="仿宋_GB2312" w:eastAsia="仿宋_GB2312"/>
                <w:sz w:val="20"/>
              </w:rPr>
              <w:t>包括</w:t>
            </w:r>
            <w:r>
              <w:rPr>
                <w:rFonts w:ascii="仿宋_GB2312" w:hAnsi="仿宋_GB2312" w:cs="仿宋_GB2312" w:eastAsia="仿宋_GB2312"/>
                <w:sz w:val="20"/>
              </w:rPr>
              <w:t>但不限于</w:t>
            </w:r>
            <w:r>
              <w:rPr>
                <w:rFonts w:ascii="仿宋_GB2312" w:hAnsi="仿宋_GB2312" w:cs="仿宋_GB2312" w:eastAsia="仿宋_GB2312"/>
                <w:sz w:val="20"/>
              </w:rPr>
              <w:t>以上内容，</w:t>
            </w:r>
            <w:r>
              <w:rPr>
                <w:rFonts w:ascii="仿宋_GB2312" w:hAnsi="仿宋_GB2312" w:cs="仿宋_GB2312" w:eastAsia="仿宋_GB2312"/>
                <w:sz w:val="20"/>
              </w:rPr>
              <w:t>供应商还需对游泳场馆的相关配套设施进行维修保养，供应商须保证在维保期内游泳场馆各项设施正常运行。维保期内需要更换的零部件以及维修保养费用均包含在本次报价中，采购人不再承担任何费用。</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firstLine="402"/>
              <w:jc w:val="both"/>
            </w:pPr>
            <w:r>
              <w:rPr>
                <w:rFonts w:ascii="仿宋_GB2312" w:hAnsi="仿宋_GB2312" w:cs="仿宋_GB2312" w:eastAsia="仿宋_GB2312"/>
                <w:sz w:val="20"/>
                <w:b/>
              </w:rPr>
              <w:t>技术要求</w:t>
            </w:r>
          </w:p>
          <w:p>
            <w:pPr>
              <w:pStyle w:val="null3"/>
              <w:ind w:firstLine="400"/>
              <w:jc w:val="both"/>
            </w:pPr>
            <w:r>
              <w:rPr>
                <w:rFonts w:ascii="仿宋_GB2312" w:hAnsi="仿宋_GB2312" w:cs="仿宋_GB2312" w:eastAsia="仿宋_GB2312"/>
                <w:sz w:val="20"/>
              </w:rPr>
              <w:t>1、对原有老化配件进行更换</w:t>
            </w:r>
          </w:p>
          <w:p>
            <w:pPr>
              <w:pStyle w:val="null3"/>
              <w:ind w:firstLine="400"/>
              <w:jc w:val="both"/>
            </w:pPr>
            <w:r>
              <w:rPr>
                <w:rFonts w:ascii="仿宋_GB2312" w:hAnsi="仿宋_GB2312" w:cs="仿宋_GB2312" w:eastAsia="仿宋_GB2312"/>
                <w:sz w:val="20"/>
              </w:rPr>
              <w:t>2、对不影响使用，但有发生锈蚀的，进行除锈喷防腐漆处理</w:t>
            </w:r>
          </w:p>
          <w:p>
            <w:pPr>
              <w:pStyle w:val="null3"/>
              <w:ind w:firstLine="400"/>
              <w:jc w:val="both"/>
            </w:pPr>
            <w:r>
              <w:rPr>
                <w:rFonts w:ascii="仿宋_GB2312" w:hAnsi="仿宋_GB2312" w:cs="仿宋_GB2312" w:eastAsia="仿宋_GB2312"/>
                <w:sz w:val="20"/>
              </w:rPr>
              <w:t>3、对一般电子元器件时常出现故障的进行故障排查，对影响使用功能的进行拆除更换</w:t>
            </w:r>
          </w:p>
          <w:p>
            <w:pPr>
              <w:pStyle w:val="null3"/>
              <w:ind w:firstLine="400"/>
              <w:jc w:val="both"/>
            </w:pPr>
            <w:r>
              <w:rPr>
                <w:rFonts w:ascii="仿宋_GB2312" w:hAnsi="仿宋_GB2312" w:cs="仿宋_GB2312" w:eastAsia="仿宋_GB2312"/>
                <w:sz w:val="20"/>
              </w:rPr>
              <w:t>4、对产品某些部件属于损耗品的进行换新</w:t>
            </w:r>
          </w:p>
          <w:p>
            <w:pPr>
              <w:pStyle w:val="null3"/>
            </w:pPr>
            <w:r>
              <w:rPr>
                <w:rFonts w:ascii="仿宋_GB2312" w:hAnsi="仿宋_GB2312" w:cs="仿宋_GB2312" w:eastAsia="仿宋_GB2312"/>
                <w:sz w:val="20"/>
              </w:rPr>
              <w:t>上述所有需更换或维护保养后需达到设备出厂状态，</w:t>
            </w:r>
            <w:r>
              <w:rPr>
                <w:rFonts w:ascii="仿宋_GB2312" w:hAnsi="仿宋_GB2312" w:cs="仿宋_GB2312" w:eastAsia="仿宋_GB2312"/>
                <w:sz w:val="20"/>
              </w:rPr>
              <w:t>所有功能要完全符合原设计的技术标准要求</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ind w:firstLine="402"/>
              <w:jc w:val="both"/>
            </w:pPr>
            <w:r>
              <w:rPr>
                <w:rFonts w:ascii="仿宋_GB2312" w:hAnsi="仿宋_GB2312" w:cs="仿宋_GB2312" w:eastAsia="仿宋_GB2312"/>
                <w:sz w:val="20"/>
                <w:b/>
              </w:rPr>
              <w:t>成果交付要求</w:t>
            </w:r>
          </w:p>
          <w:p>
            <w:pPr>
              <w:pStyle w:val="null3"/>
              <w:ind w:firstLine="400"/>
              <w:jc w:val="both"/>
            </w:pPr>
            <w:r>
              <w:rPr>
                <w:rFonts w:ascii="仿宋_GB2312" w:hAnsi="仿宋_GB2312" w:cs="仿宋_GB2312" w:eastAsia="仿宋_GB2312"/>
                <w:sz w:val="20"/>
              </w:rPr>
              <w:t>1）、定期对设备进行巡检，检测各设备的运行参数稳定性，并提供设备运行数据</w:t>
            </w:r>
          </w:p>
          <w:p>
            <w:pPr>
              <w:pStyle w:val="null3"/>
              <w:ind w:firstLine="400"/>
              <w:jc w:val="both"/>
            </w:pPr>
            <w:r>
              <w:rPr>
                <w:rFonts w:ascii="仿宋_GB2312" w:hAnsi="仿宋_GB2312" w:cs="仿宋_GB2312" w:eastAsia="仿宋_GB2312"/>
                <w:sz w:val="20"/>
              </w:rPr>
              <w:t>2）、对设备的运行提供指导意见，形成书面意见</w:t>
            </w:r>
          </w:p>
          <w:p>
            <w:pPr>
              <w:pStyle w:val="null3"/>
              <w:ind w:firstLine="402"/>
              <w:jc w:val="both"/>
            </w:pPr>
            <w:r>
              <w:rPr>
                <w:rFonts w:ascii="仿宋_GB2312" w:hAnsi="仿宋_GB2312" w:cs="仿宋_GB2312" w:eastAsia="仿宋_GB2312"/>
                <w:sz w:val="20"/>
                <w:b/>
              </w:rPr>
              <w:t>质量验收标准或规范</w:t>
            </w:r>
          </w:p>
          <w:p>
            <w:pPr>
              <w:pStyle w:val="null3"/>
              <w:ind w:firstLine="400"/>
              <w:jc w:val="both"/>
            </w:pPr>
            <w:r>
              <w:rPr>
                <w:rFonts w:ascii="仿宋_GB2312" w:hAnsi="仿宋_GB2312" w:cs="仿宋_GB2312" w:eastAsia="仿宋_GB2312"/>
                <w:sz w:val="20"/>
              </w:rPr>
              <w:t>《游泳池给水排水工程技术规程》</w:t>
            </w:r>
            <w:r>
              <w:rPr>
                <w:rFonts w:ascii="仿宋_GB2312" w:hAnsi="仿宋_GB2312" w:cs="仿宋_GB2312" w:eastAsia="仿宋_GB2312"/>
                <w:sz w:val="20"/>
              </w:rPr>
              <w:t>CJJ 122-2017</w:t>
            </w:r>
          </w:p>
          <w:p>
            <w:pPr>
              <w:pStyle w:val="null3"/>
              <w:ind w:firstLine="400"/>
              <w:jc w:val="both"/>
            </w:pPr>
            <w:r>
              <w:rPr>
                <w:rFonts w:ascii="仿宋_GB2312" w:hAnsi="仿宋_GB2312" w:cs="仿宋_GB2312" w:eastAsia="仿宋_GB2312"/>
                <w:sz w:val="20"/>
              </w:rPr>
              <w:t>《游泳池水质标准》</w:t>
            </w:r>
            <w:r>
              <w:rPr>
                <w:rFonts w:ascii="仿宋_GB2312" w:hAnsi="仿宋_GB2312" w:cs="仿宋_GB2312" w:eastAsia="仿宋_GB2312"/>
                <w:sz w:val="20"/>
              </w:rPr>
              <w:t>CJ 244-2007</w:t>
            </w:r>
          </w:p>
          <w:p>
            <w:pPr>
              <w:pStyle w:val="null3"/>
            </w:pPr>
            <w:r>
              <w:rPr>
                <w:rFonts w:ascii="仿宋_GB2312" w:hAnsi="仿宋_GB2312" w:cs="仿宋_GB2312" w:eastAsia="仿宋_GB2312"/>
                <w:sz w:val="20"/>
              </w:rPr>
              <w:t>《建筑给水排水及采暖工程施工质量验收规范》（</w:t>
            </w:r>
            <w:r>
              <w:rPr>
                <w:rFonts w:ascii="仿宋_GB2312" w:hAnsi="仿宋_GB2312" w:cs="仿宋_GB2312" w:eastAsia="仿宋_GB2312"/>
                <w:sz w:val="20"/>
              </w:rPr>
              <w:t>GB50242-2002）</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供应商须按照本项目需求配备相应的设施设备服务于本项目。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自合同签订后一年。签订合同后1个月内对水处理设备做全面的维护和保养，其他根据采购需求按时进行定期巡检。</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1.由采购人自行组织相关人员成立验收小组对项目进行验收，依据竞争性磋商文件、竞争性磋商响应文件及政府采购合同，结合考核情况和服务效果进行验收，形成验收报告。 2.其他未尽事宜应严格按照《财政部关于进一步加强政府采购需求和履约验收管理的指导意见》(财库(2016) 205号)的要求进行。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进度款，合同签订后，项目实施满一个月，达到付款条件起30个工作日内，支付合同总金额的70.0%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进度款，项目实施结束后，达到付款条件起30个工作日内，支付合同总金额的30.0%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成交供应商须在结果公告发布之日起5个工作日内，提交响应文件一正一副（双面打印）至西安市雁塔区二环南路西段88号老三届世纪星大厦30层AB座（陕西明正招标有限公司）。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（1）供应商应具有独立承担民事责任的能力的企业法人、事业法人、其他组织或自然人，出具合法有效的营业执照等相关证明文件，自然人参与的提供其身份证明（加盖公章） （2）财务状况报告：提供经审计的2025年度财务报告或磋商前六个月内其本公司银行账户出具的资信证明或政府采购专业担保机构出具的磋商担保函（事业单位可不提供）（加盖公章）。 （3）税收缴纳证明：供应商提供截止至磋商时间前六个月任一月份的缴费凭据；依法免税的应提供相关文件证明（加盖公章） （4）社会保障资金缴纳证明：供应商提供截止至磋商时间前六个月任一月份的缴费凭据或社保机构开具的社会保险参保缴费情况证明；依法不需要缴纳社会保障资金的应提供相关文件证明（加盖公章）。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提供经审计的2025年度财务报告或磋商前六个月内其本公司银行账户出具的资信证明或政府采购专业担保机构出具的磋商担保函（事业单位可不提供）（加盖公章）。</w:t>
            </w:r>
          </w:p>
        </w:tc>
        <w:tc>
          <w:tcPr>
            <w:tcW w:type="dxa" w:w="1661"/>
          </w:tcPr>
          <w:p>
            <w:pPr>
              <w:pStyle w:val="null3"/>
            </w:pPr>
            <w:r>
              <w:rPr>
                <w:rFonts w:ascii="仿宋_GB2312" w:hAnsi="仿宋_GB2312" w:cs="仿宋_GB2312" w:eastAsia="仿宋_GB2312"/>
              </w:rPr>
              <w:t>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分项报价表.docx 特殊资格要求.docx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特殊资格要求.docx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（1）磋商报价符合唯一性要求； （2）报价均未超出采购预算和最高限价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完全响应商务条款及服务内容及服务要求条款</w:t>
            </w:r>
          </w:p>
        </w:tc>
        <w:tc>
          <w:tcPr>
            <w:tcW w:type="dxa" w:w="1661"/>
          </w:tcPr>
          <w:p>
            <w:pPr>
              <w:pStyle w:val="null3"/>
            </w:pPr>
            <w:r>
              <w:rPr>
                <w:rFonts w:ascii="仿宋_GB2312" w:hAnsi="仿宋_GB2312" w:cs="仿宋_GB2312" w:eastAsia="仿宋_GB2312"/>
              </w:rPr>
              <w:t>商务要求响应偏离表.docx 服务内容及要求响应偏离表.docx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磋商响应文件的签署、盖章合法、有效</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分项报价表.docx 特殊资格要求.docx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分项报价表.docx 特殊资格要求.docx 残疾人福利性单位声明函 业绩证明材料.docx 标的清单 商务要求响应偏离表.docx 服务内容及要求响应偏离表.docx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针对本项目有具体的服务方案，包括：①维保内容及范围、②维保流程、③维保标准与质量控制、④维修、检测工具配备、⑤年度、月度、季度、巡检、保养、检测计划、⑥老化设备针对性处置方案。 以上内容全面、合理、切实可行，无缺陷计36分；每有一项方案缺失扣6分，每存在一种缺陷扣1分，扣完为止；未提供不计分。 说明：缺陷是指： ①内容不完整、不合理； ②虽有内容但不完善详细，内容过于简略、条理不清； ③内容表述前后不一致、内容前后矛盾、或缺少关键节点； ④套用其他项目方案、非专门针对本项目或不适用项目特性的情形； 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根据供应商拟投入维保服务人员人数及人员分工方案、项目管理组织架构情况进行评审，需提供详细职员姓名、职务、资格证或专业证书，主要资历、经验情况等。 ①供应商针对本项目提供详细的人员配备方案，团队组织结构合理，职责分明，人员数量充足，且具有丰富维保经验，提供详细的证明资料，得10分； ②供应商针对本项目提供完整的人员配备方案，团队组织结构合理，职责分明，人员数量满足项目要求，且具有相关维保经验，提供部分证明资料，得7分； ③供应商提供人员配备方案，团队组织结构合理，人员数量基本满足项目需求，主要工作人员具有维保经验，提供的证明材料单一，得4分； ④供应商提供人员配备方案简单，团队人员无维保经验证明，得2分；未提供，得0分。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针对本项目拟派人员有详细合理的考核制度，内容包括：①考勤管理制度、②现场工作管理制度、③业务能力培训制度、④请销假管理制度、⑤奖惩制度。 以上内容全面、合理、切实可行，无缺陷计15分；每有一项方案缺失扣3分，每存在一种缺陷扣0.5分，扣完为止；未提供不计分。 说明：缺陷是指： ①内容不完整、不合理； ②虽有内容但不完善详细，内容过于简略、条理不清； ③内容表述前后不一致、内容前后矛盾、或缺少关键节点； ④套用其他项目方案、非专门针对本项目或不适用项目特性的情形； 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供应商须承诺：在签订合同后1个月内对水处理设备做全面的维护和保养，并在维保完毕后和运行方进行联合测试验收，签署维保测试记录。并在承诺中提供对应的进度安排和服务方案。 ①承诺内容完整，进度安排和服务方案细致完整、可行、描述条理清晰，内容齐全，有较高的针对性，得5分； ②承诺内容较为完整，进度安排和服务方案细致较完整，可基本满足项目要求，得3分； ③进度安排和服务方案细致有明显缺陷，响应时间较长，针对性较差，得1分；未提供承诺，得0分。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1、根据供应商针对本项目发生故障或事故时，提供切实可行的应急维修保障措施及人员保障方案进行评审。 ①针对各类突发事件制定切实可行的应急预案措施和应急演练方案，方案细致完整、可行、描述条理清晰，内容齐全，有较高的针对性，得6分； ②应急预案措施方案较完整，可基本满足项目要求，得3分； ③应急预案措施方案有明显缺陷，响应时间较长，针对性较差，得1分；未提供，得0分。 2、对于业主的服务通知，维保期间出现的重要赛事或活动等，维保单位可提供24小时抢修、检测响应服务，得3分，需提供承诺函，未提供，得0分。（注：需明确紧急联系人员名单、值班表及应急通讯，若仅提供承诺函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提供自2023年1月1日至今体育场馆游泳池水处理系统维保业绩证明材料，每提供一份完整的业绩证明材料得2份，满分为10分。 （时间以合同签订时间为准，提供合同复印件和对应项目任意1张发票并加盖供应商公章，证明材料不提供或提供不全的不得分）。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详见附件：服务内容及要求响应偏离表.docx</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