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版本号：XBZB-SE20260806-12620260817001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西安市人影作业业务平台及作业设备维保项目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XBZB-SE20260806-126</w:t>
      </w:r>
      <w:r>
        <w:br/>
      </w:r>
      <w:r>
        <w:br/>
      </w:r>
      <w:r>
        <w:br/>
      </w:r>
    </w:p>
    <w:p>
      <w:pPr>
        <w:pStyle w:val="null3"/>
        <w:jc w:val="center"/>
        <w:outlineLvl w:val="2"/>
      </w:pPr>
      <w:r>
        <w:rPr>
          <w:rFonts w:ascii="仿宋_GB2312" w:hAnsi="仿宋_GB2312" w:cs="仿宋_GB2312" w:eastAsia="仿宋_GB2312"/>
          <w:sz w:val="28"/>
          <w:b/>
        </w:rPr>
        <w:t>西安市气象局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西安市气象局</w:t>
      </w:r>
      <w:r>
        <w:rPr>
          <w:rFonts w:ascii="仿宋_GB2312" w:hAnsi="仿宋_GB2312" w:cs="仿宋_GB2312" w:eastAsia="仿宋_GB2312"/>
        </w:rPr>
        <w:t>委托，拟对</w:t>
      </w:r>
      <w:r>
        <w:rPr>
          <w:rFonts w:ascii="仿宋_GB2312" w:hAnsi="仿宋_GB2312" w:cs="仿宋_GB2312" w:eastAsia="仿宋_GB2312"/>
        </w:rPr>
        <w:t>西安市人影作业业务平台及作业设备维保项目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XBZB-SE20260806-126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西安市人影作业业务平台及作业设备维保项目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西安市人影作业业务平台及作业设备维保</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采购包1（西安市人影作业业务平台及作业设备维保项目）：属于专门面向小微企业采购。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1、法定代表人证明书或者授权委托书：法定代表人参加开标时，提供法定代表人证明书；授权代表参加开标时，提供法定代表人授权书；非法人单位参照执行。</w:t>
      </w:r>
    </w:p>
    <w:p>
      <w:pPr>
        <w:pStyle w:val="null3"/>
      </w:pPr>
      <w:r>
        <w:rPr>
          <w:rFonts w:ascii="仿宋_GB2312" w:hAnsi="仿宋_GB2312" w:cs="仿宋_GB2312" w:eastAsia="仿宋_GB2312"/>
        </w:rPr>
        <w:t>2、信用记录：供应商未被“信用中国”网站（www.creditchina.gov.cn）列入失信被执行人、重大税收违法失信主体名单，未被中国政府采购网（www.ccgp.gov.cn）列入政府采购严重违法失信行为记录名单。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3、不接受联合体：承诺并进行电子签章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02986251034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张圆、王龙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15202924802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西安市气象局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西安市气象局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验收依据：合同文本、国内相应的标准、规范及采购文件、响应文件、承诺等。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联系人：张圆、王龙</w:t>
      </w:r>
    </w:p>
    <w:p>
      <w:pPr>
        <w:pStyle w:val="null3"/>
      </w:pPr>
      <w:r>
        <w:rPr>
          <w:rFonts w:ascii="仿宋_GB2312" w:hAnsi="仿宋_GB2312" w:cs="仿宋_GB2312" w:eastAsia="仿宋_GB2312"/>
        </w:rPr>
        <w:t>联系电话：15202924802</w:t>
      </w:r>
    </w:p>
    <w:p>
      <w:pPr>
        <w:pStyle w:val="null3"/>
      </w:pPr>
      <w:r>
        <w:rPr>
          <w:rFonts w:ascii="仿宋_GB2312" w:hAnsi="仿宋_GB2312" w:cs="仿宋_GB2312" w:eastAsia="仿宋_GB2312"/>
        </w:rPr>
        <w:t>地址：陕西省西安市未央区西派中心写字楼C座1单元10层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西安市人影作业业务平台及作业设备维保</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西安市人影作业业务平台、配套设施及作业设备维保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标的名称：西安市人影作业业务平台、配套设施及作业设备维保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项目名称</w:t>
            </w:r>
          </w:p>
          <w:p>
            <w:pPr>
              <w:pStyle w:val="null3"/>
            </w:pPr>
            <w:r>
              <w:rPr>
                <w:rFonts w:ascii="仿宋_GB2312" w:hAnsi="仿宋_GB2312" w:cs="仿宋_GB2312" w:eastAsia="仿宋_GB2312"/>
              </w:rPr>
              <w:t>西安市人影作业业务平台及作业设备维保项目</w:t>
            </w:r>
          </w:p>
          <w:p>
            <w:pPr>
              <w:pStyle w:val="null3"/>
            </w:pPr>
            <w:r>
              <w:rPr>
                <w:rFonts w:ascii="仿宋_GB2312" w:hAnsi="仿宋_GB2312" w:cs="仿宋_GB2312" w:eastAsia="仿宋_GB2312"/>
              </w:rPr>
              <w:t>二、维保工作目标</w:t>
            </w:r>
          </w:p>
          <w:p>
            <w:pPr>
              <w:pStyle w:val="null3"/>
            </w:pPr>
            <w:r>
              <w:rPr>
                <w:rFonts w:ascii="仿宋_GB2312" w:hAnsi="仿宋_GB2312" w:cs="仿宋_GB2312" w:eastAsia="仿宋_GB2312"/>
              </w:rPr>
              <w:t>1.人影作业业务平台。系统全年可用率≥99.8%，气象数据、设备状态、作业指令同步无偏差，无数据丢失或指令误发。故障响应与修复时间≤120分钟。</w:t>
            </w:r>
          </w:p>
          <w:p>
            <w:pPr>
              <w:pStyle w:val="null3"/>
            </w:pPr>
            <w:r>
              <w:rPr>
                <w:rFonts w:ascii="仿宋_GB2312" w:hAnsi="仿宋_GB2312" w:cs="仿宋_GB2312" w:eastAsia="仿宋_GB2312"/>
              </w:rPr>
              <w:t>2.人影业务平台配套设施，全年365天正常运转，确保业务平台正常运行，故障响应与修复时间≤90分钟。</w:t>
            </w:r>
          </w:p>
          <w:p>
            <w:pPr>
              <w:pStyle w:val="null3"/>
            </w:pPr>
            <w:r>
              <w:rPr>
                <w:rFonts w:ascii="仿宋_GB2312" w:hAnsi="仿宋_GB2312" w:cs="仿宋_GB2312" w:eastAsia="仿宋_GB2312"/>
              </w:rPr>
              <w:t>2.人影作业设备。火箭架作业启动成功率100%，烟炉点火成功率100%，故障响应与修复时间≤60分钟。</w:t>
            </w:r>
          </w:p>
          <w:p>
            <w:pPr>
              <w:pStyle w:val="null3"/>
            </w:pPr>
            <w:r>
              <w:rPr>
                <w:rFonts w:ascii="仿宋_GB2312" w:hAnsi="仿宋_GB2312" w:cs="仿宋_GB2312" w:eastAsia="仿宋_GB2312"/>
              </w:rPr>
              <w:t>三、维保工作内容</w:t>
            </w:r>
          </w:p>
          <w:p>
            <w:pPr>
              <w:pStyle w:val="null3"/>
            </w:pPr>
            <w:r>
              <w:rPr>
                <w:rFonts w:ascii="仿宋_GB2312" w:hAnsi="仿宋_GB2312" w:cs="仿宋_GB2312" w:eastAsia="仿宋_GB2312"/>
              </w:rPr>
              <w:t>1.人影作业业务平台的作业调度、数据管理等。</w:t>
            </w:r>
          </w:p>
          <w:p>
            <w:pPr>
              <w:pStyle w:val="null3"/>
            </w:pPr>
            <w:r>
              <w:rPr>
                <w:rFonts w:ascii="仿宋_GB2312" w:hAnsi="仿宋_GB2312" w:cs="仿宋_GB2312" w:eastAsia="仿宋_GB2312"/>
              </w:rPr>
              <w:t>2.人影作业业务平台的供电、UPS、空调等配套设施。</w:t>
            </w:r>
          </w:p>
          <w:p>
            <w:pPr>
              <w:pStyle w:val="null3"/>
            </w:pPr>
            <w:r>
              <w:rPr>
                <w:rFonts w:ascii="仿宋_GB2312" w:hAnsi="仿宋_GB2312" w:cs="仿宋_GB2312" w:eastAsia="仿宋_GB2312"/>
              </w:rPr>
              <w:t>3.人影作业设备是指全市人影作业点的火箭架、地面烟炉的维护保障。</w:t>
            </w:r>
          </w:p>
          <w:p>
            <w:pPr>
              <w:pStyle w:val="null3"/>
            </w:pPr>
            <w:r>
              <w:rPr>
                <w:rFonts w:ascii="仿宋_GB2312" w:hAnsi="仿宋_GB2312" w:cs="仿宋_GB2312" w:eastAsia="仿宋_GB2312"/>
              </w:rPr>
              <w:t>四、维保具体要求</w:t>
            </w:r>
          </w:p>
          <w:p>
            <w:pPr>
              <w:pStyle w:val="null3"/>
            </w:pPr>
            <w:r>
              <w:rPr>
                <w:rFonts w:ascii="仿宋_GB2312" w:hAnsi="仿宋_GB2312" w:cs="仿宋_GB2312" w:eastAsia="仿宋_GB2312"/>
              </w:rPr>
              <w:t>1.业务平台维保</w:t>
            </w:r>
          </w:p>
          <w:p>
            <w:pPr>
              <w:pStyle w:val="null3"/>
            </w:pPr>
            <w:r>
              <w:rPr>
                <w:rFonts w:ascii="仿宋_GB2312" w:hAnsi="仿宋_GB2312" w:cs="仿宋_GB2312" w:eastAsia="仿宋_GB2312"/>
              </w:rPr>
              <w:t>对人影作业指挥中心作业系统进行日常维护，保障其设备正常运转，对有特殊要求的设备需不断电、不断网全天候</w:t>
            </w:r>
            <w:r>
              <w:rPr>
                <w:rFonts w:ascii="仿宋_GB2312" w:hAnsi="仿宋_GB2312" w:cs="仿宋_GB2312" w:eastAsia="仿宋_GB2312"/>
              </w:rPr>
              <w:t>24小时正常运转。并24小时进行安全运行监控。</w:t>
            </w:r>
          </w:p>
          <w:p>
            <w:pPr>
              <w:pStyle w:val="null3"/>
            </w:pPr>
            <w:r>
              <w:rPr>
                <w:rFonts w:ascii="仿宋_GB2312" w:hAnsi="仿宋_GB2312" w:cs="仿宋_GB2312" w:eastAsia="仿宋_GB2312"/>
              </w:rPr>
              <w:t>2.业务平台配套设施维保</w:t>
            </w:r>
          </w:p>
          <w:p>
            <w:pPr>
              <w:pStyle w:val="null3"/>
            </w:pPr>
            <w:r>
              <w:rPr>
                <w:rFonts w:ascii="仿宋_GB2312" w:hAnsi="仿宋_GB2312" w:cs="仿宋_GB2312" w:eastAsia="仿宋_GB2312"/>
              </w:rPr>
              <w:t>（</w:t>
            </w:r>
            <w:r>
              <w:rPr>
                <w:rFonts w:ascii="仿宋_GB2312" w:hAnsi="仿宋_GB2312" w:cs="仿宋_GB2312" w:eastAsia="仿宋_GB2312"/>
              </w:rPr>
              <w:t>1）供电系统。每日查电压（220V±10%）、配电柜无异常声响/过热；每月紧固接线、清灰；季度测防雷接地（≤4Ω）；年度全负荷检测，换超8年断路器。</w:t>
            </w:r>
          </w:p>
          <w:p>
            <w:pPr>
              <w:pStyle w:val="null3"/>
            </w:pPr>
            <w:r>
              <w:rPr>
                <w:rFonts w:ascii="仿宋_GB2312" w:hAnsi="仿宋_GB2312" w:cs="仿宋_GB2312" w:eastAsia="仿宋_GB2312"/>
              </w:rPr>
              <w:t>（</w:t>
            </w:r>
            <w:r>
              <w:rPr>
                <w:rFonts w:ascii="仿宋_GB2312" w:hAnsi="仿宋_GB2312" w:cs="仿宋_GB2312" w:eastAsia="仿宋_GB2312"/>
              </w:rPr>
              <w:t>2） UPS系统。每日看显示屏（电量≥95%、无报警），查主机无漏液/异响。每月测切换功能；季度查电池电压（12V电池13.0-13.8V）；年度放电测试，换衰减超20%电池。</w:t>
            </w:r>
          </w:p>
          <w:p>
            <w:pPr>
              <w:pStyle w:val="null3"/>
            </w:pPr>
            <w:r>
              <w:rPr>
                <w:rFonts w:ascii="仿宋_GB2312" w:hAnsi="仿宋_GB2312" w:cs="仿宋_GB2312" w:eastAsia="仿宋_GB2312"/>
              </w:rPr>
              <w:t>（</w:t>
            </w:r>
            <w:r>
              <w:rPr>
                <w:rFonts w:ascii="仿宋_GB2312" w:hAnsi="仿宋_GB2312" w:cs="仿宋_GB2312" w:eastAsia="仿宋_GB2312"/>
              </w:rPr>
              <w:t>3）中央空调系统。每日查温湿度，无漏水/异响；每月清滤网；季度测制冷/制热精度（偏差≤1℃）；年度清蒸发器，换超5年易损件。</w:t>
            </w:r>
          </w:p>
          <w:p>
            <w:pPr>
              <w:pStyle w:val="null3"/>
            </w:pPr>
            <w:r>
              <w:rPr>
                <w:rFonts w:ascii="仿宋_GB2312" w:hAnsi="仿宋_GB2312" w:cs="仿宋_GB2312" w:eastAsia="仿宋_GB2312"/>
              </w:rPr>
              <w:t>3.人影作业设备维保</w:t>
            </w:r>
          </w:p>
          <w:p>
            <w:pPr>
              <w:pStyle w:val="null3"/>
            </w:pPr>
            <w:r>
              <w:rPr>
                <w:rFonts w:ascii="仿宋_GB2312" w:hAnsi="仿宋_GB2312" w:cs="仿宋_GB2312" w:eastAsia="仿宋_GB2312"/>
              </w:rPr>
              <w:t>（</w:t>
            </w:r>
            <w:r>
              <w:rPr>
                <w:rFonts w:ascii="仿宋_GB2312" w:hAnsi="仿宋_GB2312" w:cs="仿宋_GB2312" w:eastAsia="仿宋_GB2312"/>
              </w:rPr>
              <w:t>1）火箭发射架维保。</w:t>
            </w:r>
          </w:p>
          <w:p>
            <w:pPr>
              <w:pStyle w:val="null3"/>
            </w:pPr>
            <w:r>
              <w:rPr>
                <w:rFonts w:ascii="仿宋_GB2312" w:hAnsi="仿宋_GB2312" w:cs="仿宋_GB2312" w:eastAsia="仿宋_GB2312"/>
              </w:rPr>
              <w:t>①日常维护（每次作业前后）。清理炮管/发射管内药渣、异物，检查管体有无裂纹；测试俯仰/旋转机构灵活性，确认制动系统灵敏有效；测试点火系统（点火针、电磁阀）火花强度；检查备用电源电量（确保≥90%），测试断电应急启动功能。</w:t>
            </w:r>
          </w:p>
          <w:p>
            <w:pPr>
              <w:pStyle w:val="null3"/>
            </w:pPr>
            <w:r>
              <w:rPr>
                <w:rFonts w:ascii="仿宋_GB2312" w:hAnsi="仿宋_GB2312" w:cs="仿宋_GB2312" w:eastAsia="仿宋_GB2312"/>
              </w:rPr>
              <w:t>②月维护。对传动部件（齿轮、轴承）加注专用润滑油；用专业工具校准射角、方位角（精度偏差≤0.5°）；检查紧固件（螺栓、销轴）扭矩，补齐松动部件。</w:t>
            </w:r>
          </w:p>
          <w:p>
            <w:pPr>
              <w:pStyle w:val="null3"/>
            </w:pPr>
            <w:r>
              <w:rPr>
                <w:rFonts w:ascii="仿宋_GB2312" w:hAnsi="仿宋_GB2312" w:cs="仿宋_GB2312" w:eastAsia="仿宋_GB2312"/>
              </w:rPr>
              <w:t>③年度维护。拆解炮闩、发射架基座，清理内部积垢与锈蚀；更换老化高压线缆、密封圈、刹车片；模拟作业场景进行全流程测试（含空载试运转、模拟点火），记录参数并形成报告。</w:t>
            </w:r>
          </w:p>
          <w:p>
            <w:pPr>
              <w:pStyle w:val="null3"/>
            </w:pPr>
            <w:r>
              <w:rPr>
                <w:rFonts w:ascii="仿宋_GB2312" w:hAnsi="仿宋_GB2312" w:cs="仿宋_GB2312" w:eastAsia="仿宋_GB2312"/>
              </w:rPr>
              <w:t>（</w:t>
            </w:r>
            <w:r>
              <w:rPr>
                <w:rFonts w:ascii="仿宋_GB2312" w:hAnsi="仿宋_GB2312" w:cs="仿宋_GB2312" w:eastAsia="仿宋_GB2312"/>
              </w:rPr>
              <w:t>2）烟炉维保。</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①日常维护（每次作业前后）：清理燃烧腔灰烬、排烟通道积碳（避免堵塞影响烟雾扩散）；检查炉门密封垫是否完好，防止作业时漏气；测试本地/远程点火功能（确认点火针火花正常）；检查温压传感器数据（炉内温度、压力）与平台同步性；确认催化剂（烟条）无受潮、变形，摆放位置合规。</w:t>
            </w:r>
          </w:p>
          <w:p>
            <w:pPr>
              <w:pStyle w:val="null3"/>
            </w:pPr>
            <w:r>
              <w:rPr>
                <w:rFonts w:ascii="仿宋_GB2312" w:hAnsi="仿宋_GB2312" w:cs="仿宋_GB2312" w:eastAsia="仿宋_GB2312"/>
              </w:rPr>
              <w:t>②月维护。对炉门铰链、电动推杆加注润滑脂；检查信号传输线接头是否氧化，更换老化线缆；对炉体掉漆、锈蚀部位补刷耐高温防锈漆。</w:t>
            </w:r>
          </w:p>
          <w:p>
            <w:pPr>
              <w:pStyle w:val="null3"/>
            </w:pPr>
            <w:r>
              <w:rPr>
                <w:rFonts w:ascii="仿宋_GB2312" w:hAnsi="仿宋_GB2312" w:cs="仿宋_GB2312" w:eastAsia="仿宋_GB2312"/>
              </w:rPr>
              <w:t>③年度维护。拆解点火模块、燃烧腔衬套，检查衬套磨损情况（厚度≤3mm时更换）；升级烟炉远程控制软件版本；装入测试烟条进行模拟燃烧，记录排烟速度、烟雾浓度，确保符合作业标准。</w:t>
            </w:r>
          </w:p>
          <w:p>
            <w:pPr>
              <w:pStyle w:val="null3"/>
            </w:pPr>
            <w:r>
              <w:rPr>
                <w:rFonts w:ascii="仿宋_GB2312" w:hAnsi="仿宋_GB2312" w:cs="仿宋_GB2312" w:eastAsia="仿宋_GB2312"/>
              </w:rPr>
              <w:t>五、维保清单</w:t>
            </w:r>
          </w:p>
          <w:p>
            <w:pPr>
              <w:pStyle w:val="null3"/>
            </w:pPr>
            <w:r>
              <w:rPr>
                <w:rFonts w:ascii="仿宋_GB2312" w:hAnsi="仿宋_GB2312" w:cs="仿宋_GB2312" w:eastAsia="仿宋_GB2312"/>
              </w:rPr>
              <w:t>1.人影作业业务平台及配套设施。业务平台位于西安预警中心预警中心9层和10层；配套设施的供电、ups位于西安预警中心预警中心负一层，共用箱式变压器2台，变压器容量为900KWA，备用发电机为上柴315KWA柴油发电机， 为保证业务平台用电安全，安装了大型UPS电源，功率为350K；配套设施的中央空调系统现有4台22KW冷水泵， 热交换自动转换设备。</w:t>
            </w:r>
          </w:p>
          <w:p>
            <w:pPr>
              <w:pStyle w:val="null3"/>
            </w:pPr>
            <w:r>
              <w:rPr>
                <w:rFonts w:ascii="仿宋_GB2312" w:hAnsi="仿宋_GB2312" w:cs="仿宋_GB2312" w:eastAsia="仿宋_GB2312"/>
              </w:rPr>
              <w:t>2.人影作业设备。全市现有人影作业设备60套，其中：火箭发射架37个，地面燃烧烟炉23座。</w:t>
            </w:r>
          </w:p>
          <w:tbl>
            <w:tblPr>
              <w:tblBorders>
                <w:top w:val="none" w:color="000000" w:sz="4"/>
                <w:left w:val="none" w:color="000000" w:sz="4"/>
                <w:bottom w:val="none" w:color="000000" w:sz="4"/>
                <w:right w:val="none" w:color="000000" w:sz="4"/>
                <w:insideH w:val="none"/>
                <w:insideV w:val="none"/>
              </w:tblBorders>
            </w:tblPr>
            <w:tblGrid>
              <w:gridCol w:w="154"/>
              <w:gridCol w:w="268"/>
              <w:gridCol w:w="492"/>
              <w:gridCol w:w="338"/>
              <w:gridCol w:w="278"/>
              <w:gridCol w:w="1005"/>
            </w:tblGrid>
            <w:tr>
              <w:tc>
                <w:tcPr>
                  <w:tcW w:type="dxa" w:w="154"/>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b/>
                    </w:rPr>
                    <w:t>序号</w:t>
                  </w:r>
                </w:p>
              </w:tc>
              <w:tc>
                <w:tcPr>
                  <w:tcW w:type="dxa" w:w="268"/>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b/>
                    </w:rPr>
                    <w:t>区县</w:t>
                  </w:r>
                </w:p>
              </w:tc>
              <w:tc>
                <w:tcPr>
                  <w:tcW w:type="dxa" w:w="492"/>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b/>
                    </w:rPr>
                    <w:t>站名</w:t>
                  </w:r>
                </w:p>
              </w:tc>
              <w:tc>
                <w:tcPr>
                  <w:tcW w:type="dxa" w:w="338"/>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b/>
                    </w:rPr>
                    <w:t>作业点类型</w:t>
                  </w:r>
                </w:p>
              </w:tc>
              <w:tc>
                <w:tcPr>
                  <w:tcW w:type="dxa" w:w="278"/>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b/>
                    </w:rPr>
                    <w:t>作业装备</w:t>
                  </w:r>
                </w:p>
              </w:tc>
              <w:tc>
                <w:tcPr>
                  <w:tcW w:type="dxa" w:w="1005"/>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b/>
                    </w:rPr>
                    <w:t>地址</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厚畛子</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周至县厚畛子镇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马召</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周至县马召镇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司竹</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周至县司竹镇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蒋村</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鄠邑区蒋村镇王过村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庞光</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鄠邑区庞光镇华东村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6</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渭丰</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鄠邑区渭丰镇渭北村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7</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长安</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黄良</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长安区黄良镇街办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8</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长安</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阳光雨露</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长安区滦镇街办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9</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临潼</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李河村</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临潼区代王街办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10</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蓝关镇</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蓝田县关街办蒋寨村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11</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三里镇</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蓝田县三里镇乔村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12</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厚镇</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蓝田县厚镇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13</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高陵</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药惠</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高陵区药惠大棚内</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14</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高陵</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仁村</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高陵区仁村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15</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阎良</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水寨村</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阎良区关山镇水寨村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16</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板房子</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周至县板房子镇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17</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陈河</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周至县陈河镇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18</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集贤镇</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周至县集贤镇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19</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骆峪</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周至县骆峪镇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20</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王家河</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周至县王家河镇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21</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四号路</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鄠邑区东西四号路中段</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22</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长安</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太乙宫</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长安区太乙宫街办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23</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长安</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鸣犊</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长安区鸣犊街办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24</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长安</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高桥</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长安区高桥街办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25</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长安</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石砭峪</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长安区子午街办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26</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灞桥</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三阳管区</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灞桥区洪庆三阳管区</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27</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灞桥</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唐刘村</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灞桥区唐刘村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28</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灞桥</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龙湾村</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灞桥区龙湾村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29</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蓝桥</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蓝田县蓝桥镇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30</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普化</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蓝田县普化镇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31</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葛牌</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蓝田县葛牌镇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32</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火箭厂区</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蓝田县中天火箭厂区</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33</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高陵</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湾子</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高陵区湾子村路口</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34</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阎良</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康交路口</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阎良区武屯镇康交路口</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35</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临潼</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新丰</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临潼区新丰街办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36</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临潼</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新市</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临潼区新市街办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37</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临潼</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零口</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临潼区零口街办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38</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临潼</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任留</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地面移动</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火箭</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临潼区任留街办</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39</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陈河</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周至县陈河镇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40</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厚畛子</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周至县厚畛子镇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黑河森林公园</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周至县厚畛子镇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板房子</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周至县板房子镇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43</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周至</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王家河</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周至县王家河镇</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44</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潭峪</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石井街道潭峪口村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45</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教场</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石井街道教场村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46</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纸房</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石井街道纸房村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47</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沙窝</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涝峪沙窝林木站</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48</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甘峪外</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蒋村下纸厂</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49</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甘峪内</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蒋村野猪坪河坝</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50</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鄠邑</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朱雀</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朱雀公园</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长安</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石砭峪</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长安区石砭峪水库</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52</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李家河水库</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辋川镇李家河水库</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53</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蓝桥镇政府</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蓝桥镇镇政府</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54</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姚林寨</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汤峪镇姚林寨村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55</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蓝田</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九间房桐花沟</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rFonts w:ascii="仿宋_GB2312" w:hAnsi="仿宋_GB2312" w:cs="仿宋_GB2312" w:eastAsia="仿宋_GB2312"/>
                      <w:sz w:val="21"/>
                    </w:rPr>
                    <w:t>蓝田县</w:t>
                  </w:r>
                  <w:r>
                    <w:rPr>
                      <w:rFonts w:ascii="仿宋_GB2312" w:hAnsi="仿宋_GB2312" w:cs="仿宋_GB2312" w:eastAsia="仿宋_GB2312"/>
                      <w:sz w:val="21"/>
                    </w:rPr>
                    <w:t>九间房桐花沟</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56</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临潼</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仁宗</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临潼区仁宗街道仁祖庙农户院内</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57</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高陵</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药惠</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陵区鹿苑街办药惠设施农业大棚</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58</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阎良</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水寨村</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阎良区关山镇水寨村</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59</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阎良</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樊家村冬枣合作社</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樊家村冬枣合作社</w:t>
                  </w:r>
                </w:p>
              </w:tc>
            </w:tr>
            <w:tr>
              <w:tc>
                <w:tcPr>
                  <w:tcW w:type="dxa" w:w="15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60</w:t>
                  </w:r>
                </w:p>
              </w:tc>
              <w:tc>
                <w:tcPr>
                  <w:tcW w:type="dxa" w:w="26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灞桥</w:t>
                  </w:r>
                </w:p>
              </w:tc>
              <w:tc>
                <w:tcPr>
                  <w:tcW w:type="dxa" w:w="49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洪庆山三阳管区</w:t>
                  </w:r>
                </w:p>
              </w:tc>
              <w:tc>
                <w:tcPr>
                  <w:tcW w:type="dxa" w:w="33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地面固定</w:t>
                  </w:r>
                </w:p>
              </w:tc>
              <w:tc>
                <w:tcPr>
                  <w:tcW w:type="dxa" w:w="278"/>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烟炉</w:t>
                  </w:r>
                </w:p>
              </w:tc>
              <w:tc>
                <w:tcPr>
                  <w:tcW w:type="dxa" w:w="10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1"/>
                    </w:rPr>
                    <w:t>灞桥区洪庆街办三阳管区</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验收依据：合同文本、国内相应的标准、规范及采购文件、响应文件、承诺等。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进度款，项目启动实施1 个月后，达到付款条件起30个工作日内，支付合同总金额的30.0%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中标供应商需要在线提交所有通过电子化交易平台实施的政府采购项目的投标文件，同时，于中标后提交投标响应客户端生成带水印的投标文件纸质版代理公司，投标文件正本一份，副本二份，电子 U 盘二份。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供应商应是具有独立承担民事责任能力，提供有效的主体资格证明：须具备独立承担民事责任能力的法人、其他组织或自然人，提供营业执照/事业单位法人证书/非企业专业服务机构执业许可证/自然人身份证。（二）财务状况证明：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三）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四）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五）具有履行合同所必需的设备和专业技术能力。提供声明文件。（六）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法定代表人证明书或者授权委托书</w:t>
            </w:r>
          </w:p>
        </w:tc>
        <w:tc>
          <w:tcPr>
            <w:tcW w:type="dxa" w:w="3322"/>
          </w:tcPr>
          <w:p>
            <w:pPr>
              <w:pStyle w:val="null3"/>
            </w:pPr>
            <w:r>
              <w:rPr>
                <w:rFonts w:ascii="仿宋_GB2312" w:hAnsi="仿宋_GB2312" w:cs="仿宋_GB2312" w:eastAsia="仿宋_GB2312"/>
              </w:rPr>
              <w:t>法定代表人参加开标时，提供法定代表人证明书；授权代表参加开标时，提供法定代表人授权书；非法人单位参照执行。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承诺并进行电子签章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分项报价表（1）.docx 中小企业声明函 残疾人福利性单位声明函 标的清单 报价表 服务内容及服务邀请应答表.docx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分项报价表（1）.docx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根据采购要求和响应情况，对供应商提供的整体服务方案（供电系统、UPS系统、中央空调系统）；人影作业设备维保（火箭发射架维保、烟炉维保）进行综合评价： 技术服务方案内容完整且包含采购需求中的所有内容、科学合理、针对性强，有清晰的思路，并能完全满足采购文件要求的得15分；评审内容有一项内容缺陷扣0.5分，扣完为止（缺陷是指：内容表述简略，内容空泛或有遗漏，针对性不足，架构杂乱，逻辑，层级条理不清，适配性不足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紧急故障处理预案及应急措施</w:t>
            </w:r>
          </w:p>
        </w:tc>
        <w:tc>
          <w:tcPr>
            <w:tcW w:type="dxa" w:w="2492"/>
          </w:tcPr>
          <w:p>
            <w:pPr>
              <w:pStyle w:val="null3"/>
            </w:pPr>
            <w:r>
              <w:rPr>
                <w:rFonts w:ascii="仿宋_GB2312" w:hAnsi="仿宋_GB2312" w:cs="仿宋_GB2312" w:eastAsia="仿宋_GB2312"/>
              </w:rPr>
              <w:t>根据供应商制定的各类特殊情况下的应急预案及处置措施进行评分（预案包括：设备突发故障处置；数据备份与恢复流程。 应急预案及处置措施科学可行、合理严谨、可操作性极强的得10分，评审内容有一项内容缺陷扣0.5分，扣完为止（缺陷是指：内容表述简略，预案不完善，责任不明确，环节有遗漏，人员支撑条件不足等情形）。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维保质量管控与校验方案</w:t>
            </w:r>
          </w:p>
        </w:tc>
        <w:tc>
          <w:tcPr>
            <w:tcW w:type="dxa" w:w="2492"/>
          </w:tcPr>
          <w:p>
            <w:pPr>
              <w:pStyle w:val="null3"/>
            </w:pPr>
            <w:r>
              <w:rPr>
                <w:rFonts w:ascii="仿宋_GB2312" w:hAnsi="仿宋_GB2312" w:cs="仿宋_GB2312" w:eastAsia="仿宋_GB2312"/>
              </w:rPr>
              <w:t>评审内容：根据供应商针对本项目的日常巡检、定期维保、设备校验、平台数据核查、质量考核、问题整改闭环机制，建立全周期维保管控体系得满分15分；评审内容每缺一项扣2.5分，扣完为止；评审内容有一项内容缺陷扣0.5分（缺陷是指：内容表述简略，管控模糊或不全，核心短板。服务内容不全，针对性不足，问题难解决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服务响应时间保障</w:t>
            </w:r>
          </w:p>
        </w:tc>
        <w:tc>
          <w:tcPr>
            <w:tcW w:type="dxa" w:w="2492"/>
          </w:tcPr>
          <w:p>
            <w:pPr>
              <w:pStyle w:val="null3"/>
            </w:pPr>
            <w:r>
              <w:rPr>
                <w:rFonts w:ascii="仿宋_GB2312" w:hAnsi="仿宋_GB2312" w:cs="仿宋_GB2312" w:eastAsia="仿宋_GB2312"/>
              </w:rPr>
              <w:t>①承诺平台全年可用率≥99.8%、零数据丢失、零指令误发：得3分 ②承诺分级故障时效达标（平台≤120min、配套≤90min、设备≤60min）：得3分；平台≤90min、配套≤60min、设备≤45min，一项加1分，最多加3分； ③承诺火箭架、烟炉100%作业/点火成功率，故障响应与修复时间≤60分钟，得3分 (提供承诺书及服务响应保障方案)</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①项目负责人具有专科学历得0.5分，本科及以上学历得1分； ②具备具有气象、电气、通信或计算机相关专业中级及以上专业技术职称得3分；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技术团队配备</w:t>
            </w:r>
          </w:p>
        </w:tc>
        <w:tc>
          <w:tcPr>
            <w:tcW w:type="dxa" w:w="2492"/>
          </w:tcPr>
          <w:p>
            <w:pPr>
              <w:pStyle w:val="null3"/>
            </w:pPr>
            <w:r>
              <w:rPr>
                <w:rFonts w:ascii="仿宋_GB2312" w:hAnsi="仿宋_GB2312" w:cs="仿宋_GB2312" w:eastAsia="仿宋_GB2312"/>
              </w:rPr>
              <w:t>项目团队成员至少5人以上得基础分3分，每增加1人加1分，满分5分；①其中每1人具有专科学历得0.5分，每1人具有本科及以上学历得1分，本项最高5分；②其中每有1人具有气象、电气、通信或计算机相关专业中级及以上专业技术职称2分，本项最高10分 备注：以上人员提供证书复印件并加盖公章。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运维值守保障能力</w:t>
            </w:r>
          </w:p>
        </w:tc>
        <w:tc>
          <w:tcPr>
            <w:tcW w:type="dxa" w:w="2492"/>
          </w:tcPr>
          <w:p>
            <w:pPr>
              <w:pStyle w:val="null3"/>
            </w:pPr>
            <w:r>
              <w:rPr>
                <w:rFonts w:ascii="仿宋_GB2312" w:hAnsi="仿宋_GB2312" w:cs="仿宋_GB2312" w:eastAsia="仿宋_GB2312"/>
              </w:rPr>
              <w:t>提供7×24小时固定值守+应急抢修响应机制书面制度得3分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具有有效的体系认证证书（质量管理体系认证、环境管理体系认证、职业健康安全管理体系认证），每具有1项得2分，满分6分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1、经初审合格的响应文件，其磋商报价为有效磋商报价，并对有效磋商报价进行政策性扣减，并依据扣减后的价格（评审价格）进行价格评审。 2、综合评分法中的价格分统一采用低价优先法计算，即满足采购文件要求且最后报价最低的供应商报价为投标基准价，其价格分为满分。其他供应商的价格分统一按照下列公式计算： 磋商报价得分=（投标基准价/磋商最终报价）×价格权值（15%）×100，超出最高限价的报价为无效报价。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