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59BDA4">
      <w:pPr>
        <w:adjustRightInd w:val="0"/>
        <w:snapToGrid w:val="0"/>
        <w:jc w:val="center"/>
        <w:rPr>
          <w:rFonts w:hint="eastAsia" w:ascii="宋体" w:hAnsi="宋体" w:cs="Tahoma"/>
          <w:b/>
          <w:color w:val="000000" w:themeColor="text1"/>
          <w:spacing w:val="20"/>
          <w:sz w:val="52"/>
          <w:szCs w:val="36"/>
          <w14:textFill>
            <w14:solidFill>
              <w14:schemeClr w14:val="tx1"/>
            </w14:solidFill>
          </w14:textFill>
        </w:rPr>
      </w:pPr>
      <w:r>
        <w:rPr>
          <w:rFonts w:hint="eastAsia" w:ascii="宋体" w:hAnsi="宋体" w:cs="Tahoma"/>
          <w:b/>
          <w:color w:val="000000" w:themeColor="text1"/>
          <w:spacing w:val="20"/>
          <w:sz w:val="52"/>
          <w:szCs w:val="36"/>
          <w14:textFill>
            <w14:solidFill>
              <w14:schemeClr w14:val="tx1"/>
            </w14:solidFill>
          </w14:textFill>
        </w:rPr>
        <w:t>陕西国防工业职业技术学院</w:t>
      </w:r>
    </w:p>
    <w:p w14:paraId="7F2FF9EE">
      <w:pPr>
        <w:spacing w:line="480" w:lineRule="exact"/>
        <w:jc w:val="center"/>
        <w:rPr>
          <w:rFonts w:ascii="宋体" w:hAnsi="宋体" w:cs="宋体"/>
          <w:color w:val="000000" w:themeColor="text1"/>
          <w:sz w:val="28"/>
          <w:szCs w:val="24"/>
          <w14:textFill>
            <w14:solidFill>
              <w14:schemeClr w14:val="tx1"/>
            </w14:solidFill>
          </w14:textFill>
        </w:rPr>
      </w:pPr>
      <w:r>
        <w:rPr>
          <w:rFonts w:hint="eastAsia" w:ascii="宋体" w:hAnsi="宋体" w:cs="宋体"/>
          <w:color w:val="000000" w:themeColor="text1"/>
          <w:sz w:val="20"/>
          <w:szCs w:val="24"/>
          <w14:textFill>
            <w14:solidFill>
              <w14:schemeClr w14:val="tx1"/>
            </w14:solidFill>
          </w14:textFill>
        </w:rPr>
        <w:t>（本模板为合同样稿，正式稿由双方依据</w:t>
      </w:r>
      <w:r>
        <w:rPr>
          <w:rFonts w:hint="eastAsia" w:ascii="宋体" w:hAnsi="宋体" w:cs="宋体"/>
          <w:color w:val="000000" w:themeColor="text1"/>
          <w:sz w:val="20"/>
          <w:szCs w:val="24"/>
          <w:lang w:eastAsia="zh-CN"/>
          <w14:textFill>
            <w14:solidFill>
              <w14:schemeClr w14:val="tx1"/>
            </w14:solidFill>
          </w14:textFill>
        </w:rPr>
        <w:t>公开</w:t>
      </w:r>
      <w:r>
        <w:rPr>
          <w:rFonts w:hint="eastAsia" w:ascii="宋体" w:hAnsi="宋体" w:cs="宋体"/>
          <w:color w:val="000000" w:themeColor="text1"/>
          <w:sz w:val="20"/>
          <w:szCs w:val="24"/>
          <w14:textFill>
            <w14:solidFill>
              <w14:schemeClr w14:val="tx1"/>
            </w14:solidFill>
          </w14:textFill>
        </w:rPr>
        <w:t>文件及</w:t>
      </w:r>
      <w:r>
        <w:rPr>
          <w:rFonts w:hint="eastAsia" w:ascii="宋体" w:hAnsi="宋体" w:cs="宋体"/>
          <w:color w:val="000000" w:themeColor="text1"/>
          <w:sz w:val="20"/>
          <w:szCs w:val="24"/>
          <w:lang w:eastAsia="zh-CN"/>
          <w14:textFill>
            <w14:solidFill>
              <w14:schemeClr w14:val="tx1"/>
            </w14:solidFill>
          </w14:textFill>
        </w:rPr>
        <w:t>投标</w:t>
      </w:r>
      <w:r>
        <w:rPr>
          <w:rFonts w:hint="eastAsia" w:ascii="宋体" w:hAnsi="宋体" w:cs="宋体"/>
          <w:color w:val="000000" w:themeColor="text1"/>
          <w:sz w:val="20"/>
          <w:szCs w:val="24"/>
          <w14:textFill>
            <w14:solidFill>
              <w14:schemeClr w14:val="tx1"/>
            </w14:solidFill>
          </w14:textFill>
        </w:rPr>
        <w:t>文件制定）</w:t>
      </w:r>
    </w:p>
    <w:p w14:paraId="0877B48A">
      <w:pPr>
        <w:pStyle w:val="6"/>
        <w:rPr>
          <w:color w:val="000000" w:themeColor="text1"/>
          <w14:textFill>
            <w14:solidFill>
              <w14:schemeClr w14:val="tx1"/>
            </w14:solidFill>
          </w14:textFill>
        </w:rPr>
      </w:pPr>
    </w:p>
    <w:p w14:paraId="6ADA938B">
      <w:pPr>
        <w:adjustRightInd w:val="0"/>
        <w:snapToGrid w:val="0"/>
        <w:jc w:val="center"/>
        <w:rPr>
          <w:rFonts w:ascii="宋体" w:hAnsi="宋体" w:cs="Tahoma"/>
          <w:b/>
          <w:color w:val="000000" w:themeColor="text1"/>
          <w:spacing w:val="20"/>
          <w:sz w:val="52"/>
          <w:szCs w:val="36"/>
          <w14:textFill>
            <w14:solidFill>
              <w14:schemeClr w14:val="tx1"/>
            </w14:solidFill>
          </w14:textFill>
        </w:rPr>
      </w:pPr>
      <w:r>
        <w:rPr>
          <w:rFonts w:hint="eastAsia" w:ascii="宋体" w:hAnsi="宋体" w:cs="Tahoma"/>
          <w:b/>
          <w:color w:val="000000" w:themeColor="text1"/>
          <w:spacing w:val="20"/>
          <w:sz w:val="52"/>
          <w:szCs w:val="36"/>
          <w14:textFill>
            <w14:solidFill>
              <w14:schemeClr w14:val="tx1"/>
            </w14:solidFill>
          </w14:textFill>
        </w:rPr>
        <w:t>采购项目合同书</w:t>
      </w:r>
    </w:p>
    <w:p w14:paraId="3A470C9E">
      <w:pPr>
        <w:adjustRightInd w:val="0"/>
        <w:snapToGrid w:val="0"/>
        <w:ind w:left="2100" w:leftChars="1000"/>
        <w:rPr>
          <w:rFonts w:ascii="宋体" w:hAnsi="宋体" w:cs="Tahoma"/>
          <w:b/>
          <w:color w:val="000000" w:themeColor="text1"/>
          <w:sz w:val="28"/>
          <w:szCs w:val="28"/>
          <w14:textFill>
            <w14:solidFill>
              <w14:schemeClr w14:val="tx1"/>
            </w14:solidFill>
          </w14:textFill>
        </w:rPr>
      </w:pPr>
    </w:p>
    <w:p w14:paraId="60F4F260">
      <w:pPr>
        <w:adjustRightInd w:val="0"/>
        <w:snapToGrid w:val="0"/>
        <w:jc w:val="center"/>
        <w:rPr>
          <w:rFonts w:ascii="Tahoma" w:hAnsi="Tahoma" w:cs="Tahoma"/>
          <w:b/>
          <w:color w:val="000000" w:themeColor="text1"/>
          <w:sz w:val="32"/>
          <w14:textFill>
            <w14:solidFill>
              <w14:schemeClr w14:val="tx1"/>
            </w14:solidFill>
          </w14:textFill>
        </w:rPr>
      </w:pPr>
    </w:p>
    <w:p w14:paraId="3480F738">
      <w:pPr>
        <w:adjustRightInd w:val="0"/>
        <w:snapToGrid w:val="0"/>
        <w:jc w:val="center"/>
        <w:rPr>
          <w:rFonts w:ascii="Tahoma" w:hAnsi="Tahoma" w:cs="Tahoma"/>
          <w:b/>
          <w:color w:val="000000" w:themeColor="text1"/>
          <w:sz w:val="32"/>
          <w14:textFill>
            <w14:solidFill>
              <w14:schemeClr w14:val="tx1"/>
            </w14:solidFill>
          </w14:textFill>
        </w:rPr>
      </w:pPr>
    </w:p>
    <w:p w14:paraId="5CD13E1F">
      <w:pPr>
        <w:adjustRightInd w:val="0"/>
        <w:snapToGrid w:val="0"/>
        <w:jc w:val="center"/>
        <w:rPr>
          <w:rFonts w:hint="eastAsia" w:ascii="Tahoma" w:hAnsi="Tahoma" w:cs="Tahoma"/>
          <w:b/>
          <w:color w:val="000000" w:themeColor="text1"/>
          <w:sz w:val="32"/>
          <w14:textFill>
            <w14:solidFill>
              <w14:schemeClr w14:val="tx1"/>
            </w14:solidFill>
          </w14:textFill>
        </w:rPr>
      </w:pPr>
    </w:p>
    <w:p w14:paraId="2D6DED5D">
      <w:pPr>
        <w:pStyle w:val="6"/>
        <w:rPr>
          <w:rFonts w:hint="eastAsia"/>
          <w:color w:val="000000" w:themeColor="text1"/>
          <w:lang w:eastAsia="zh-CN"/>
          <w14:textFill>
            <w14:solidFill>
              <w14:schemeClr w14:val="tx1"/>
            </w14:solidFill>
          </w14:textFill>
        </w:rPr>
      </w:pPr>
    </w:p>
    <w:p w14:paraId="531BE39C">
      <w:pPr>
        <w:pStyle w:val="6"/>
        <w:rPr>
          <w:rFonts w:hint="eastAsia"/>
          <w:color w:val="000000" w:themeColor="text1"/>
          <w:lang w:eastAsia="zh-CN"/>
          <w14:textFill>
            <w14:solidFill>
              <w14:schemeClr w14:val="tx1"/>
            </w14:solidFill>
          </w14:textFill>
        </w:rPr>
      </w:pPr>
    </w:p>
    <w:p w14:paraId="66E58EB2">
      <w:pPr>
        <w:pStyle w:val="6"/>
        <w:rPr>
          <w:rFonts w:hint="eastAsia"/>
          <w:color w:val="000000" w:themeColor="text1"/>
          <w:lang w:eastAsia="zh-CN"/>
          <w14:textFill>
            <w14:solidFill>
              <w14:schemeClr w14:val="tx1"/>
            </w14:solidFill>
          </w14:textFill>
        </w:rPr>
      </w:pPr>
    </w:p>
    <w:p w14:paraId="71B0BC86">
      <w:pPr>
        <w:pStyle w:val="6"/>
        <w:rPr>
          <w:rFonts w:hint="eastAsia"/>
          <w:color w:val="000000" w:themeColor="text1"/>
          <w:lang w:eastAsia="zh-CN"/>
          <w14:textFill>
            <w14:solidFill>
              <w14:schemeClr w14:val="tx1"/>
            </w14:solidFill>
          </w14:textFill>
        </w:rPr>
      </w:pPr>
    </w:p>
    <w:p w14:paraId="33FA6625">
      <w:pPr>
        <w:pStyle w:val="6"/>
        <w:rPr>
          <w:rFonts w:hint="eastAsia"/>
          <w:color w:val="000000" w:themeColor="text1"/>
          <w:lang w:eastAsia="zh-CN"/>
          <w14:textFill>
            <w14:solidFill>
              <w14:schemeClr w14:val="tx1"/>
            </w14:solidFill>
          </w14:textFill>
        </w:rPr>
      </w:pPr>
    </w:p>
    <w:p w14:paraId="20153165">
      <w:pPr>
        <w:pStyle w:val="6"/>
        <w:rPr>
          <w:rFonts w:hint="eastAsia"/>
          <w:color w:val="000000" w:themeColor="text1"/>
          <w:lang w:eastAsia="zh-CN"/>
          <w14:textFill>
            <w14:solidFill>
              <w14:schemeClr w14:val="tx1"/>
            </w14:solidFill>
          </w14:textFill>
        </w:rPr>
      </w:pPr>
    </w:p>
    <w:p w14:paraId="4E3BDB3D">
      <w:pPr>
        <w:pStyle w:val="6"/>
        <w:rPr>
          <w:rFonts w:hint="eastAsia"/>
          <w:color w:val="000000" w:themeColor="text1"/>
          <w:lang w:eastAsia="zh-CN"/>
          <w14:textFill>
            <w14:solidFill>
              <w14:schemeClr w14:val="tx1"/>
            </w14:solidFill>
          </w14:textFill>
        </w:rPr>
      </w:pPr>
    </w:p>
    <w:p w14:paraId="26667575">
      <w:pPr>
        <w:pStyle w:val="6"/>
        <w:rPr>
          <w:rFonts w:hint="eastAsia"/>
          <w:color w:val="000000" w:themeColor="text1"/>
          <w:lang w:eastAsia="zh-CN"/>
          <w14:textFill>
            <w14:solidFill>
              <w14:schemeClr w14:val="tx1"/>
            </w14:solidFill>
          </w14:textFill>
        </w:rPr>
      </w:pPr>
    </w:p>
    <w:p w14:paraId="3D7A9EDF">
      <w:pPr>
        <w:pStyle w:val="6"/>
        <w:rPr>
          <w:rFonts w:hint="eastAsia"/>
          <w:color w:val="000000" w:themeColor="text1"/>
          <w:lang w:eastAsia="zh-CN"/>
          <w14:textFill>
            <w14:solidFill>
              <w14:schemeClr w14:val="tx1"/>
            </w14:solidFill>
          </w14:textFill>
        </w:rPr>
      </w:pPr>
    </w:p>
    <w:p w14:paraId="3FCE9292">
      <w:pPr>
        <w:adjustRightInd w:val="0"/>
        <w:snapToGrid w:val="0"/>
        <w:ind w:left="1680" w:leftChars="800"/>
        <w:jc w:val="center"/>
        <w:rPr>
          <w:rFonts w:ascii="Tahoma" w:hAnsi="Tahoma" w:cs="Tahoma"/>
          <w:b/>
          <w:color w:val="000000" w:themeColor="text1"/>
          <w:sz w:val="32"/>
          <w14:textFill>
            <w14:solidFill>
              <w14:schemeClr w14:val="tx1"/>
            </w14:solidFill>
          </w14:textFill>
        </w:rPr>
      </w:pPr>
    </w:p>
    <w:p w14:paraId="6FD28FF6">
      <w:pPr>
        <w:adjustRightInd w:val="0"/>
        <w:snapToGrid w:val="0"/>
        <w:spacing w:line="360" w:lineRule="auto"/>
        <w:ind w:firstLine="1405" w:firstLineChars="500"/>
        <w:rPr>
          <w:rFonts w:ascii="宋体" w:hAnsi="宋体" w:cs="Tahoma"/>
          <w:b/>
          <w:color w:val="000000" w:themeColor="text1"/>
          <w:sz w:val="28"/>
          <w:szCs w:val="28"/>
          <w14:textFill>
            <w14:solidFill>
              <w14:schemeClr w14:val="tx1"/>
            </w14:solidFill>
          </w14:textFill>
        </w:rPr>
      </w:pPr>
      <w:r>
        <w:rPr>
          <w:rFonts w:hint="eastAsia" w:ascii="宋体" w:hAnsi="宋体" w:cs="Tahoma"/>
          <w:b/>
          <w:color w:val="000000" w:themeColor="text1"/>
          <w:sz w:val="28"/>
          <w:szCs w:val="28"/>
          <w14:textFill>
            <w14:solidFill>
              <w14:schemeClr w14:val="tx1"/>
            </w14:solidFill>
          </w14:textFill>
        </w:rPr>
        <w:t>甲    方：</w:t>
      </w:r>
      <w:r>
        <w:rPr>
          <w:rFonts w:hint="eastAsia" w:ascii="宋体" w:hAnsi="宋体"/>
          <w:b/>
          <w:bCs/>
          <w:color w:val="000000" w:themeColor="text1"/>
          <w:sz w:val="28"/>
          <w:szCs w:val="28"/>
          <w:u w:val="single"/>
          <w14:textFill>
            <w14:solidFill>
              <w14:schemeClr w14:val="tx1"/>
            </w14:solidFill>
          </w14:textFill>
        </w:rPr>
        <w:t xml:space="preserve">陕西国防工业职业技术学院 </w:t>
      </w:r>
    </w:p>
    <w:p w14:paraId="01CA2E2B">
      <w:pPr>
        <w:adjustRightInd w:val="0"/>
        <w:snapToGrid w:val="0"/>
        <w:spacing w:line="360" w:lineRule="auto"/>
        <w:ind w:firstLine="1405" w:firstLineChars="500"/>
        <w:rPr>
          <w:rFonts w:ascii="宋体" w:hAnsi="宋体" w:cs="Tahoma"/>
          <w:b/>
          <w:color w:val="000000" w:themeColor="text1"/>
          <w:sz w:val="28"/>
          <w:szCs w:val="28"/>
          <w14:textFill>
            <w14:solidFill>
              <w14:schemeClr w14:val="tx1"/>
            </w14:solidFill>
          </w14:textFill>
        </w:rPr>
      </w:pPr>
      <w:r>
        <w:rPr>
          <w:rFonts w:hint="eastAsia" w:ascii="宋体" w:hAnsi="宋体" w:cs="Tahoma"/>
          <w:b/>
          <w:color w:val="000000" w:themeColor="text1"/>
          <w:sz w:val="28"/>
          <w:szCs w:val="28"/>
          <w14:textFill>
            <w14:solidFill>
              <w14:schemeClr w14:val="tx1"/>
            </w14:solidFill>
          </w14:textFill>
        </w:rPr>
        <w:t>乙    方：</w:t>
      </w:r>
      <w:r>
        <w:rPr>
          <w:rFonts w:hint="eastAsia" w:ascii="宋体" w:hAnsi="宋体"/>
          <w:b/>
          <w:bCs/>
          <w:color w:val="000000" w:themeColor="text1"/>
          <w:sz w:val="28"/>
          <w:szCs w:val="28"/>
          <w:u w:val="single"/>
          <w14:textFill>
            <w14:solidFill>
              <w14:schemeClr w14:val="tx1"/>
            </w14:solidFill>
          </w14:textFill>
        </w:rPr>
        <w:t xml:space="preserve">                         </w:t>
      </w:r>
    </w:p>
    <w:p w14:paraId="66BD3AEE">
      <w:pPr>
        <w:adjustRightInd w:val="0"/>
        <w:snapToGrid w:val="0"/>
        <w:spacing w:line="360" w:lineRule="auto"/>
        <w:ind w:firstLine="1405" w:firstLineChars="500"/>
        <w:rPr>
          <w:rFonts w:hint="eastAsia" w:ascii="宋体" w:hAnsi="宋体" w:cs="Tahoma"/>
          <w:b/>
          <w:color w:val="000000" w:themeColor="text1"/>
          <w:sz w:val="28"/>
          <w:szCs w:val="28"/>
          <w:u w:val="single"/>
          <w14:textFill>
            <w14:solidFill>
              <w14:schemeClr w14:val="tx1"/>
            </w14:solidFill>
          </w14:textFill>
        </w:rPr>
      </w:pPr>
      <w:r>
        <w:rPr>
          <w:rFonts w:hint="eastAsia" w:ascii="宋体" w:hAnsi="宋体" w:cs="Tahoma"/>
          <w:b/>
          <w:color w:val="000000" w:themeColor="text1"/>
          <w:sz w:val="28"/>
          <w:szCs w:val="28"/>
          <w14:textFill>
            <w14:solidFill>
              <w14:schemeClr w14:val="tx1"/>
            </w14:solidFill>
          </w14:textFill>
        </w:rPr>
        <w:t>合同签订时间：</w:t>
      </w:r>
      <w:r>
        <w:rPr>
          <w:rFonts w:hint="eastAsia" w:ascii="宋体" w:hAnsi="宋体" w:cs="Tahoma"/>
          <w:b/>
          <w:color w:val="000000" w:themeColor="text1"/>
          <w:sz w:val="28"/>
          <w:szCs w:val="28"/>
          <w:u w:val="single"/>
          <w14:textFill>
            <w14:solidFill>
              <w14:schemeClr w14:val="tx1"/>
            </w14:solidFill>
          </w14:textFill>
        </w:rPr>
        <w:t xml:space="preserve">      202</w:t>
      </w:r>
      <w:r>
        <w:rPr>
          <w:rFonts w:hint="eastAsia" w:ascii="宋体" w:hAnsi="宋体" w:cs="Tahoma"/>
          <w:b/>
          <w:color w:val="000000" w:themeColor="text1"/>
          <w:sz w:val="28"/>
          <w:szCs w:val="28"/>
          <w:u w:val="single"/>
          <w:lang w:val="en-US" w:eastAsia="zh-CN"/>
          <w14:textFill>
            <w14:solidFill>
              <w14:schemeClr w14:val="tx1"/>
            </w14:solidFill>
          </w14:textFill>
        </w:rPr>
        <w:t>6</w:t>
      </w:r>
      <w:r>
        <w:rPr>
          <w:rFonts w:hint="eastAsia" w:ascii="宋体" w:hAnsi="宋体" w:cs="Tahoma"/>
          <w:b/>
          <w:color w:val="000000" w:themeColor="text1"/>
          <w:sz w:val="28"/>
          <w:szCs w:val="28"/>
          <w:u w:val="single"/>
          <w14:textFill>
            <w14:solidFill>
              <w14:schemeClr w14:val="tx1"/>
            </w14:solidFill>
          </w14:textFill>
        </w:rPr>
        <w:t xml:space="preserve">年  月  日    </w:t>
      </w:r>
    </w:p>
    <w:p w14:paraId="2F82464F">
      <w:pPr>
        <w:rPr>
          <w:rFonts w:hint="eastAsia" w:ascii="宋体" w:hAnsi="宋体" w:cs="Tahoma"/>
          <w:b/>
          <w:color w:val="000000" w:themeColor="text1"/>
          <w:sz w:val="28"/>
          <w:szCs w:val="28"/>
          <w:u w:val="single"/>
          <w14:textFill>
            <w14:solidFill>
              <w14:schemeClr w14:val="tx1"/>
            </w14:solidFill>
          </w14:textFill>
        </w:rPr>
      </w:pPr>
      <w:r>
        <w:rPr>
          <w:rFonts w:hint="eastAsia" w:ascii="宋体" w:hAnsi="宋体" w:cs="Tahoma"/>
          <w:b/>
          <w:color w:val="000000" w:themeColor="text1"/>
          <w:sz w:val="28"/>
          <w:szCs w:val="28"/>
          <w:u w:val="single"/>
          <w14:textFill>
            <w14:solidFill>
              <w14:schemeClr w14:val="tx1"/>
            </w14:solidFill>
          </w14:textFill>
        </w:rPr>
        <w:br w:type="page"/>
      </w:r>
    </w:p>
    <w:p w14:paraId="69D1D9D6">
      <w:pPr>
        <w:spacing w:line="520" w:lineRule="exact"/>
        <w:ind w:firstLine="562" w:firstLineChars="200"/>
        <w:rPr>
          <w:rFonts w:ascii="宋体"/>
          <w:sz w:val="28"/>
          <w:szCs w:val="28"/>
        </w:rPr>
      </w:pPr>
      <w:r>
        <w:rPr>
          <w:rFonts w:hint="eastAsia" w:ascii="宋体" w:hAnsi="宋体"/>
          <w:b/>
          <w:sz w:val="28"/>
          <w:szCs w:val="28"/>
        </w:rPr>
        <w:t>甲方：</w:t>
      </w:r>
    </w:p>
    <w:p w14:paraId="4C58B4F2">
      <w:pPr>
        <w:spacing w:line="520" w:lineRule="exact"/>
        <w:ind w:firstLine="562" w:firstLineChars="200"/>
        <w:rPr>
          <w:rFonts w:ascii="宋体"/>
          <w:sz w:val="28"/>
          <w:szCs w:val="28"/>
        </w:rPr>
      </w:pPr>
      <w:r>
        <w:rPr>
          <w:rFonts w:hint="eastAsia" w:ascii="宋体" w:hAnsi="宋体"/>
          <w:b/>
          <w:sz w:val="28"/>
          <w:szCs w:val="28"/>
        </w:rPr>
        <w:t>乙方：</w:t>
      </w:r>
    </w:p>
    <w:p w14:paraId="1245D9EF">
      <w:pPr>
        <w:tabs>
          <w:tab w:val="left" w:pos="5670"/>
        </w:tabs>
        <w:autoSpaceDE w:val="0"/>
        <w:autoSpaceDN w:val="0"/>
        <w:adjustRightInd w:val="0"/>
        <w:snapToGrid w:val="0"/>
        <w:spacing w:line="520" w:lineRule="exact"/>
        <w:ind w:firstLine="280" w:firstLineChars="100"/>
        <w:jc w:val="left"/>
        <w:rPr>
          <w:rFonts w:ascii="宋体"/>
          <w:sz w:val="28"/>
          <w:szCs w:val="28"/>
        </w:rPr>
      </w:pPr>
    </w:p>
    <w:p w14:paraId="7C76ACFA">
      <w:pPr>
        <w:tabs>
          <w:tab w:val="left" w:pos="5670"/>
        </w:tabs>
        <w:autoSpaceDE w:val="0"/>
        <w:autoSpaceDN w:val="0"/>
        <w:adjustRightInd w:val="0"/>
        <w:snapToGrid w:val="0"/>
        <w:spacing w:line="520" w:lineRule="exact"/>
        <w:ind w:firstLine="480" w:firstLineChars="200"/>
        <w:jc w:val="left"/>
        <w:rPr>
          <w:rFonts w:hint="eastAsia" w:ascii="宋体" w:hAnsi="宋体"/>
          <w:sz w:val="24"/>
          <w:szCs w:val="24"/>
        </w:rPr>
      </w:pPr>
      <w:r>
        <w:rPr>
          <w:rFonts w:hint="eastAsia" w:ascii="宋体" w:hAnsi="宋体"/>
          <w:sz w:val="24"/>
          <w:szCs w:val="24"/>
        </w:rPr>
        <w:t>根据《中华人民共和国政府采购法》、《中华人民共和国招标投标法》、《中华人民共和国民法典》、《中华人民共和国产品质量法》等相关法律、法规以及</w:t>
      </w:r>
      <w:r>
        <w:rPr>
          <w:rFonts w:hint="eastAsia" w:ascii="宋体" w:hAnsi="宋体"/>
          <w:sz w:val="24"/>
          <w:szCs w:val="24"/>
          <w:u w:val="single"/>
        </w:rPr>
        <w:t xml:space="preserve">                           </w:t>
      </w:r>
      <w:r>
        <w:rPr>
          <w:rFonts w:hint="eastAsia" w:ascii="宋体" w:hAnsi="宋体"/>
          <w:sz w:val="24"/>
          <w:szCs w:val="24"/>
        </w:rPr>
        <w:t>项目招标文件，由</w:t>
      </w:r>
      <w:r>
        <w:rPr>
          <w:rFonts w:hint="eastAsia" w:ascii="宋体" w:hAnsi="宋体"/>
          <w:sz w:val="24"/>
          <w:szCs w:val="24"/>
          <w:u w:val="single"/>
          <w:lang w:eastAsia="zh-CN"/>
        </w:rPr>
        <w:t>陕西中经招标有限公司</w:t>
      </w:r>
      <w:r>
        <w:rPr>
          <w:rFonts w:hint="eastAsia" w:ascii="宋体" w:hAnsi="宋体"/>
          <w:sz w:val="24"/>
          <w:szCs w:val="24"/>
        </w:rPr>
        <w:t>组织</w:t>
      </w:r>
      <w:r>
        <w:rPr>
          <w:rFonts w:hint="eastAsia" w:ascii="宋体" w:hAnsi="宋体"/>
          <w:sz w:val="24"/>
          <w:szCs w:val="24"/>
          <w:u w:val="single"/>
        </w:rPr>
        <w:t xml:space="preserve"> </w:t>
      </w:r>
      <w:r>
        <w:rPr>
          <w:rFonts w:hint="eastAsia" w:ascii="宋体" w:hAnsi="宋体"/>
          <w:sz w:val="24"/>
          <w:szCs w:val="24"/>
          <w:u w:val="single"/>
          <w:lang w:eastAsia="zh-CN"/>
        </w:rPr>
        <w:t>竞争性谈判招标</w:t>
      </w:r>
      <w:r>
        <w:rPr>
          <w:rFonts w:hint="eastAsia" w:ascii="宋体" w:hAnsi="宋体"/>
          <w:sz w:val="24"/>
          <w:szCs w:val="24"/>
          <w:u w:val="single"/>
        </w:rPr>
        <w:t xml:space="preserve"> </w:t>
      </w:r>
      <w:r>
        <w:rPr>
          <w:rFonts w:hint="eastAsia" w:ascii="宋体" w:hAnsi="宋体"/>
          <w:sz w:val="24"/>
          <w:szCs w:val="24"/>
        </w:rPr>
        <w:t>(采购方式)，经甲方确认，选定乙方为</w:t>
      </w:r>
      <w:r>
        <w:rPr>
          <w:rFonts w:hint="eastAsia" w:ascii="宋体" w:hAnsi="宋体"/>
          <w:sz w:val="24"/>
          <w:szCs w:val="24"/>
          <w:u w:val="single"/>
        </w:rPr>
        <w:t xml:space="preserve">                   </w:t>
      </w:r>
      <w:r>
        <w:rPr>
          <w:rFonts w:hint="eastAsia" w:ascii="宋体" w:hAnsi="宋体"/>
          <w:sz w:val="24"/>
          <w:szCs w:val="24"/>
        </w:rPr>
        <w:t>项目的成交单位。甲、乙双方经平等协商，自愿达成如下合同条款。</w:t>
      </w:r>
    </w:p>
    <w:p w14:paraId="0F31BC0D">
      <w:pPr>
        <w:spacing w:line="360" w:lineRule="auto"/>
        <w:rPr>
          <w:rFonts w:hint="eastAsia" w:ascii="宋体" w:hAnsi="宋体" w:cs="宋体"/>
          <w:b/>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t xml:space="preserve">一、产品名称、数量、价格：                         </w:t>
      </w:r>
    </w:p>
    <w:tbl>
      <w:tblPr>
        <w:tblStyle w:val="7"/>
        <w:tblpPr w:leftFromText="180" w:rightFromText="180" w:vertAnchor="text" w:horzAnchor="margin" w:tblpXSpec="center" w:tblpY="158"/>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1759"/>
        <w:gridCol w:w="1370"/>
        <w:gridCol w:w="900"/>
        <w:gridCol w:w="1260"/>
        <w:gridCol w:w="900"/>
        <w:gridCol w:w="1080"/>
        <w:gridCol w:w="1260"/>
      </w:tblGrid>
      <w:tr w14:paraId="55943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7" w:hRule="atLeast"/>
          <w:jc w:val="center"/>
        </w:trPr>
        <w:tc>
          <w:tcPr>
            <w:tcW w:w="646" w:type="dxa"/>
            <w:shd w:val="clear" w:color="auto" w:fill="D9D9D9"/>
            <w:vAlign w:val="center"/>
          </w:tcPr>
          <w:p w14:paraId="2A1310A5">
            <w:pPr>
              <w:adjustRightInd w:val="0"/>
              <w:snapToGrid w:val="0"/>
              <w:spacing w:line="360" w:lineRule="auto"/>
              <w:jc w:val="center"/>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序号</w:t>
            </w:r>
          </w:p>
        </w:tc>
        <w:tc>
          <w:tcPr>
            <w:tcW w:w="1759" w:type="dxa"/>
            <w:shd w:val="clear" w:color="auto" w:fill="D9D9D9"/>
            <w:vAlign w:val="center"/>
          </w:tcPr>
          <w:p w14:paraId="23EBDA17">
            <w:pPr>
              <w:adjustRightInd w:val="0"/>
              <w:snapToGrid w:val="0"/>
              <w:spacing w:line="360" w:lineRule="auto"/>
              <w:jc w:val="center"/>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货物名称</w:t>
            </w:r>
          </w:p>
        </w:tc>
        <w:tc>
          <w:tcPr>
            <w:tcW w:w="1370" w:type="dxa"/>
            <w:shd w:val="clear" w:color="auto" w:fill="D9D9D9"/>
            <w:vAlign w:val="center"/>
          </w:tcPr>
          <w:p w14:paraId="6ADDFDBF">
            <w:pPr>
              <w:adjustRightInd w:val="0"/>
              <w:snapToGrid w:val="0"/>
              <w:spacing w:line="360" w:lineRule="auto"/>
              <w:jc w:val="center"/>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规格型号</w:t>
            </w:r>
          </w:p>
        </w:tc>
        <w:tc>
          <w:tcPr>
            <w:tcW w:w="900" w:type="dxa"/>
            <w:shd w:val="clear" w:color="auto" w:fill="D9D9D9"/>
            <w:vAlign w:val="center"/>
          </w:tcPr>
          <w:p w14:paraId="51FD14A2">
            <w:pPr>
              <w:adjustRightInd w:val="0"/>
              <w:snapToGrid w:val="0"/>
              <w:spacing w:line="360" w:lineRule="auto"/>
              <w:jc w:val="center"/>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品牌</w:t>
            </w:r>
          </w:p>
        </w:tc>
        <w:tc>
          <w:tcPr>
            <w:tcW w:w="1260" w:type="dxa"/>
            <w:shd w:val="clear" w:color="auto" w:fill="D9D9D9"/>
            <w:vAlign w:val="center"/>
          </w:tcPr>
          <w:p w14:paraId="1BFEE8A9">
            <w:pPr>
              <w:adjustRightInd w:val="0"/>
              <w:snapToGrid w:val="0"/>
              <w:spacing w:line="360" w:lineRule="auto"/>
              <w:jc w:val="center"/>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生产厂家</w:t>
            </w:r>
          </w:p>
        </w:tc>
        <w:tc>
          <w:tcPr>
            <w:tcW w:w="900" w:type="dxa"/>
            <w:shd w:val="clear" w:color="auto" w:fill="D9D9D9"/>
            <w:vAlign w:val="center"/>
          </w:tcPr>
          <w:p w14:paraId="43F69A36">
            <w:pPr>
              <w:adjustRightInd w:val="0"/>
              <w:snapToGrid w:val="0"/>
              <w:spacing w:line="360" w:lineRule="auto"/>
              <w:jc w:val="center"/>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数量</w:t>
            </w:r>
          </w:p>
        </w:tc>
        <w:tc>
          <w:tcPr>
            <w:tcW w:w="1080" w:type="dxa"/>
            <w:shd w:val="clear" w:color="auto" w:fill="D9D9D9"/>
            <w:vAlign w:val="center"/>
          </w:tcPr>
          <w:p w14:paraId="326C7FED">
            <w:pPr>
              <w:adjustRightInd w:val="0"/>
              <w:snapToGrid w:val="0"/>
              <w:spacing w:line="360" w:lineRule="auto"/>
              <w:jc w:val="center"/>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单价(元)</w:t>
            </w:r>
          </w:p>
        </w:tc>
        <w:tc>
          <w:tcPr>
            <w:tcW w:w="1260" w:type="dxa"/>
            <w:shd w:val="clear" w:color="auto" w:fill="D9D9D9"/>
            <w:vAlign w:val="center"/>
          </w:tcPr>
          <w:p w14:paraId="0BD55A55">
            <w:pPr>
              <w:adjustRightInd w:val="0"/>
              <w:snapToGrid w:val="0"/>
              <w:spacing w:line="360" w:lineRule="auto"/>
              <w:jc w:val="center"/>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合计( 元)</w:t>
            </w:r>
          </w:p>
        </w:tc>
      </w:tr>
      <w:tr w14:paraId="392DB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646" w:type="dxa"/>
            <w:vAlign w:val="center"/>
          </w:tcPr>
          <w:p w14:paraId="554D46B2">
            <w:pPr>
              <w:adjustRightInd w:val="0"/>
              <w:snapToGrid w:val="0"/>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w:t>
            </w:r>
          </w:p>
        </w:tc>
        <w:tc>
          <w:tcPr>
            <w:tcW w:w="1759" w:type="dxa"/>
            <w:vAlign w:val="center"/>
          </w:tcPr>
          <w:p w14:paraId="3430E6FF">
            <w:pPr>
              <w:adjustRightInd w:val="0"/>
              <w:snapToGrid w:val="0"/>
              <w:spacing w:line="360" w:lineRule="auto"/>
              <w:jc w:val="center"/>
              <w:rPr>
                <w:rFonts w:hint="eastAsia" w:ascii="宋体" w:hAnsi="宋体" w:cs="宋体"/>
                <w:color w:val="000000" w:themeColor="text1"/>
                <w:sz w:val="24"/>
                <w:szCs w:val="24"/>
                <w14:textFill>
                  <w14:solidFill>
                    <w14:schemeClr w14:val="tx1"/>
                  </w14:solidFill>
                </w14:textFill>
              </w:rPr>
            </w:pPr>
          </w:p>
        </w:tc>
        <w:tc>
          <w:tcPr>
            <w:tcW w:w="1370" w:type="dxa"/>
            <w:vAlign w:val="center"/>
          </w:tcPr>
          <w:p w14:paraId="63722E9D">
            <w:pPr>
              <w:adjustRightInd w:val="0"/>
              <w:snapToGrid w:val="0"/>
              <w:spacing w:line="360" w:lineRule="auto"/>
              <w:jc w:val="center"/>
              <w:rPr>
                <w:rFonts w:hint="eastAsia" w:ascii="宋体" w:hAnsi="宋体" w:cs="宋体"/>
                <w:color w:val="000000" w:themeColor="text1"/>
                <w:sz w:val="24"/>
                <w:szCs w:val="24"/>
                <w14:textFill>
                  <w14:solidFill>
                    <w14:schemeClr w14:val="tx1"/>
                  </w14:solidFill>
                </w14:textFill>
              </w:rPr>
            </w:pPr>
          </w:p>
        </w:tc>
        <w:tc>
          <w:tcPr>
            <w:tcW w:w="900" w:type="dxa"/>
          </w:tcPr>
          <w:p w14:paraId="2F807BD6">
            <w:pPr>
              <w:adjustRightInd w:val="0"/>
              <w:snapToGrid w:val="0"/>
              <w:spacing w:line="360" w:lineRule="auto"/>
              <w:jc w:val="center"/>
              <w:rPr>
                <w:rFonts w:hint="eastAsia" w:ascii="宋体" w:hAnsi="宋体" w:cs="宋体"/>
                <w:color w:val="000000" w:themeColor="text1"/>
                <w:sz w:val="24"/>
                <w:szCs w:val="24"/>
                <w14:textFill>
                  <w14:solidFill>
                    <w14:schemeClr w14:val="tx1"/>
                  </w14:solidFill>
                </w14:textFill>
              </w:rPr>
            </w:pPr>
          </w:p>
        </w:tc>
        <w:tc>
          <w:tcPr>
            <w:tcW w:w="1260" w:type="dxa"/>
            <w:vAlign w:val="center"/>
          </w:tcPr>
          <w:p w14:paraId="3F1C1943">
            <w:pPr>
              <w:adjustRightInd w:val="0"/>
              <w:snapToGrid w:val="0"/>
              <w:spacing w:line="360" w:lineRule="auto"/>
              <w:jc w:val="center"/>
              <w:rPr>
                <w:rFonts w:hint="eastAsia" w:ascii="宋体" w:hAnsi="宋体" w:cs="宋体"/>
                <w:color w:val="000000" w:themeColor="text1"/>
                <w:sz w:val="24"/>
                <w:szCs w:val="24"/>
                <w14:textFill>
                  <w14:solidFill>
                    <w14:schemeClr w14:val="tx1"/>
                  </w14:solidFill>
                </w14:textFill>
              </w:rPr>
            </w:pPr>
          </w:p>
        </w:tc>
        <w:tc>
          <w:tcPr>
            <w:tcW w:w="900" w:type="dxa"/>
            <w:vAlign w:val="center"/>
          </w:tcPr>
          <w:p w14:paraId="4CB2EB38">
            <w:pPr>
              <w:adjustRightInd w:val="0"/>
              <w:snapToGrid w:val="0"/>
              <w:spacing w:line="360" w:lineRule="auto"/>
              <w:jc w:val="center"/>
              <w:rPr>
                <w:rFonts w:hint="eastAsia" w:ascii="宋体" w:hAnsi="宋体" w:cs="宋体"/>
                <w:color w:val="000000" w:themeColor="text1"/>
                <w:sz w:val="24"/>
                <w:szCs w:val="24"/>
                <w14:textFill>
                  <w14:solidFill>
                    <w14:schemeClr w14:val="tx1"/>
                  </w14:solidFill>
                </w14:textFill>
              </w:rPr>
            </w:pPr>
          </w:p>
        </w:tc>
        <w:tc>
          <w:tcPr>
            <w:tcW w:w="1080" w:type="dxa"/>
            <w:vAlign w:val="center"/>
          </w:tcPr>
          <w:p w14:paraId="1EBC0B2B">
            <w:pPr>
              <w:adjustRightInd w:val="0"/>
              <w:snapToGrid w:val="0"/>
              <w:spacing w:line="360" w:lineRule="auto"/>
              <w:jc w:val="center"/>
              <w:rPr>
                <w:rFonts w:hint="eastAsia" w:ascii="宋体" w:hAnsi="宋体" w:cs="宋体"/>
                <w:color w:val="000000" w:themeColor="text1"/>
                <w:sz w:val="24"/>
                <w:szCs w:val="24"/>
                <w14:textFill>
                  <w14:solidFill>
                    <w14:schemeClr w14:val="tx1"/>
                  </w14:solidFill>
                </w14:textFill>
              </w:rPr>
            </w:pPr>
          </w:p>
        </w:tc>
        <w:tc>
          <w:tcPr>
            <w:tcW w:w="1260" w:type="dxa"/>
            <w:vAlign w:val="center"/>
          </w:tcPr>
          <w:p w14:paraId="069AAD85">
            <w:pPr>
              <w:adjustRightInd w:val="0"/>
              <w:snapToGrid w:val="0"/>
              <w:spacing w:line="360" w:lineRule="auto"/>
              <w:jc w:val="center"/>
              <w:rPr>
                <w:rFonts w:hint="eastAsia" w:ascii="宋体" w:hAnsi="宋体" w:cs="宋体"/>
                <w:color w:val="000000" w:themeColor="text1"/>
                <w:sz w:val="24"/>
                <w:szCs w:val="24"/>
                <w14:textFill>
                  <w14:solidFill>
                    <w14:schemeClr w14:val="tx1"/>
                  </w14:solidFill>
                </w14:textFill>
              </w:rPr>
            </w:pPr>
          </w:p>
        </w:tc>
      </w:tr>
      <w:tr w14:paraId="466B5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646" w:type="dxa"/>
            <w:vAlign w:val="center"/>
          </w:tcPr>
          <w:p w14:paraId="14C5D289">
            <w:pPr>
              <w:adjustRightInd w:val="0"/>
              <w:snapToGrid w:val="0"/>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w:t>
            </w:r>
          </w:p>
        </w:tc>
        <w:tc>
          <w:tcPr>
            <w:tcW w:w="1759" w:type="dxa"/>
            <w:vAlign w:val="center"/>
          </w:tcPr>
          <w:p w14:paraId="6B20B433">
            <w:pPr>
              <w:adjustRightInd w:val="0"/>
              <w:snapToGrid w:val="0"/>
              <w:spacing w:line="360" w:lineRule="auto"/>
              <w:jc w:val="center"/>
              <w:rPr>
                <w:rFonts w:hint="eastAsia" w:ascii="宋体" w:hAnsi="宋体" w:cs="宋体"/>
                <w:color w:val="000000" w:themeColor="text1"/>
                <w:sz w:val="24"/>
                <w:szCs w:val="24"/>
                <w14:textFill>
                  <w14:solidFill>
                    <w14:schemeClr w14:val="tx1"/>
                  </w14:solidFill>
                </w14:textFill>
              </w:rPr>
            </w:pPr>
          </w:p>
        </w:tc>
        <w:tc>
          <w:tcPr>
            <w:tcW w:w="1370" w:type="dxa"/>
            <w:vAlign w:val="center"/>
          </w:tcPr>
          <w:p w14:paraId="3F5EA3D6">
            <w:pPr>
              <w:adjustRightInd w:val="0"/>
              <w:snapToGrid w:val="0"/>
              <w:spacing w:line="360" w:lineRule="auto"/>
              <w:jc w:val="center"/>
              <w:rPr>
                <w:rFonts w:hint="eastAsia" w:ascii="宋体" w:hAnsi="宋体" w:cs="宋体"/>
                <w:color w:val="000000" w:themeColor="text1"/>
                <w:sz w:val="24"/>
                <w:szCs w:val="24"/>
                <w14:textFill>
                  <w14:solidFill>
                    <w14:schemeClr w14:val="tx1"/>
                  </w14:solidFill>
                </w14:textFill>
              </w:rPr>
            </w:pPr>
          </w:p>
        </w:tc>
        <w:tc>
          <w:tcPr>
            <w:tcW w:w="900" w:type="dxa"/>
          </w:tcPr>
          <w:p w14:paraId="7DD99F47">
            <w:pPr>
              <w:adjustRightInd w:val="0"/>
              <w:snapToGrid w:val="0"/>
              <w:spacing w:line="360" w:lineRule="auto"/>
              <w:jc w:val="center"/>
              <w:rPr>
                <w:rFonts w:hint="eastAsia" w:ascii="宋体" w:hAnsi="宋体" w:cs="宋体"/>
                <w:color w:val="000000" w:themeColor="text1"/>
                <w:sz w:val="24"/>
                <w:szCs w:val="24"/>
                <w14:textFill>
                  <w14:solidFill>
                    <w14:schemeClr w14:val="tx1"/>
                  </w14:solidFill>
                </w14:textFill>
              </w:rPr>
            </w:pPr>
          </w:p>
        </w:tc>
        <w:tc>
          <w:tcPr>
            <w:tcW w:w="1260" w:type="dxa"/>
            <w:vAlign w:val="center"/>
          </w:tcPr>
          <w:p w14:paraId="0F9DAEB8">
            <w:pPr>
              <w:adjustRightInd w:val="0"/>
              <w:snapToGrid w:val="0"/>
              <w:spacing w:line="360" w:lineRule="auto"/>
              <w:jc w:val="center"/>
              <w:rPr>
                <w:rFonts w:hint="eastAsia" w:ascii="宋体" w:hAnsi="宋体" w:cs="宋体"/>
                <w:color w:val="000000" w:themeColor="text1"/>
                <w:sz w:val="24"/>
                <w:szCs w:val="24"/>
                <w14:textFill>
                  <w14:solidFill>
                    <w14:schemeClr w14:val="tx1"/>
                  </w14:solidFill>
                </w14:textFill>
              </w:rPr>
            </w:pPr>
          </w:p>
        </w:tc>
        <w:tc>
          <w:tcPr>
            <w:tcW w:w="900" w:type="dxa"/>
            <w:vAlign w:val="center"/>
          </w:tcPr>
          <w:p w14:paraId="330D5A6D">
            <w:pPr>
              <w:adjustRightInd w:val="0"/>
              <w:snapToGrid w:val="0"/>
              <w:spacing w:line="360" w:lineRule="auto"/>
              <w:jc w:val="center"/>
              <w:rPr>
                <w:rFonts w:hint="eastAsia" w:ascii="宋体" w:hAnsi="宋体" w:cs="宋体"/>
                <w:color w:val="000000" w:themeColor="text1"/>
                <w:sz w:val="24"/>
                <w:szCs w:val="24"/>
                <w14:textFill>
                  <w14:solidFill>
                    <w14:schemeClr w14:val="tx1"/>
                  </w14:solidFill>
                </w14:textFill>
              </w:rPr>
            </w:pPr>
          </w:p>
        </w:tc>
        <w:tc>
          <w:tcPr>
            <w:tcW w:w="1080" w:type="dxa"/>
            <w:vAlign w:val="center"/>
          </w:tcPr>
          <w:p w14:paraId="3A38AC7E">
            <w:pPr>
              <w:adjustRightInd w:val="0"/>
              <w:snapToGrid w:val="0"/>
              <w:spacing w:line="360" w:lineRule="auto"/>
              <w:jc w:val="center"/>
              <w:rPr>
                <w:rFonts w:hint="eastAsia" w:ascii="宋体" w:hAnsi="宋体" w:cs="宋体"/>
                <w:color w:val="000000" w:themeColor="text1"/>
                <w:sz w:val="24"/>
                <w:szCs w:val="24"/>
                <w14:textFill>
                  <w14:solidFill>
                    <w14:schemeClr w14:val="tx1"/>
                  </w14:solidFill>
                </w14:textFill>
              </w:rPr>
            </w:pPr>
          </w:p>
        </w:tc>
        <w:tc>
          <w:tcPr>
            <w:tcW w:w="1260" w:type="dxa"/>
            <w:vAlign w:val="center"/>
          </w:tcPr>
          <w:p w14:paraId="7FFD8E02">
            <w:pPr>
              <w:adjustRightInd w:val="0"/>
              <w:snapToGrid w:val="0"/>
              <w:spacing w:line="360" w:lineRule="auto"/>
              <w:jc w:val="center"/>
              <w:rPr>
                <w:rFonts w:hint="eastAsia" w:ascii="宋体" w:hAnsi="宋体" w:cs="宋体"/>
                <w:color w:val="000000" w:themeColor="text1"/>
                <w:sz w:val="24"/>
                <w:szCs w:val="24"/>
                <w14:textFill>
                  <w14:solidFill>
                    <w14:schemeClr w14:val="tx1"/>
                  </w14:solidFill>
                </w14:textFill>
              </w:rPr>
            </w:pPr>
          </w:p>
        </w:tc>
      </w:tr>
      <w:tr w14:paraId="52A88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646" w:type="dxa"/>
            <w:vAlign w:val="center"/>
          </w:tcPr>
          <w:p w14:paraId="06BC57C9">
            <w:pPr>
              <w:adjustRightInd w:val="0"/>
              <w:snapToGrid w:val="0"/>
              <w:spacing w:line="360" w:lineRule="auto"/>
              <w:jc w:val="center"/>
              <w:rPr>
                <w:rFonts w:hint="eastAsia" w:ascii="宋体" w:hAnsi="宋体" w:cs="宋体"/>
                <w:color w:val="000000" w:themeColor="text1"/>
                <w:sz w:val="24"/>
                <w:szCs w:val="24"/>
                <w14:textFill>
                  <w14:solidFill>
                    <w14:schemeClr w14:val="tx1"/>
                  </w14:solidFill>
                </w14:textFill>
              </w:rPr>
            </w:pPr>
          </w:p>
        </w:tc>
        <w:tc>
          <w:tcPr>
            <w:tcW w:w="1759" w:type="dxa"/>
            <w:vAlign w:val="center"/>
          </w:tcPr>
          <w:p w14:paraId="28205D3F">
            <w:pPr>
              <w:adjustRightInd w:val="0"/>
              <w:snapToGrid w:val="0"/>
              <w:spacing w:line="360" w:lineRule="auto"/>
              <w:jc w:val="center"/>
              <w:rPr>
                <w:rFonts w:hint="eastAsia" w:ascii="宋体" w:hAnsi="宋体" w:cs="宋体"/>
                <w:color w:val="000000" w:themeColor="text1"/>
                <w:sz w:val="24"/>
                <w:szCs w:val="24"/>
                <w14:textFill>
                  <w14:solidFill>
                    <w14:schemeClr w14:val="tx1"/>
                  </w14:solidFill>
                </w14:textFill>
              </w:rPr>
            </w:pPr>
          </w:p>
        </w:tc>
        <w:tc>
          <w:tcPr>
            <w:tcW w:w="1370" w:type="dxa"/>
            <w:vAlign w:val="center"/>
          </w:tcPr>
          <w:p w14:paraId="7CD519F5">
            <w:pPr>
              <w:adjustRightInd w:val="0"/>
              <w:snapToGrid w:val="0"/>
              <w:spacing w:line="360" w:lineRule="auto"/>
              <w:jc w:val="center"/>
              <w:rPr>
                <w:rFonts w:hint="eastAsia" w:ascii="宋体" w:hAnsi="宋体" w:cs="宋体"/>
                <w:color w:val="000000" w:themeColor="text1"/>
                <w:sz w:val="24"/>
                <w:szCs w:val="24"/>
                <w14:textFill>
                  <w14:solidFill>
                    <w14:schemeClr w14:val="tx1"/>
                  </w14:solidFill>
                </w14:textFill>
              </w:rPr>
            </w:pPr>
          </w:p>
        </w:tc>
        <w:tc>
          <w:tcPr>
            <w:tcW w:w="900" w:type="dxa"/>
          </w:tcPr>
          <w:p w14:paraId="5D54FF6D">
            <w:pPr>
              <w:adjustRightInd w:val="0"/>
              <w:snapToGrid w:val="0"/>
              <w:spacing w:line="360" w:lineRule="auto"/>
              <w:jc w:val="center"/>
              <w:rPr>
                <w:rFonts w:hint="eastAsia" w:ascii="宋体" w:hAnsi="宋体" w:cs="宋体"/>
                <w:color w:val="000000" w:themeColor="text1"/>
                <w:sz w:val="24"/>
                <w:szCs w:val="24"/>
                <w14:textFill>
                  <w14:solidFill>
                    <w14:schemeClr w14:val="tx1"/>
                  </w14:solidFill>
                </w14:textFill>
              </w:rPr>
            </w:pPr>
          </w:p>
        </w:tc>
        <w:tc>
          <w:tcPr>
            <w:tcW w:w="1260" w:type="dxa"/>
            <w:vAlign w:val="center"/>
          </w:tcPr>
          <w:p w14:paraId="76E1C83B">
            <w:pPr>
              <w:adjustRightInd w:val="0"/>
              <w:snapToGrid w:val="0"/>
              <w:spacing w:line="360" w:lineRule="auto"/>
              <w:jc w:val="center"/>
              <w:rPr>
                <w:rFonts w:hint="eastAsia" w:ascii="宋体" w:hAnsi="宋体" w:cs="宋体"/>
                <w:color w:val="000000" w:themeColor="text1"/>
                <w:sz w:val="24"/>
                <w:szCs w:val="24"/>
                <w14:textFill>
                  <w14:solidFill>
                    <w14:schemeClr w14:val="tx1"/>
                  </w14:solidFill>
                </w14:textFill>
              </w:rPr>
            </w:pPr>
          </w:p>
        </w:tc>
        <w:tc>
          <w:tcPr>
            <w:tcW w:w="900" w:type="dxa"/>
            <w:vAlign w:val="center"/>
          </w:tcPr>
          <w:p w14:paraId="061C84FE">
            <w:pPr>
              <w:adjustRightInd w:val="0"/>
              <w:snapToGrid w:val="0"/>
              <w:spacing w:line="360" w:lineRule="auto"/>
              <w:jc w:val="center"/>
              <w:rPr>
                <w:rFonts w:hint="eastAsia" w:ascii="宋体" w:hAnsi="宋体" w:cs="宋体"/>
                <w:color w:val="000000" w:themeColor="text1"/>
                <w:sz w:val="24"/>
                <w:szCs w:val="24"/>
                <w14:textFill>
                  <w14:solidFill>
                    <w14:schemeClr w14:val="tx1"/>
                  </w14:solidFill>
                </w14:textFill>
              </w:rPr>
            </w:pPr>
          </w:p>
        </w:tc>
        <w:tc>
          <w:tcPr>
            <w:tcW w:w="1080" w:type="dxa"/>
            <w:vAlign w:val="center"/>
          </w:tcPr>
          <w:p w14:paraId="2186AE21">
            <w:pPr>
              <w:adjustRightInd w:val="0"/>
              <w:snapToGrid w:val="0"/>
              <w:spacing w:line="360" w:lineRule="auto"/>
              <w:jc w:val="center"/>
              <w:rPr>
                <w:rFonts w:hint="eastAsia" w:ascii="宋体" w:hAnsi="宋体" w:cs="宋体"/>
                <w:color w:val="000000" w:themeColor="text1"/>
                <w:sz w:val="24"/>
                <w:szCs w:val="24"/>
                <w14:textFill>
                  <w14:solidFill>
                    <w14:schemeClr w14:val="tx1"/>
                  </w14:solidFill>
                </w14:textFill>
              </w:rPr>
            </w:pPr>
          </w:p>
        </w:tc>
        <w:tc>
          <w:tcPr>
            <w:tcW w:w="1260" w:type="dxa"/>
            <w:vAlign w:val="center"/>
          </w:tcPr>
          <w:p w14:paraId="4833BB74">
            <w:pPr>
              <w:adjustRightInd w:val="0"/>
              <w:snapToGrid w:val="0"/>
              <w:spacing w:line="360" w:lineRule="auto"/>
              <w:jc w:val="center"/>
              <w:rPr>
                <w:rFonts w:hint="eastAsia" w:ascii="宋体" w:hAnsi="宋体" w:cs="宋体"/>
                <w:color w:val="000000" w:themeColor="text1"/>
                <w:sz w:val="24"/>
                <w:szCs w:val="24"/>
                <w14:textFill>
                  <w14:solidFill>
                    <w14:schemeClr w14:val="tx1"/>
                  </w14:solidFill>
                </w14:textFill>
              </w:rPr>
            </w:pPr>
          </w:p>
        </w:tc>
      </w:tr>
      <w:tr w14:paraId="03FBC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646" w:type="dxa"/>
            <w:vAlign w:val="center"/>
          </w:tcPr>
          <w:p w14:paraId="485AB68B">
            <w:pPr>
              <w:adjustRightInd w:val="0"/>
              <w:snapToGrid w:val="0"/>
              <w:spacing w:line="360" w:lineRule="auto"/>
              <w:jc w:val="center"/>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合计</w:t>
            </w:r>
          </w:p>
        </w:tc>
        <w:tc>
          <w:tcPr>
            <w:tcW w:w="7269" w:type="dxa"/>
            <w:gridSpan w:val="6"/>
            <w:vAlign w:val="center"/>
          </w:tcPr>
          <w:p w14:paraId="37B022AD">
            <w:pPr>
              <w:adjustRightInd w:val="0"/>
              <w:snapToGrid w:val="0"/>
              <w:spacing w:line="360" w:lineRule="auto"/>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 xml:space="preserve">大写：                                      </w:t>
            </w:r>
          </w:p>
        </w:tc>
        <w:tc>
          <w:tcPr>
            <w:tcW w:w="1260" w:type="dxa"/>
            <w:vAlign w:val="center"/>
          </w:tcPr>
          <w:p w14:paraId="5F60118F">
            <w:pPr>
              <w:adjustRightInd w:val="0"/>
              <w:snapToGrid w:val="0"/>
              <w:spacing w:line="360" w:lineRule="auto"/>
              <w:jc w:val="center"/>
              <w:rPr>
                <w:rFonts w:hint="eastAsia" w:ascii="宋体" w:hAnsi="宋体" w:cs="宋体"/>
                <w:b/>
                <w:color w:val="000000" w:themeColor="text1"/>
                <w:sz w:val="24"/>
                <w:szCs w:val="24"/>
                <w14:textFill>
                  <w14:solidFill>
                    <w14:schemeClr w14:val="tx1"/>
                  </w14:solidFill>
                </w14:textFill>
              </w:rPr>
            </w:pPr>
          </w:p>
        </w:tc>
      </w:tr>
    </w:tbl>
    <w:p w14:paraId="038F0194">
      <w:pPr>
        <w:spacing w:line="360" w:lineRule="auto"/>
        <w:rPr>
          <w:rFonts w:hint="eastAsia" w:ascii="宋体" w:hAnsi="宋体" w:cs="宋体"/>
          <w:color w:val="000000" w:themeColor="text1"/>
          <w:kern w:val="0"/>
          <w:sz w:val="24"/>
          <w:szCs w:val="24"/>
          <w:lang w:eastAsia="zh-CN"/>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 xml:space="preserve"> 合同总金额包括</w:t>
      </w:r>
      <w:r>
        <w:rPr>
          <w:rFonts w:hint="eastAsia" w:ascii="宋体" w:hAnsi="宋体" w:cs="宋体"/>
          <w:color w:val="000000" w:themeColor="text1"/>
          <w:sz w:val="24"/>
          <w:szCs w:val="24"/>
          <w14:textFill>
            <w14:solidFill>
              <w14:schemeClr w14:val="tx1"/>
            </w14:solidFill>
          </w14:textFill>
        </w:rPr>
        <w:t>设备、安装、调试、技术服务、培训、验收、保修、税金等交钥匙</w:t>
      </w:r>
      <w:r>
        <w:rPr>
          <w:rFonts w:hint="eastAsia" w:ascii="宋体" w:hAnsi="宋体" w:cs="宋体"/>
          <w:color w:val="000000" w:themeColor="text1"/>
          <w:kern w:val="0"/>
          <w:sz w:val="24"/>
          <w:szCs w:val="24"/>
          <w14:textFill>
            <w14:solidFill>
              <w14:schemeClr w14:val="tx1"/>
            </w14:solidFill>
          </w14:textFill>
        </w:rPr>
        <w:t>全部费用</w:t>
      </w:r>
      <w:r>
        <w:rPr>
          <w:rFonts w:hint="eastAsia" w:ascii="宋体" w:hAnsi="宋体" w:cs="宋体"/>
          <w:color w:val="000000" w:themeColor="text1"/>
          <w:kern w:val="0"/>
          <w:sz w:val="24"/>
          <w:szCs w:val="24"/>
          <w:lang w:eastAsia="zh-CN"/>
          <w14:textFill>
            <w14:solidFill>
              <w14:schemeClr w14:val="tx1"/>
            </w14:solidFill>
          </w14:textFill>
        </w:rPr>
        <w:t>、</w:t>
      </w:r>
    </w:p>
    <w:p w14:paraId="5F5D8453">
      <w:pPr>
        <w:spacing w:line="360" w:lineRule="auto"/>
        <w:rPr>
          <w:rFonts w:hint="eastAsia" w:ascii="宋体" w:hAnsi="宋体" w:cs="宋体"/>
          <w:b/>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t>二、质量标准：</w:t>
      </w:r>
    </w:p>
    <w:p w14:paraId="59764FB0">
      <w:pPr>
        <w:tabs>
          <w:tab w:val="left" w:pos="1701"/>
        </w:tabs>
        <w:adjustRightInd w:val="0"/>
        <w:snapToGrid w:val="0"/>
        <w:spacing w:line="360" w:lineRule="auto"/>
        <w:ind w:firstLine="480" w:firstLineChars="200"/>
        <w:rPr>
          <w:rFonts w:ascii="宋体" w:hAnsi="宋体" w:cs="宋体"/>
          <w:sz w:val="24"/>
        </w:rPr>
      </w:pPr>
      <w:r>
        <w:rPr>
          <w:rFonts w:hint="eastAsia" w:ascii="宋体" w:hAnsi="宋体" w:cs="宋体"/>
          <w:sz w:val="24"/>
        </w:rPr>
        <w:t>1.乙方提供的产品必须是设计科学、技术成熟、工艺优良，是用优质材料制造的、原厂生产的未曾使用过的全新的合格产品。</w:t>
      </w:r>
    </w:p>
    <w:p w14:paraId="00B71B89">
      <w:pPr>
        <w:tabs>
          <w:tab w:val="left" w:pos="1701"/>
        </w:tabs>
        <w:adjustRightInd w:val="0"/>
        <w:snapToGrid w:val="0"/>
        <w:spacing w:line="360" w:lineRule="auto"/>
        <w:ind w:firstLine="480" w:firstLineChars="200"/>
        <w:rPr>
          <w:rFonts w:ascii="宋体" w:hAnsi="宋体" w:cs="宋体"/>
          <w:sz w:val="24"/>
        </w:rPr>
      </w:pPr>
      <w:r>
        <w:rPr>
          <w:rFonts w:hint="eastAsia" w:ascii="宋体" w:hAnsi="宋体" w:cs="宋体"/>
          <w:sz w:val="24"/>
        </w:rPr>
        <w:t>2.设计技术专利、外形专利等均应符合中华人民共和国有关法律及行业标准，凡因以上问题与第三方发生的任何纠纷均与甲方无关。</w:t>
      </w:r>
    </w:p>
    <w:p w14:paraId="5FECC88A">
      <w:pPr>
        <w:tabs>
          <w:tab w:val="left" w:pos="1701"/>
        </w:tabs>
        <w:adjustRightInd w:val="0"/>
        <w:snapToGrid w:val="0"/>
        <w:spacing w:line="360" w:lineRule="auto"/>
        <w:ind w:firstLine="480" w:firstLineChars="200"/>
        <w:rPr>
          <w:rFonts w:ascii="宋体" w:hAnsi="宋体" w:cs="宋体"/>
          <w:sz w:val="24"/>
        </w:rPr>
      </w:pPr>
      <w:r>
        <w:rPr>
          <w:rFonts w:hint="eastAsia" w:ascii="宋体" w:hAnsi="宋体" w:cs="宋体"/>
          <w:sz w:val="24"/>
        </w:rPr>
        <w:t>3.货物参数指标必须与其标示的技术指标项符合，甲方有权在产品的有效保质期内依据技术指标对该产品进行技术验收，其主要的技术参数达不到标准时，甲方有权无条件退货或依据有关法律索赔。</w:t>
      </w:r>
    </w:p>
    <w:p w14:paraId="7FFCE1A7">
      <w:pPr>
        <w:spacing w:line="360" w:lineRule="auto"/>
        <w:rPr>
          <w:rFonts w:hint="eastAsia" w:ascii="宋体" w:hAnsi="宋体" w:cs="宋体"/>
          <w:b/>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t>三、交货日期、方式及地点：</w:t>
      </w:r>
    </w:p>
    <w:p w14:paraId="011E4B91">
      <w:pPr>
        <w:tabs>
          <w:tab w:val="left" w:pos="1701"/>
        </w:tabs>
        <w:adjustRightInd w:val="0"/>
        <w:snapToGrid w:val="0"/>
        <w:spacing w:line="360" w:lineRule="auto"/>
        <w:ind w:firstLine="480" w:firstLineChars="200"/>
        <w:rPr>
          <w:rFonts w:ascii="宋体" w:hAnsi="宋体" w:cs="宋体"/>
          <w:sz w:val="24"/>
        </w:rPr>
      </w:pPr>
      <w:r>
        <w:rPr>
          <w:rFonts w:hint="eastAsia" w:ascii="宋体" w:hAnsi="宋体" w:cs="宋体"/>
          <w:sz w:val="24"/>
        </w:rPr>
        <w:t>1.交货地点：</w:t>
      </w:r>
      <w:r>
        <w:rPr>
          <w:rFonts w:hint="eastAsia" w:ascii="宋体" w:hAnsi="宋体" w:cs="宋体"/>
          <w:sz w:val="24"/>
          <w:u w:val="single"/>
        </w:rPr>
        <w:t xml:space="preserve">         </w:t>
      </w:r>
      <w:r>
        <w:rPr>
          <w:rFonts w:hint="eastAsia" w:ascii="宋体" w:hAnsi="宋体" w:cs="宋体"/>
          <w:sz w:val="24"/>
        </w:rPr>
        <w:t>。</w:t>
      </w:r>
    </w:p>
    <w:p w14:paraId="2B83BA7F">
      <w:pPr>
        <w:tabs>
          <w:tab w:val="left" w:pos="1701"/>
        </w:tabs>
        <w:adjustRightInd w:val="0"/>
        <w:snapToGrid w:val="0"/>
        <w:spacing w:line="360" w:lineRule="auto"/>
        <w:ind w:firstLine="480" w:firstLineChars="200"/>
        <w:rPr>
          <w:rFonts w:ascii="宋体" w:hAnsi="宋体" w:cs="宋体"/>
          <w:sz w:val="24"/>
        </w:rPr>
      </w:pPr>
      <w:r>
        <w:rPr>
          <w:rFonts w:hint="eastAsia" w:ascii="宋体" w:hAnsi="宋体" w:cs="宋体"/>
          <w:sz w:val="24"/>
        </w:rPr>
        <w:t>2.交货期限：合同签订后</w:t>
      </w:r>
      <w:r>
        <w:rPr>
          <w:rFonts w:hint="eastAsia" w:ascii="宋体" w:hAnsi="宋体" w:cs="宋体"/>
          <w:sz w:val="24"/>
          <w:u w:val="single"/>
        </w:rPr>
        <w:t xml:space="preserve">     </w:t>
      </w:r>
      <w:r>
        <w:rPr>
          <w:rFonts w:hint="eastAsia" w:ascii="宋体" w:hAnsi="宋体" w:cs="宋体"/>
          <w:sz w:val="24"/>
        </w:rPr>
        <w:t>个日历天</w:t>
      </w:r>
    </w:p>
    <w:p w14:paraId="4CEA1092">
      <w:pPr>
        <w:spacing w:line="360" w:lineRule="auto"/>
        <w:rPr>
          <w:rFonts w:hint="eastAsia" w:ascii="宋体" w:hAnsi="宋体" w:cs="宋体"/>
          <w:b/>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t>四、乙方对质量保证的条件及期限：</w:t>
      </w:r>
    </w:p>
    <w:p w14:paraId="2DD9B085">
      <w:pPr>
        <w:tabs>
          <w:tab w:val="left" w:pos="1701"/>
        </w:tabs>
        <w:adjustRightInd w:val="0"/>
        <w:snapToGrid w:val="0"/>
        <w:spacing w:line="360" w:lineRule="auto"/>
        <w:ind w:firstLine="480" w:firstLineChars="200"/>
        <w:rPr>
          <w:rFonts w:ascii="宋体" w:hAnsi="宋体" w:cs="宋体"/>
          <w:sz w:val="24"/>
        </w:rPr>
      </w:pPr>
      <w:r>
        <w:rPr>
          <w:rFonts w:hint="eastAsia" w:ascii="宋体" w:hAnsi="宋体" w:cs="宋体"/>
          <w:bCs/>
          <w:color w:val="000000" w:themeColor="text1"/>
          <w:sz w:val="24"/>
          <w:szCs w:val="24"/>
          <w14:textFill>
            <w14:solidFill>
              <w14:schemeClr w14:val="tx1"/>
            </w14:solidFill>
          </w14:textFill>
        </w:rPr>
        <w:t>1、</w:t>
      </w:r>
      <w:r>
        <w:rPr>
          <w:rFonts w:hint="eastAsia" w:ascii="宋体" w:hAnsi="宋体" w:cs="宋体"/>
          <w:sz w:val="24"/>
        </w:rPr>
        <w:t>质保期：终验合格后</w:t>
      </w:r>
      <w:r>
        <w:rPr>
          <w:rFonts w:hint="eastAsia" w:ascii="宋体" w:hAnsi="宋体" w:cs="宋体"/>
          <w:sz w:val="24"/>
          <w:u w:val="single"/>
        </w:rPr>
        <w:t xml:space="preserve">     </w:t>
      </w:r>
      <w:r>
        <w:rPr>
          <w:rFonts w:hint="eastAsia" w:ascii="宋体" w:hAnsi="宋体" w:cs="宋体"/>
          <w:sz w:val="24"/>
        </w:rPr>
        <w:t>年</w:t>
      </w:r>
    </w:p>
    <w:p w14:paraId="746F8D54">
      <w:pPr>
        <w:widowControl/>
        <w:adjustRightInd w:val="0"/>
        <w:snapToGrid w:val="0"/>
        <w:spacing w:line="360" w:lineRule="auto"/>
        <w:ind w:firstLine="470" w:firstLineChars="196"/>
        <w:jc w:val="left"/>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2、售后服务响应时间（质保期内）：售后服务响应时间（质保期内）：即时响应（包括电话响应）；电话响应无法解决</w:t>
      </w:r>
      <w:r>
        <w:rPr>
          <w:rFonts w:hint="eastAsia" w:ascii="宋体" w:hAnsi="宋体" w:cs="宋体"/>
          <w:bCs/>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bCs/>
          <w:color w:val="000000" w:themeColor="text1"/>
          <w:sz w:val="24"/>
          <w:szCs w:val="24"/>
          <w14:textFill>
            <w14:solidFill>
              <w14:schemeClr w14:val="tx1"/>
            </w14:solidFill>
          </w14:textFill>
        </w:rPr>
        <w:t>小时内到达现场。修复时间</w:t>
      </w:r>
      <w:r>
        <w:rPr>
          <w:rFonts w:hint="eastAsia" w:ascii="宋体" w:hAnsi="宋体" w:cs="宋体"/>
          <w:bCs/>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bCs/>
          <w:color w:val="000000" w:themeColor="text1"/>
          <w:sz w:val="24"/>
          <w:szCs w:val="24"/>
          <w14:textFill>
            <w14:solidFill>
              <w14:schemeClr w14:val="tx1"/>
            </w14:solidFill>
          </w14:textFill>
        </w:rPr>
        <w:t>小时内解决；如在</w:t>
      </w:r>
      <w:r>
        <w:rPr>
          <w:rFonts w:hint="eastAsia" w:ascii="宋体" w:hAnsi="宋体" w:cs="宋体"/>
          <w:bCs/>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bCs/>
          <w:color w:val="000000" w:themeColor="text1"/>
          <w:sz w:val="24"/>
          <w:szCs w:val="24"/>
          <w14:textFill>
            <w14:solidFill>
              <w14:schemeClr w14:val="tx1"/>
            </w14:solidFill>
          </w14:textFill>
        </w:rPr>
        <w:t>小时内无法修复，则提供部件冗余服务或采取应急措施，提供相同产品或不低于故障产品规格档次的备用产品供采购人使用，以确保货物的正常用。</w:t>
      </w:r>
    </w:p>
    <w:p w14:paraId="3F8C56ED">
      <w:pPr>
        <w:widowControl/>
        <w:adjustRightInd w:val="0"/>
        <w:snapToGrid w:val="0"/>
        <w:spacing w:line="360" w:lineRule="auto"/>
        <w:ind w:firstLine="470" w:firstLineChars="196"/>
        <w:jc w:val="left"/>
        <w:rPr>
          <w:rFonts w:hint="default"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lang w:val="en-US" w:eastAsia="zh-CN"/>
          <w14:textFill>
            <w14:solidFill>
              <w14:schemeClr w14:val="tx1"/>
            </w14:solidFill>
          </w14:textFill>
        </w:rPr>
        <w:t>3</w:t>
      </w:r>
      <w:r>
        <w:rPr>
          <w:rFonts w:hint="eastAsia" w:ascii="宋体" w:hAnsi="宋体" w:eastAsia="宋体" w:cs="宋体"/>
          <w:bCs/>
          <w:color w:val="000000" w:themeColor="text1"/>
          <w:sz w:val="24"/>
          <w:szCs w:val="24"/>
          <w14:textFill>
            <w14:solidFill>
              <w14:schemeClr w14:val="tx1"/>
            </w14:solidFill>
          </w14:textFill>
        </w:rPr>
        <w:t>、培训服务要求</w:t>
      </w:r>
    </w:p>
    <w:p w14:paraId="52100A81">
      <w:pPr>
        <w:widowControl/>
        <w:adjustRightInd w:val="0"/>
        <w:snapToGrid w:val="0"/>
        <w:spacing w:line="360" w:lineRule="auto"/>
        <w:ind w:firstLine="470" w:firstLineChars="196"/>
        <w:jc w:val="left"/>
        <w:rPr>
          <w:rFonts w:hint="default" w:ascii="宋体" w:hAnsi="宋体" w:eastAsia="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lang w:eastAsia="zh-CN"/>
          <w14:textFill>
            <w14:solidFill>
              <w14:schemeClr w14:val="tx1"/>
            </w14:solidFill>
          </w14:textFill>
        </w:rPr>
        <w:t>成交供应商</w:t>
      </w:r>
      <w:r>
        <w:rPr>
          <w:rFonts w:hint="eastAsia" w:ascii="宋体" w:hAnsi="宋体" w:eastAsia="宋体" w:cs="宋体"/>
          <w:bCs/>
          <w:color w:val="000000" w:themeColor="text1"/>
          <w:sz w:val="24"/>
          <w:szCs w:val="24"/>
          <w14:textFill>
            <w14:solidFill>
              <w14:schemeClr w14:val="tx1"/>
            </w14:solidFill>
          </w14:textFill>
        </w:rPr>
        <w:t>须负责开展培训服务，包括但不限于对设备管理人员等进行培训服务，并列出详细的培训计划，提供相关主要设备的操作流程及使用手册，维修手册等。</w:t>
      </w:r>
    </w:p>
    <w:p w14:paraId="17FBD714">
      <w:pPr>
        <w:spacing w:line="360" w:lineRule="auto"/>
        <w:rPr>
          <w:rFonts w:hint="eastAsia" w:ascii="宋体" w:hAnsi="宋体" w:cs="宋体"/>
          <w:b/>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t>五、货物的包装及运输：</w:t>
      </w:r>
    </w:p>
    <w:p w14:paraId="110527E7">
      <w:pPr>
        <w:widowControl/>
        <w:adjustRightInd w:val="0"/>
        <w:snapToGrid w:val="0"/>
        <w:spacing w:line="360" w:lineRule="auto"/>
        <w:ind w:firstLine="480" w:firstLineChars="200"/>
        <w:jc w:val="left"/>
        <w:rPr>
          <w:rFonts w:hint="eastAsia"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1、乙方应在货物发运前对其进行满足于运输距离、防震、防锈和防破损装卸要求的包装，以保证货物安全运输到达甲方指定地点。途中发生包装物破损的情况，甲方有权拒收货物。</w:t>
      </w:r>
    </w:p>
    <w:p w14:paraId="33B51C06">
      <w:pPr>
        <w:widowControl/>
        <w:adjustRightInd w:val="0"/>
        <w:snapToGrid w:val="0"/>
        <w:spacing w:line="360" w:lineRule="auto"/>
        <w:ind w:firstLine="480" w:firstLineChars="200"/>
        <w:jc w:val="left"/>
        <w:rPr>
          <w:rFonts w:hint="eastAsia"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2、包装上注明货物品种及数量。</w:t>
      </w:r>
    </w:p>
    <w:p w14:paraId="761B5E87">
      <w:pPr>
        <w:widowControl/>
        <w:adjustRightInd w:val="0"/>
        <w:snapToGrid w:val="0"/>
        <w:spacing w:line="360" w:lineRule="auto"/>
        <w:ind w:firstLine="480" w:firstLineChars="200"/>
        <w:jc w:val="left"/>
        <w:rPr>
          <w:rFonts w:hint="eastAsia"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3、使用说明书、质量检验证明书、随配附件和工具以及清单与货物一起发送。</w:t>
      </w:r>
    </w:p>
    <w:p w14:paraId="1D23A480">
      <w:pPr>
        <w:widowControl/>
        <w:adjustRightInd w:val="0"/>
        <w:snapToGrid w:val="0"/>
        <w:spacing w:line="360" w:lineRule="auto"/>
        <w:ind w:firstLine="480" w:firstLineChars="200"/>
        <w:jc w:val="left"/>
        <w:rPr>
          <w:rFonts w:hint="eastAsia"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4、运输方式：乙方负责运输并承担运输、装卸、倒运及运保费等费用。</w:t>
      </w:r>
    </w:p>
    <w:p w14:paraId="7CB87E11">
      <w:pPr>
        <w:spacing w:line="360" w:lineRule="auto"/>
        <w:rPr>
          <w:rFonts w:hint="eastAsia" w:ascii="宋体" w:hAnsi="宋体" w:cs="宋体"/>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t>六、货物的安装、调试及验收：</w:t>
      </w:r>
    </w:p>
    <w:p w14:paraId="2CBA1A7F">
      <w:pPr>
        <w:widowControl/>
        <w:adjustRightInd w:val="0"/>
        <w:snapToGrid w:val="0"/>
        <w:spacing w:line="360" w:lineRule="auto"/>
        <w:ind w:firstLine="480" w:firstLineChars="200"/>
        <w:jc w:val="left"/>
        <w:rPr>
          <w:rFonts w:hint="eastAsia"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1、甲方对乙方所交货物依照国家有关技术标准和双方确认的技术标准进行现场验收。性能达到技术要求的，验收通过；验收不合格的，限期整改；整改仍达不到要求的，作退货处理。</w:t>
      </w:r>
    </w:p>
    <w:p w14:paraId="7520560D">
      <w:pPr>
        <w:widowControl/>
        <w:adjustRightInd w:val="0"/>
        <w:snapToGrid w:val="0"/>
        <w:spacing w:line="360" w:lineRule="auto"/>
        <w:ind w:firstLine="480" w:firstLineChars="200"/>
        <w:jc w:val="left"/>
        <w:rPr>
          <w:rFonts w:hint="eastAsia"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2、如因货物的质量问题发生争议，由甲方属地技术质量监督部门进行质量鉴定；货物符合质量标准的，鉴定费由甲方承担；货物不符合质量标准的，鉴定费由乙方承担，同时乙方必须无条件退回全部货款，并向甲方支付合同总价款10%的赔偿金。</w:t>
      </w:r>
    </w:p>
    <w:p w14:paraId="6B5C07DF">
      <w:pPr>
        <w:spacing w:line="360" w:lineRule="auto"/>
        <w:rPr>
          <w:rFonts w:hint="eastAsia" w:ascii="宋体" w:hAnsi="宋体" w:cs="宋体"/>
          <w:b/>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t>七、付款方式：</w:t>
      </w:r>
    </w:p>
    <w:p w14:paraId="61C37FAC">
      <w:pPr>
        <w:pStyle w:val="11"/>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付款条件说明：</w:t>
      </w:r>
      <w:r>
        <w:rPr>
          <w:rFonts w:hint="eastAsia" w:ascii="宋体" w:hAnsi="宋体" w:eastAsia="宋体" w:cs="宋体"/>
          <w:kern w:val="2"/>
          <w:sz w:val="24"/>
          <w:szCs w:val="24"/>
          <w:lang w:val="en-US" w:eastAsia="zh-CN" w:bidi="ar-SA"/>
        </w:rPr>
        <w:t>乙方完成全部货物的供货、安装、调试、试运行合格后告知甲方，甲方在</w:t>
      </w:r>
      <w:r>
        <w:rPr>
          <w:rFonts w:hint="eastAsia" w:ascii="宋体" w:hAnsi="宋体" w:eastAsia="宋体" w:cs="宋体"/>
          <w:kern w:val="2"/>
          <w:sz w:val="24"/>
          <w:szCs w:val="24"/>
          <w:u w:val="single"/>
          <w:lang w:val="en-US" w:eastAsia="zh-CN" w:bidi="ar-SA"/>
        </w:rPr>
        <w:t xml:space="preserve">    30  </w:t>
      </w:r>
      <w:r>
        <w:rPr>
          <w:rFonts w:hint="eastAsia" w:ascii="宋体" w:hAnsi="宋体" w:eastAsia="宋体" w:cs="宋体"/>
          <w:kern w:val="2"/>
          <w:sz w:val="24"/>
          <w:szCs w:val="24"/>
          <w:lang w:val="en-US" w:eastAsia="zh-CN" w:bidi="ar-SA"/>
        </w:rPr>
        <w:t xml:space="preserve">天内组织验收，验收合格后乙方向甲方开具全额完税销售发票；甲方在收到发票后 </w:t>
      </w:r>
      <w:r>
        <w:rPr>
          <w:rFonts w:hint="eastAsia" w:ascii="宋体" w:hAnsi="宋体" w:eastAsia="宋体" w:cs="宋体"/>
          <w:kern w:val="2"/>
          <w:sz w:val="24"/>
          <w:szCs w:val="24"/>
          <w:u w:val="single"/>
          <w:lang w:val="en-US" w:eastAsia="zh-CN" w:bidi="ar-SA"/>
        </w:rPr>
        <w:t xml:space="preserve">   20   </w:t>
      </w:r>
      <w:r>
        <w:rPr>
          <w:rFonts w:hint="eastAsia" w:ascii="宋体" w:hAnsi="宋体" w:eastAsia="宋体" w:cs="宋体"/>
          <w:kern w:val="2"/>
          <w:sz w:val="24"/>
          <w:szCs w:val="24"/>
          <w:lang w:val="en-US" w:eastAsia="zh-CN" w:bidi="ar-SA"/>
        </w:rPr>
        <w:t>天内支付合同总金额的100%。</w:t>
      </w:r>
    </w:p>
    <w:p w14:paraId="77F36571">
      <w:pPr>
        <w:spacing w:line="360" w:lineRule="auto"/>
        <w:rPr>
          <w:rFonts w:hint="eastAsia" w:ascii="宋体" w:hAnsi="宋体" w:cs="宋体"/>
          <w:b/>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t>八、违约责任：</w:t>
      </w:r>
      <w:bookmarkStart w:id="10" w:name="_GoBack"/>
      <w:bookmarkEnd w:id="10"/>
    </w:p>
    <w:p w14:paraId="76D987A0">
      <w:pPr>
        <w:widowControl/>
        <w:adjustRightInd w:val="0"/>
        <w:snapToGrid w:val="0"/>
        <w:spacing w:line="360" w:lineRule="auto"/>
        <w:ind w:firstLine="480" w:firstLineChars="200"/>
        <w:jc w:val="left"/>
        <w:rPr>
          <w:rFonts w:hint="eastAsia"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(1)按照《中华人民共和国民法典》和《中华人民共和国政府采购法》中的相关条款执行。</w:t>
      </w:r>
    </w:p>
    <w:p w14:paraId="66C4B3BB">
      <w:pPr>
        <w:widowControl/>
        <w:adjustRightInd w:val="0"/>
        <w:snapToGrid w:val="0"/>
        <w:spacing w:line="360" w:lineRule="auto"/>
        <w:ind w:firstLine="480" w:firstLineChars="200"/>
        <w:jc w:val="left"/>
        <w:rPr>
          <w:rFonts w:hint="eastAsia"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(2)提供的货物不符合合同要求，或者不能满足招标文件技术要求，乙方必须无条件退换直到合格，并承担逾期供货违约责任。否则，甲方有权终止合同，乙方及制造厂商共同退还货款，并支付合同金额30%的违约金，违约金不足以弥补损失的，应继续赔偿损失。 </w:t>
      </w:r>
    </w:p>
    <w:p w14:paraId="443ACC2A">
      <w:pPr>
        <w:widowControl/>
        <w:adjustRightInd w:val="0"/>
        <w:snapToGrid w:val="0"/>
        <w:spacing w:line="360" w:lineRule="auto"/>
        <w:ind w:firstLine="480" w:firstLineChars="200"/>
        <w:jc w:val="left"/>
        <w:rPr>
          <w:rFonts w:hint="eastAsia"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(3)除因不可抗力，乙方逾期交货，每天应按合同总价的千分之一向甲方支付违约金。如乙方逾期三十天仍未交齐货物的，甲方有权终止合同，乙方及制造厂商共同退还货款，并按合同总价30%向甲方支付违约金，违约金不足以弥补损失的，应继续赔偿损失。 </w:t>
      </w:r>
    </w:p>
    <w:p w14:paraId="18BA95BF">
      <w:pPr>
        <w:widowControl/>
        <w:adjustRightInd w:val="0"/>
        <w:snapToGrid w:val="0"/>
        <w:spacing w:line="360" w:lineRule="auto"/>
        <w:ind w:firstLine="480" w:firstLineChars="200"/>
        <w:jc w:val="left"/>
        <w:rPr>
          <w:rFonts w:hint="eastAsia"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(4)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30%的违约金，违约金不足以弥补损失的，应继续赔偿损失。 </w:t>
      </w:r>
    </w:p>
    <w:p w14:paraId="6D2F820B">
      <w:pPr>
        <w:widowControl/>
        <w:adjustRightInd w:val="0"/>
        <w:snapToGrid w:val="0"/>
        <w:spacing w:line="360" w:lineRule="auto"/>
        <w:ind w:firstLine="480" w:firstLineChars="200"/>
        <w:jc w:val="left"/>
        <w:rPr>
          <w:rFonts w:hint="eastAsia"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(5)乙方所供货物在合理使用期限内，因质量或安装问题造成甲方或第三方人身伤亡、财产损失的，乙方应负责解决并承担赔偿责任，并赔偿甲方所有损失（包含但不限于律师费、诉讼费等一切损失）；乙方应按甲方要求采取退货、换货等方式处理，退换货的一切费用由乙方承担，并应退还甲方支付的合同总货款。 </w:t>
      </w:r>
    </w:p>
    <w:p w14:paraId="0796495E">
      <w:pPr>
        <w:widowControl/>
        <w:adjustRightInd w:val="0"/>
        <w:snapToGrid w:val="0"/>
        <w:spacing w:line="360" w:lineRule="auto"/>
        <w:ind w:firstLine="480" w:firstLineChars="200"/>
        <w:jc w:val="left"/>
        <w:rPr>
          <w:rFonts w:hint="eastAsia"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(6)若交货后三十日历日内乙方未完成安装调试的，每逾期一日应按合同总价的千分之一向甲方支付违约金。违约金不足以弥补损失的，应继续赔偿甲方损失。（7）未按合同要求的提供产品或质量不能满足技术要求，甲方有权终止合同，甚至对供方违约行为进行追究。</w:t>
      </w:r>
    </w:p>
    <w:p w14:paraId="2BB91EE7">
      <w:pPr>
        <w:spacing w:line="360" w:lineRule="auto"/>
        <w:rPr>
          <w:rFonts w:hint="eastAsia" w:ascii="宋体" w:hAnsi="宋体" w:cs="宋体"/>
          <w:b/>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t>九、争议解决方式：</w:t>
      </w:r>
    </w:p>
    <w:p w14:paraId="3F7D045B">
      <w:pPr>
        <w:widowControl/>
        <w:adjustRightInd w:val="0"/>
        <w:snapToGrid w:val="0"/>
        <w:spacing w:line="360" w:lineRule="auto"/>
        <w:ind w:firstLine="480" w:firstLineChars="200"/>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本合同在履行过程中发生的争议，由甲、乙双方协商解决，协商不成的，提交甲方所在地有管辖权的人民法院裁决。</w:t>
      </w:r>
    </w:p>
    <w:p w14:paraId="6538E542">
      <w:pPr>
        <w:spacing w:line="360" w:lineRule="auto"/>
        <w:rPr>
          <w:rFonts w:hint="eastAsia" w:ascii="宋体" w:hAnsi="宋体" w:eastAsia="宋体" w:cs="宋体"/>
          <w:b/>
          <w:color w:val="000000" w:themeColor="text1"/>
          <w:kern w:val="0"/>
          <w:sz w:val="24"/>
          <w:szCs w:val="24"/>
          <w14:textFill>
            <w14:solidFill>
              <w14:schemeClr w14:val="tx1"/>
            </w14:solidFill>
          </w14:textFill>
        </w:rPr>
      </w:pPr>
      <w:bookmarkStart w:id="0" w:name="_Toc10769"/>
      <w:bookmarkStart w:id="1" w:name="_Toc27709"/>
      <w:bookmarkStart w:id="2" w:name="_Toc7322"/>
      <w:bookmarkStart w:id="3" w:name="_Toc31635"/>
      <w:bookmarkStart w:id="4" w:name="_Toc31037"/>
      <w:r>
        <w:rPr>
          <w:rFonts w:hint="eastAsia" w:ascii="宋体" w:hAnsi="宋体" w:eastAsia="宋体" w:cs="宋体"/>
          <w:b/>
          <w:color w:val="000000" w:themeColor="text1"/>
          <w:kern w:val="0"/>
          <w:sz w:val="24"/>
          <w:szCs w:val="24"/>
          <w14:textFill>
            <w14:solidFill>
              <w14:schemeClr w14:val="tx1"/>
            </w14:solidFill>
          </w14:textFill>
        </w:rPr>
        <w:t>十、其他事项</w:t>
      </w:r>
    </w:p>
    <w:bookmarkEnd w:id="0"/>
    <w:bookmarkEnd w:id="1"/>
    <w:bookmarkEnd w:id="2"/>
    <w:bookmarkEnd w:id="3"/>
    <w:bookmarkEnd w:id="4"/>
    <w:p w14:paraId="16B94F9E">
      <w:pPr>
        <w:widowControl/>
        <w:adjustRightInd w:val="0"/>
        <w:snapToGrid w:val="0"/>
        <w:spacing w:line="360" w:lineRule="auto"/>
        <w:ind w:firstLine="480" w:firstLineChars="200"/>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1、</w:t>
      </w:r>
      <w:r>
        <w:rPr>
          <w:rFonts w:hint="eastAsia" w:ascii="宋体" w:hAnsi="宋体" w:eastAsia="宋体" w:cs="宋体"/>
          <w:color w:val="000000" w:themeColor="text1"/>
          <w:kern w:val="0"/>
          <w:sz w:val="24"/>
          <w:szCs w:val="24"/>
          <w14:textFill>
            <w14:solidFill>
              <w14:schemeClr w14:val="tx1"/>
            </w14:solidFill>
          </w14:textFill>
        </w:rPr>
        <w:t>招标文件、投标文件、澄清表（函）、中标通知书、合同附件均成为合同不可分割的部分。</w:t>
      </w:r>
    </w:p>
    <w:p w14:paraId="61E9E9FA">
      <w:pPr>
        <w:widowControl/>
        <w:adjustRightInd w:val="0"/>
        <w:snapToGrid w:val="0"/>
        <w:spacing w:line="360" w:lineRule="auto"/>
        <w:ind w:firstLine="480" w:firstLineChars="200"/>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2、</w:t>
      </w:r>
      <w:r>
        <w:rPr>
          <w:rFonts w:hint="eastAsia" w:ascii="宋体" w:hAnsi="宋体" w:eastAsia="宋体" w:cs="宋体"/>
          <w:color w:val="000000" w:themeColor="text1"/>
          <w:kern w:val="0"/>
          <w:sz w:val="24"/>
          <w:szCs w:val="24"/>
          <w14:textFill>
            <w14:solidFill>
              <w14:schemeClr w14:val="tx1"/>
            </w14:solidFill>
          </w14:textFill>
        </w:rPr>
        <w:t>合同未尽事宜，由甲、乙双方协商并签订书面协议予以约定。</w:t>
      </w:r>
    </w:p>
    <w:p w14:paraId="013528AA">
      <w:pPr>
        <w:spacing w:line="360" w:lineRule="auto"/>
        <w:rPr>
          <w:rFonts w:hint="eastAsia" w:ascii="宋体" w:hAnsi="宋体" w:eastAsia="宋体" w:cs="宋体"/>
          <w:b/>
          <w:color w:val="000000" w:themeColor="text1"/>
          <w:kern w:val="0"/>
          <w:sz w:val="24"/>
          <w:szCs w:val="24"/>
          <w14:textFill>
            <w14:solidFill>
              <w14:schemeClr w14:val="tx1"/>
            </w14:solidFill>
          </w14:textFill>
        </w:rPr>
      </w:pPr>
      <w:bookmarkStart w:id="5" w:name="_Toc26214"/>
      <w:bookmarkStart w:id="6" w:name="_Toc29072"/>
      <w:bookmarkStart w:id="7" w:name="_Toc26525"/>
      <w:bookmarkStart w:id="8" w:name="_Toc2128"/>
      <w:bookmarkStart w:id="9" w:name="_Toc24532"/>
      <w:r>
        <w:rPr>
          <w:rFonts w:hint="eastAsia" w:ascii="宋体" w:hAnsi="宋体" w:eastAsia="宋体" w:cs="宋体"/>
          <w:b/>
          <w:color w:val="000000" w:themeColor="text1"/>
          <w:kern w:val="0"/>
          <w:sz w:val="24"/>
          <w:szCs w:val="24"/>
          <w14:textFill>
            <w14:solidFill>
              <w14:schemeClr w14:val="tx1"/>
            </w14:solidFill>
          </w14:textFill>
        </w:rPr>
        <w:t>十</w:t>
      </w:r>
      <w:r>
        <w:rPr>
          <w:rFonts w:hint="eastAsia" w:ascii="宋体" w:hAnsi="宋体" w:eastAsia="宋体" w:cs="宋体"/>
          <w:b/>
          <w:color w:val="000000" w:themeColor="text1"/>
          <w:kern w:val="0"/>
          <w:sz w:val="24"/>
          <w:szCs w:val="24"/>
          <w:lang w:eastAsia="zh-CN"/>
          <w14:textFill>
            <w14:solidFill>
              <w14:schemeClr w14:val="tx1"/>
            </w14:solidFill>
          </w14:textFill>
        </w:rPr>
        <w:t>一</w:t>
      </w:r>
      <w:r>
        <w:rPr>
          <w:rFonts w:hint="eastAsia" w:ascii="宋体" w:hAnsi="宋体" w:eastAsia="宋体" w:cs="宋体"/>
          <w:b/>
          <w:color w:val="000000" w:themeColor="text1"/>
          <w:kern w:val="0"/>
          <w:sz w:val="24"/>
          <w:szCs w:val="24"/>
          <w14:textFill>
            <w14:solidFill>
              <w14:schemeClr w14:val="tx1"/>
            </w14:solidFill>
          </w14:textFill>
        </w:rPr>
        <w:t>、合同生效</w:t>
      </w:r>
    </w:p>
    <w:bookmarkEnd w:id="5"/>
    <w:bookmarkEnd w:id="6"/>
    <w:bookmarkEnd w:id="7"/>
    <w:bookmarkEnd w:id="8"/>
    <w:bookmarkEnd w:id="9"/>
    <w:p w14:paraId="1575DD10">
      <w:pPr>
        <w:pStyle w:val="3"/>
        <w:spacing w:line="520" w:lineRule="exact"/>
        <w:rPr>
          <w:sz w:val="24"/>
          <w:szCs w:val="24"/>
        </w:rPr>
      </w:pPr>
      <w:r>
        <w:rPr>
          <w:rFonts w:hint="eastAsia" w:ascii="宋体" w:hAnsi="宋体"/>
          <w:sz w:val="24"/>
          <w:szCs w:val="24"/>
        </w:rPr>
        <w:t>本合同一式</w:t>
      </w:r>
      <w:r>
        <w:rPr>
          <w:rFonts w:hint="eastAsia" w:ascii="宋体" w:hAnsi="宋体"/>
          <w:sz w:val="24"/>
          <w:szCs w:val="24"/>
          <w:u w:val="single"/>
          <w:lang w:val="en-US" w:eastAsia="zh-CN"/>
        </w:rPr>
        <w:t xml:space="preserve">    </w:t>
      </w:r>
      <w:r>
        <w:rPr>
          <w:rFonts w:hint="eastAsia" w:ascii="宋体" w:hAnsi="宋体"/>
          <w:sz w:val="24"/>
          <w:szCs w:val="24"/>
        </w:rPr>
        <w:t>份，甲方</w:t>
      </w:r>
      <w:r>
        <w:rPr>
          <w:rFonts w:hint="eastAsia" w:ascii="宋体" w:hAnsi="宋体"/>
          <w:sz w:val="24"/>
          <w:szCs w:val="24"/>
          <w:u w:val="single"/>
          <w:lang w:val="en-US" w:eastAsia="zh-CN"/>
        </w:rPr>
        <w:t xml:space="preserve">    </w:t>
      </w:r>
      <w:r>
        <w:rPr>
          <w:rFonts w:hint="eastAsia" w:ascii="宋体" w:hAnsi="宋体"/>
          <w:sz w:val="24"/>
          <w:szCs w:val="24"/>
        </w:rPr>
        <w:t>份，乙方</w:t>
      </w:r>
      <w:r>
        <w:rPr>
          <w:rFonts w:hint="eastAsia" w:ascii="宋体" w:hAnsi="宋体"/>
          <w:sz w:val="24"/>
          <w:szCs w:val="24"/>
          <w:u w:val="single"/>
          <w:lang w:val="en-US" w:eastAsia="zh-CN"/>
        </w:rPr>
        <w:t xml:space="preserve">    </w:t>
      </w:r>
      <w:r>
        <w:rPr>
          <w:rFonts w:hint="eastAsia" w:ascii="宋体" w:hAnsi="宋体"/>
          <w:sz w:val="24"/>
          <w:szCs w:val="24"/>
        </w:rPr>
        <w:t>份，甲、乙双方签字盖章后生效。（合同的服务承诺则长期有效）。</w:t>
      </w:r>
    </w:p>
    <w:p w14:paraId="304D8DB8">
      <w:pPr>
        <w:snapToGrid w:val="0"/>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未详尽之处双方协商解决。</w:t>
      </w:r>
    </w:p>
    <w:tbl>
      <w:tblPr>
        <w:tblStyle w:val="7"/>
        <w:tblW w:w="9636"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4551"/>
        <w:gridCol w:w="5085"/>
      </w:tblGrid>
      <w:tr w14:paraId="093B62C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4551" w:type="dxa"/>
            <w:vAlign w:val="center"/>
          </w:tcPr>
          <w:p w14:paraId="5BDDC558">
            <w:pPr>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甲  方</w:t>
            </w:r>
          </w:p>
        </w:tc>
        <w:tc>
          <w:tcPr>
            <w:tcW w:w="5085" w:type="dxa"/>
            <w:vAlign w:val="center"/>
          </w:tcPr>
          <w:p w14:paraId="01CA8718">
            <w:pPr>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乙  方</w:t>
            </w:r>
          </w:p>
        </w:tc>
      </w:tr>
      <w:tr w14:paraId="5B4B59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34" w:hRule="atLeast"/>
          <w:jc w:val="center"/>
        </w:trPr>
        <w:tc>
          <w:tcPr>
            <w:tcW w:w="4551" w:type="dxa"/>
            <w:vAlign w:val="center"/>
          </w:tcPr>
          <w:p w14:paraId="5C01EFA9">
            <w:pPr>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陕西国防工业职业技术学院</w:t>
            </w:r>
            <w:r>
              <w:rPr>
                <w:rFonts w:hint="eastAsia" w:ascii="宋体" w:hAnsi="宋体" w:cs="宋体"/>
                <w:color w:val="000000" w:themeColor="text1"/>
                <w:sz w:val="24"/>
                <w:szCs w:val="24"/>
                <w14:textFill>
                  <w14:solidFill>
                    <w14:schemeClr w14:val="tx1"/>
                  </w14:solidFill>
                </w14:textFill>
              </w:rPr>
              <w:t>（盖章）</w:t>
            </w:r>
          </w:p>
        </w:tc>
        <w:tc>
          <w:tcPr>
            <w:tcW w:w="5085" w:type="dxa"/>
            <w:vAlign w:val="center"/>
          </w:tcPr>
          <w:p w14:paraId="46D97C3D">
            <w:pPr>
              <w:spacing w:line="360" w:lineRule="auto"/>
              <w:jc w:val="right"/>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（盖章）</w:t>
            </w:r>
          </w:p>
        </w:tc>
      </w:tr>
      <w:tr w14:paraId="33FAEE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4551" w:type="dxa"/>
            <w:vAlign w:val="center"/>
          </w:tcPr>
          <w:p w14:paraId="3E9BEB00">
            <w:pPr>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地址：陕西省西安市鄠邑区人民路8号</w:t>
            </w:r>
          </w:p>
        </w:tc>
        <w:tc>
          <w:tcPr>
            <w:tcW w:w="5085" w:type="dxa"/>
            <w:vAlign w:val="center"/>
          </w:tcPr>
          <w:p w14:paraId="462059FC">
            <w:pPr>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地址：</w:t>
            </w:r>
          </w:p>
        </w:tc>
      </w:tr>
      <w:tr w14:paraId="4E2177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4551" w:type="dxa"/>
            <w:vAlign w:val="center"/>
          </w:tcPr>
          <w:p w14:paraId="3A133F60">
            <w:pPr>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邮编：710300</w:t>
            </w:r>
          </w:p>
        </w:tc>
        <w:tc>
          <w:tcPr>
            <w:tcW w:w="5085" w:type="dxa"/>
            <w:vAlign w:val="center"/>
          </w:tcPr>
          <w:p w14:paraId="7C98526C">
            <w:pPr>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邮编：</w:t>
            </w:r>
          </w:p>
        </w:tc>
      </w:tr>
      <w:tr w14:paraId="24DD30A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4551" w:type="dxa"/>
            <w:tcBorders>
              <w:bottom w:val="single" w:color="auto" w:sz="4" w:space="0"/>
            </w:tcBorders>
            <w:vAlign w:val="center"/>
          </w:tcPr>
          <w:p w14:paraId="45B84082">
            <w:pPr>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法定代表人：</w:t>
            </w:r>
          </w:p>
        </w:tc>
        <w:tc>
          <w:tcPr>
            <w:tcW w:w="5085" w:type="dxa"/>
            <w:vAlign w:val="center"/>
          </w:tcPr>
          <w:p w14:paraId="54E00631">
            <w:pPr>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法定代表人：</w:t>
            </w:r>
          </w:p>
        </w:tc>
      </w:tr>
      <w:tr w14:paraId="7210A1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4551" w:type="dxa"/>
            <w:tcBorders>
              <w:top w:val="single" w:color="auto" w:sz="4" w:space="0"/>
            </w:tcBorders>
            <w:vAlign w:val="center"/>
          </w:tcPr>
          <w:p w14:paraId="1E039526">
            <w:pPr>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被授权代表：（签字）</w:t>
            </w:r>
          </w:p>
        </w:tc>
        <w:tc>
          <w:tcPr>
            <w:tcW w:w="5085" w:type="dxa"/>
            <w:vAlign w:val="center"/>
          </w:tcPr>
          <w:p w14:paraId="6BCA9B94">
            <w:pPr>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被授权代表：（签字）</w:t>
            </w:r>
          </w:p>
        </w:tc>
      </w:tr>
      <w:tr w14:paraId="55CAB7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4551" w:type="dxa"/>
            <w:vAlign w:val="center"/>
          </w:tcPr>
          <w:p w14:paraId="676DBA29">
            <w:pPr>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电话：029-81480108</w:t>
            </w:r>
          </w:p>
        </w:tc>
        <w:tc>
          <w:tcPr>
            <w:tcW w:w="5085" w:type="dxa"/>
            <w:vAlign w:val="center"/>
          </w:tcPr>
          <w:p w14:paraId="5E3309DE">
            <w:pPr>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电话：</w:t>
            </w:r>
          </w:p>
        </w:tc>
      </w:tr>
      <w:tr w14:paraId="2C5BDB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4551" w:type="dxa"/>
            <w:tcBorders>
              <w:bottom w:val="single" w:color="auto" w:sz="4" w:space="0"/>
            </w:tcBorders>
            <w:vAlign w:val="center"/>
          </w:tcPr>
          <w:p w14:paraId="0FCA96AC">
            <w:pPr>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传真：029-81480005</w:t>
            </w:r>
          </w:p>
        </w:tc>
        <w:tc>
          <w:tcPr>
            <w:tcW w:w="5085" w:type="dxa"/>
            <w:vAlign w:val="center"/>
          </w:tcPr>
          <w:p w14:paraId="38B55AD5">
            <w:pPr>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传真：</w:t>
            </w:r>
          </w:p>
        </w:tc>
      </w:tr>
      <w:tr w14:paraId="1C1E61E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4551" w:type="dxa"/>
            <w:tcBorders>
              <w:top w:val="single" w:color="auto" w:sz="4" w:space="0"/>
              <w:bottom w:val="single" w:color="auto" w:sz="4" w:space="0"/>
            </w:tcBorders>
            <w:vAlign w:val="center"/>
          </w:tcPr>
          <w:p w14:paraId="2EB1B6EF">
            <w:pPr>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开户银行：</w:t>
            </w:r>
          </w:p>
        </w:tc>
        <w:tc>
          <w:tcPr>
            <w:tcW w:w="5085" w:type="dxa"/>
            <w:vAlign w:val="center"/>
          </w:tcPr>
          <w:p w14:paraId="1BEB667B">
            <w:pPr>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开户银行：</w:t>
            </w:r>
          </w:p>
        </w:tc>
      </w:tr>
      <w:tr w14:paraId="201CFF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4551" w:type="dxa"/>
            <w:tcBorders>
              <w:top w:val="single" w:color="auto" w:sz="4" w:space="0"/>
              <w:bottom w:val="single" w:color="auto" w:sz="4" w:space="0"/>
            </w:tcBorders>
            <w:vAlign w:val="center"/>
          </w:tcPr>
          <w:p w14:paraId="0F32A289">
            <w:pPr>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账户名称：陕西国防工业职业技术学院</w:t>
            </w:r>
          </w:p>
        </w:tc>
        <w:tc>
          <w:tcPr>
            <w:tcW w:w="5085" w:type="dxa"/>
            <w:tcBorders>
              <w:bottom w:val="single" w:color="auto" w:sz="4" w:space="0"/>
            </w:tcBorders>
            <w:vAlign w:val="center"/>
          </w:tcPr>
          <w:p w14:paraId="793FD241">
            <w:pPr>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账户名称：</w:t>
            </w:r>
          </w:p>
        </w:tc>
      </w:tr>
      <w:tr w14:paraId="5811088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4551" w:type="dxa"/>
            <w:tcBorders>
              <w:top w:val="single" w:color="auto" w:sz="4" w:space="0"/>
            </w:tcBorders>
            <w:vAlign w:val="center"/>
          </w:tcPr>
          <w:p w14:paraId="4F206E09">
            <w:pPr>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 xml:space="preserve">账号: </w:t>
            </w:r>
          </w:p>
        </w:tc>
        <w:tc>
          <w:tcPr>
            <w:tcW w:w="5085" w:type="dxa"/>
            <w:tcBorders>
              <w:top w:val="single" w:color="auto" w:sz="4" w:space="0"/>
            </w:tcBorders>
            <w:vAlign w:val="center"/>
          </w:tcPr>
          <w:p w14:paraId="504CFF2A">
            <w:pPr>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账号:</w:t>
            </w:r>
          </w:p>
        </w:tc>
      </w:tr>
    </w:tbl>
    <w:p w14:paraId="50E0334E"/>
    <w:p w14:paraId="3490B23B">
      <w:pPr>
        <w:pStyle w:val="10"/>
        <w:rPr>
          <w:rFonts w:hint="eastAsia"/>
        </w:rPr>
      </w:pPr>
    </w:p>
    <w:p w14:paraId="7718C46D">
      <w:pPr>
        <w:pStyle w:val="10"/>
        <w:rPr>
          <w:rFonts w:hint="eastAsia"/>
        </w:rPr>
      </w:pPr>
    </w:p>
    <w:p w14:paraId="55981E25">
      <w:pPr>
        <w:adjustRightInd w:val="0"/>
        <w:snapToGrid w:val="0"/>
        <w:spacing w:line="360" w:lineRule="auto"/>
        <w:ind w:firstLine="1405" w:firstLineChars="500"/>
        <w:rPr>
          <w:rFonts w:hint="eastAsia" w:ascii="宋体" w:hAnsi="宋体" w:cs="Tahoma"/>
          <w:b/>
          <w:color w:val="000000" w:themeColor="text1"/>
          <w:sz w:val="28"/>
          <w:szCs w:val="28"/>
          <w:u w:val="single"/>
          <w14:textFill>
            <w14:solidFill>
              <w14:schemeClr w14:val="tx1"/>
            </w14:solidFill>
          </w14:textFill>
        </w:rPr>
      </w:pPr>
    </w:p>
    <w:p w14:paraId="47C3B9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2"/>
    <w:family w:val="auto"/>
    <w:pitch w:val="default"/>
    <w:sig w:usb0="E0002AFF" w:usb1="C0007841" w:usb2="00000009" w:usb3="00000000" w:csb0="400001FF" w:csb1="FFFF0000"/>
  </w:font>
  <w:font w:name="宋体">
    <w:panose1 w:val="02010600030101010101"/>
    <w:charset w:val="88"/>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B57B4D"/>
    <w:rsid w:val="0C6438DD"/>
    <w:rsid w:val="208F7F77"/>
    <w:rsid w:val="373B350A"/>
    <w:rsid w:val="3A943375"/>
    <w:rsid w:val="3D577C89"/>
    <w:rsid w:val="41B57B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link w:val="12"/>
    <w:semiHidden/>
    <w:unhideWhenUsed/>
    <w:qFormat/>
    <w:uiPriority w:val="0"/>
    <w:pPr>
      <w:keepNext/>
      <w:keepLines/>
      <w:ind w:firstLine="0" w:firstLineChars="0"/>
      <w:outlineLvl w:val="1"/>
    </w:pPr>
    <w:rPr>
      <w:rFonts w:ascii="宋体" w:hAnsi="宋体" w:eastAsia="宋体" w:cs="宋体"/>
      <w:b/>
      <w:bCs/>
      <w:sz w:val="28"/>
      <w:szCs w:val="18"/>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style>
  <w:style w:type="paragraph" w:styleId="4">
    <w:name w:val="Body Text"/>
    <w:basedOn w:val="1"/>
    <w:next w:val="1"/>
    <w:link w:val="9"/>
    <w:qFormat/>
    <w:uiPriority w:val="0"/>
    <w:pPr>
      <w:ind w:firstLine="420" w:firstLineChars="200"/>
    </w:pPr>
    <w:rPr>
      <w:rFonts w:ascii="宋体" w:hAnsi="宋体" w:eastAsia="宋体" w:cs="宋体"/>
      <w:sz w:val="24"/>
      <w:szCs w:val="21"/>
      <w:lang w:val="zh-CN" w:bidi="zh-CN"/>
    </w:rPr>
  </w:style>
  <w:style w:type="paragraph" w:styleId="5">
    <w:name w:val="Body Text Indent"/>
    <w:basedOn w:val="1"/>
    <w:semiHidden/>
    <w:unhideWhenUsed/>
    <w:qFormat/>
    <w:uiPriority w:val="99"/>
    <w:pPr>
      <w:spacing w:after="120"/>
      <w:ind w:left="420" w:leftChars="200"/>
    </w:pPr>
  </w:style>
  <w:style w:type="paragraph" w:styleId="6">
    <w:name w:val="Body Text First Indent 2"/>
    <w:basedOn w:val="5"/>
    <w:qFormat/>
    <w:uiPriority w:val="99"/>
    <w:pPr>
      <w:spacing w:after="0" w:line="360" w:lineRule="auto"/>
      <w:ind w:left="0" w:leftChars="0" w:firstLine="570"/>
    </w:pPr>
    <w:rPr>
      <w:rFonts w:ascii="Times New Roman" w:hAnsi="Times New Roman"/>
    </w:rPr>
  </w:style>
  <w:style w:type="character" w:customStyle="1" w:styleId="9">
    <w:name w:val="正文文本 Char"/>
    <w:link w:val="4"/>
    <w:qFormat/>
    <w:uiPriority w:val="1"/>
    <w:rPr>
      <w:rFonts w:ascii="宋体" w:hAnsi="宋体" w:eastAsia="宋体" w:cs="宋体"/>
      <w:sz w:val="24"/>
      <w:szCs w:val="21"/>
      <w:lang w:val="zh-CN" w:bidi="zh-CN"/>
    </w:rPr>
  </w:style>
  <w:style w:type="paragraph" w:customStyle="1" w:styleId="10">
    <w:name w:val="段"/>
    <w:next w:val="1"/>
    <w:qFormat/>
    <w:uiPriority w:val="0"/>
    <w:pPr>
      <w:autoSpaceDE w:val="0"/>
      <w:autoSpaceDN w:val="0"/>
      <w:adjustRightInd w:val="0"/>
      <w:snapToGrid w:val="0"/>
      <w:spacing w:line="360" w:lineRule="auto"/>
      <w:ind w:firstLine="200" w:firstLineChars="200"/>
      <w:jc w:val="both"/>
    </w:pPr>
    <w:rPr>
      <w:rFonts w:ascii="宋体" w:hAnsi="Times New Roman" w:eastAsia="宋体" w:cs="Times New Roman"/>
      <w:sz w:val="24"/>
      <w:szCs w:val="22"/>
      <w:lang w:val="en-US" w:eastAsia="zh-CN" w:bidi="ar-SA"/>
    </w:rPr>
  </w:style>
  <w:style w:type="paragraph" w:customStyle="1" w:styleId="11">
    <w:name w:val="null3"/>
    <w:hidden/>
    <w:qFormat/>
    <w:uiPriority w:val="0"/>
    <w:rPr>
      <w:rFonts w:hint="eastAsia" w:asciiTheme="minorHAnsi" w:hAnsiTheme="minorHAnsi" w:eastAsiaTheme="minorEastAsia" w:cstheme="minorBidi"/>
      <w:lang w:val="en-US" w:eastAsia="zh-Hans"/>
    </w:rPr>
  </w:style>
  <w:style w:type="character" w:customStyle="1" w:styleId="12">
    <w:name w:val="标题 2 字符"/>
    <w:basedOn w:val="8"/>
    <w:link w:val="2"/>
    <w:qFormat/>
    <w:uiPriority w:val="99"/>
    <w:rPr>
      <w:rFonts w:ascii="宋体" w:hAnsi="宋体" w:eastAsia="宋体" w:cs="宋体"/>
      <w:b/>
      <w:bCs/>
      <w:sz w:val="2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2255</Words>
  <Characters>2310</Characters>
  <Lines>0</Lines>
  <Paragraphs>0</Paragraphs>
  <TotalTime>1</TotalTime>
  <ScaleCrop>false</ScaleCrop>
  <LinksUpToDate>false</LinksUpToDate>
  <CharactersWithSpaces>2541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2026-07-07T03:03:00Z</dcterms:created>
  <dc:creator>张丹</dc:creator>
  <cp:lastModifiedBy>张丹</cp:lastModifiedBy>
  <dcterms:modified xsi:type="dcterms:W3CDTF">2026-07-13T07:29:42Z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19424B92F1774CACB97EE6F7450502EC_11</vt:lpwstr>
  </property>
  <property fmtid="{D5CDD505-2E9C-101B-9397-08002B2CF9AE}" pid="4" name="KSOTemplateDocerSaveRecord">
    <vt:lpwstr>eyJoZGlkIjoiZjY2YTIwM2JmYzExNGVkOTY2MDZhMzIwNzI3MmMzNTUiLCJ1c2VySWQiOiI1Mjc5MDk3ODMifQ==</vt:lpwstr>
  </property>
</Properties>
</file>