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版本号：SZT2026-SN-XC-ZC-FW-037320260528001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东软16排CT购置维保服务项目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SZT2026-SN-XC-ZC-FW-0373</w:t>
      </w:r>
      <w:r>
        <w:br/>
      </w:r>
      <w:r>
        <w:br/>
      </w:r>
      <w:r>
        <w:br/>
      </w:r>
    </w:p>
    <w:p>
      <w:pPr>
        <w:pStyle w:val="null3"/>
        <w:jc w:val="center"/>
        <w:outlineLvl w:val="2"/>
      </w:pPr>
      <w:r>
        <w:rPr>
          <w:rFonts w:ascii="仿宋_GB2312" w:hAnsi="仿宋_GB2312" w:cs="仿宋_GB2312" w:eastAsia="仿宋_GB2312"/>
          <w:sz w:val="28"/>
          <w:b/>
        </w:rPr>
        <w:t>西安市红会医院</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西安市红会医院</w:t>
      </w:r>
      <w:r>
        <w:rPr>
          <w:rFonts w:ascii="仿宋_GB2312" w:hAnsi="仿宋_GB2312" w:cs="仿宋_GB2312" w:eastAsia="仿宋_GB2312"/>
        </w:rPr>
        <w:t>委托，拟对</w:t>
      </w:r>
      <w:r>
        <w:rPr>
          <w:rFonts w:ascii="仿宋_GB2312" w:hAnsi="仿宋_GB2312" w:cs="仿宋_GB2312" w:eastAsia="仿宋_GB2312"/>
        </w:rPr>
        <w:t>东软16排CT购置维保服务项目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SZT2026-SN-XC-ZC-FW-0373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东软16排CT购置维保服务项目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西安市红会医院南院区东软医疗 NeuViz ACE SP 16 排螺旋 CT 整机维保服务，含扫描机架、检查床、高压发生器、球管、探测器、操作台、系统软件等及配套附属部件。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采购包1（东软16排CT购置维保服务项目）：属于专门面向中小企业采购。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1、法定代表人授权书：法定代表人授权代表参加投标的，须出具法定代表人授权书及授权代表身份证（法定代表人直接参加投标的，须出具法定代表人身份证）。</w:t>
      </w:r>
    </w:p>
    <w:p>
      <w:pPr>
        <w:pStyle w:val="null3"/>
      </w:pPr>
      <w:r>
        <w:rPr>
          <w:rFonts w:ascii="仿宋_GB2312" w:hAnsi="仿宋_GB2312" w:cs="仿宋_GB2312" w:eastAsia="仿宋_GB2312"/>
        </w:rPr>
        <w:t>2、供应商要求：提供有效期内的第三类医疗器械经营许可证或经营备案证。</w:t>
      </w:r>
    </w:p>
    <w:p>
      <w:pPr>
        <w:pStyle w:val="null3"/>
      </w:pPr>
      <w:r>
        <w:rPr>
          <w:rFonts w:ascii="仿宋_GB2312" w:hAnsi="仿宋_GB2312" w:cs="仿宋_GB2312" w:eastAsia="仿宋_GB2312"/>
        </w:rPr>
        <w:t>3、供应商承诺：本项目不接受西安市红会医院职工及其亲属投资开办或控股的企业参加磋商（提供承诺函）。</w:t>
      </w:r>
    </w:p>
    <w:p>
      <w:pPr>
        <w:pStyle w:val="null3"/>
      </w:pPr>
      <w:r>
        <w:rPr>
          <w:rFonts w:ascii="仿宋_GB2312" w:hAnsi="仿宋_GB2312" w:cs="仿宋_GB2312" w:eastAsia="仿宋_GB2312"/>
        </w:rPr>
        <w:t>4、关于联合体磋商要求：本项目不接受联合体磋商。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西安市红会医院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西安市碑林区南稍门南郭路76号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029-86520792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西安市莲湖区高新四路1号高科广场A座1001室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陈先德、李毓菲、杨艳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029-87304326-862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方应当在中标结果公示发布后五个工作日内将项目履约保证金（中标总额的5%）转账至招标方基本户,未按照招标文件要求按时足额缴纳履约保证金的，招标方将取消中标方中标资格（《中华人民共和国招标投标法实施条例 》第七十四条），招标方按照评审报告推荐的成交候选人名单排序，确定下一候选人为中标或者成交供应商（《中华人民共和国政府采购法实施条例》第四十九条），合同约定事宜完成，所有设备功能完好，无息返还履约保证金。 （2）招标方基本户： 户名：西安市红会医院 账号：102407334632 开户行：中行西安长安路支行 转账请注明用途</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人应向采购代理机构交纳招标代理服务费。招标代理服务费的收取参见国家计委颁布的《招标代理服务收费管理暂行办法》（计价格[2002]1980号）和（发改办价格[2003]857号）中服务类收费标准下浮20%收取。在领取成交通知书时向采购代理机构一次性交纳。 开户名称：陕西中技招标有限公司 开户银行：招商银行西安分行营业部 银行账号：1299 1681 2810 001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西安市红会医院</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西安市红会医院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西安市红会医院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联系电话：029-87304326-856</w:t>
      </w:r>
    </w:p>
    <w:p>
      <w:pPr>
        <w:pStyle w:val="null3"/>
      </w:pPr>
      <w:r>
        <w:rPr>
          <w:rFonts w:ascii="仿宋_GB2312" w:hAnsi="仿宋_GB2312" w:cs="仿宋_GB2312" w:eastAsia="仿宋_GB2312"/>
        </w:rPr>
        <w:t>地址：西安市莲湖区高新四路1号高科广场A座1001室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西安市红会医院南院区东软医疗 NeuViz ACE SP 16 排螺旋 CT 整机维保服务，含扫描机架、检查床、高压发生器、球管、探测器、操作台、系统软件等及配套附属部件。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750,000.00</w:t>
      </w:r>
    </w:p>
    <w:p>
      <w:pPr>
        <w:pStyle w:val="null3"/>
      </w:pPr>
      <w:r>
        <w:rPr>
          <w:rFonts w:ascii="仿宋_GB2312" w:hAnsi="仿宋_GB2312" w:cs="仿宋_GB2312" w:eastAsia="仿宋_GB2312"/>
        </w:rPr>
        <w:t>采购包最高限价（元）: 750,000.00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CT维保</w:t>
            </w:r>
          </w:p>
        </w:tc>
        <w:tc>
          <w:tcPr>
            <w:tcW w:type="dxa" w:w="755"/>
          </w:tcPr>
          <w:p>
            <w:pPr>
              <w:pStyle w:val="null3"/>
              <w:jc w:val="right"/>
            </w:pPr>
            <w:r>
              <w:rPr>
                <w:rFonts w:ascii="仿宋_GB2312" w:hAnsi="仿宋_GB2312" w:cs="仿宋_GB2312" w:eastAsia="仿宋_GB2312"/>
              </w:rPr>
              <w:t>3.00</w:t>
            </w:r>
          </w:p>
        </w:tc>
        <w:tc>
          <w:tcPr>
            <w:tcW w:type="dxa" w:w="755"/>
          </w:tcPr>
          <w:p>
            <w:pPr>
              <w:pStyle w:val="null3"/>
              <w:jc w:val="right"/>
            </w:pPr>
            <w:r>
              <w:rPr>
                <w:rFonts w:ascii="仿宋_GB2312" w:hAnsi="仿宋_GB2312" w:cs="仿宋_GB2312" w:eastAsia="仿宋_GB2312"/>
              </w:rPr>
              <w:t>750,000.00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标的名称：CT维保</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w:t>
            </w:r>
            <w:r>
              <w:rPr>
                <w:rFonts w:ascii="仿宋_GB2312" w:hAnsi="仿宋_GB2312" w:cs="仿宋_GB2312" w:eastAsia="仿宋_GB2312"/>
                <w:sz w:val="21"/>
                <w:b/>
              </w:rPr>
              <w:t>技术要求</w:t>
            </w:r>
          </w:p>
          <w:p>
            <w:pPr>
              <w:pStyle w:val="null3"/>
              <w:jc w:val="both"/>
            </w:pP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整机全保</w:t>
            </w:r>
            <w:r>
              <w:rPr>
                <w:rFonts w:ascii="仿宋_GB2312" w:hAnsi="仿宋_GB2312" w:cs="仿宋_GB2312" w:eastAsia="仿宋_GB2312"/>
              </w:rPr>
              <w:t>东软医</w:t>
            </w:r>
            <w:r>
              <w:rPr>
                <w:rFonts w:ascii="仿宋_GB2312" w:hAnsi="仿宋_GB2312" w:cs="仿宋_GB2312" w:eastAsia="仿宋_GB2312"/>
              </w:rPr>
              <w:t>疗</w:t>
            </w:r>
            <w:r>
              <w:rPr>
                <w:rFonts w:ascii="仿宋_GB2312" w:hAnsi="仿宋_GB2312" w:cs="仿宋_GB2312" w:eastAsia="仿宋_GB2312"/>
              </w:rPr>
              <w:t xml:space="preserve">NeuViz ACE SP 16 </w:t>
            </w:r>
            <w:r>
              <w:rPr>
                <w:rFonts w:ascii="仿宋_GB2312" w:hAnsi="仿宋_GB2312" w:cs="仿宋_GB2312" w:eastAsia="仿宋_GB2312"/>
              </w:rPr>
              <w:t xml:space="preserve">排螺旋 </w:t>
            </w:r>
            <w:r>
              <w:rPr>
                <w:rFonts w:ascii="仿宋_GB2312" w:hAnsi="仿宋_GB2312" w:cs="仿宋_GB2312" w:eastAsia="仿宋_GB2312"/>
              </w:rPr>
              <w:t xml:space="preserve">CT </w:t>
            </w:r>
            <w:r>
              <w:rPr>
                <w:rFonts w:ascii="仿宋_GB2312" w:hAnsi="仿宋_GB2312" w:cs="仿宋_GB2312" w:eastAsia="仿宋_GB2312"/>
              </w:rPr>
              <w:t>整机维保服务，含扫描机架、检查床、高压发生器、球管、探测器、操作台、</w:t>
            </w:r>
            <w:r>
              <w:rPr>
                <w:rFonts w:ascii="仿宋_GB2312" w:hAnsi="仿宋_GB2312" w:cs="仿宋_GB2312" w:eastAsia="仿宋_GB2312"/>
              </w:rPr>
              <w:t>系统软件等及配套附属部件。</w:t>
            </w:r>
          </w:p>
          <w:p>
            <w:pPr>
              <w:pStyle w:val="null3"/>
              <w:jc w:val="both"/>
            </w:pPr>
            <w:r>
              <w:rPr>
                <w:rFonts w:ascii="仿宋_GB2312" w:hAnsi="仿宋_GB2312" w:cs="仿宋_GB2312" w:eastAsia="仿宋_GB2312"/>
              </w:rPr>
              <w:t>2</w:t>
            </w:r>
            <w:r>
              <w:rPr>
                <w:rFonts w:ascii="仿宋_GB2312" w:hAnsi="仿宋_GB2312" w:cs="仿宋_GB2312" w:eastAsia="仿宋_GB2312"/>
              </w:rPr>
              <w:t>、开机率保证：合同年度设备开机率≥</w:t>
            </w:r>
            <w:r>
              <w:rPr>
                <w:rFonts w:ascii="仿宋_GB2312" w:hAnsi="仿宋_GB2312" w:cs="仿宋_GB2312" w:eastAsia="仿宋_GB2312"/>
              </w:rPr>
              <w:t>95%</w:t>
            </w:r>
            <w:r>
              <w:rPr>
                <w:rFonts w:ascii="仿宋_GB2312" w:hAnsi="仿宋_GB2312" w:cs="仿宋_GB2312" w:eastAsia="仿宋_GB2312"/>
              </w:rPr>
              <w:t xml:space="preserve">，按 </w:t>
            </w:r>
            <w:r>
              <w:rPr>
                <w:rFonts w:ascii="仿宋_GB2312" w:hAnsi="仿宋_GB2312" w:cs="仿宋_GB2312" w:eastAsia="仿宋_GB2312"/>
              </w:rPr>
              <w:t xml:space="preserve">365 </w:t>
            </w:r>
            <w:r>
              <w:rPr>
                <w:rFonts w:ascii="仿宋_GB2312" w:hAnsi="仿宋_GB2312" w:cs="仿宋_GB2312" w:eastAsia="仿宋_GB2312"/>
              </w:rPr>
              <w:t>天核算年累计停机≤</w:t>
            </w:r>
            <w:r>
              <w:rPr>
                <w:rFonts w:ascii="仿宋_GB2312" w:hAnsi="仿宋_GB2312" w:cs="仿宋_GB2312" w:eastAsia="仿宋_GB2312"/>
              </w:rPr>
              <w:t xml:space="preserve">18 </w:t>
            </w:r>
            <w:r>
              <w:rPr>
                <w:rFonts w:ascii="仿宋_GB2312" w:hAnsi="仿宋_GB2312" w:cs="仿宋_GB2312" w:eastAsia="仿宋_GB2312"/>
              </w:rPr>
              <w:t>天；单次故障维修时间≤</w:t>
            </w:r>
            <w:r>
              <w:rPr>
                <w:rFonts w:ascii="仿宋_GB2312" w:hAnsi="仿宋_GB2312" w:cs="仿宋_GB2312" w:eastAsia="仿宋_GB2312"/>
              </w:rPr>
              <w:t>3</w:t>
            </w:r>
            <w:r>
              <w:rPr>
                <w:rFonts w:ascii="仿宋_GB2312" w:hAnsi="仿宋_GB2312" w:cs="仿宋_GB2312" w:eastAsia="仿宋_GB2312"/>
              </w:rPr>
              <w:t xml:space="preserve">天。因服务商原因超期，每超 </w:t>
            </w:r>
            <w:r>
              <w:rPr>
                <w:rFonts w:ascii="仿宋_GB2312" w:hAnsi="仿宋_GB2312" w:cs="仿宋_GB2312" w:eastAsia="仿宋_GB2312"/>
              </w:rPr>
              <w:t xml:space="preserve">1 </w:t>
            </w:r>
            <w:r>
              <w:rPr>
                <w:rFonts w:ascii="仿宋_GB2312" w:hAnsi="仿宋_GB2312" w:cs="仿宋_GB2312" w:eastAsia="仿宋_GB2312"/>
              </w:rPr>
              <w:t>天顺延</w:t>
            </w:r>
            <w:r>
              <w:rPr>
                <w:rFonts w:ascii="仿宋_GB2312" w:hAnsi="仿宋_GB2312" w:cs="仿宋_GB2312" w:eastAsia="仿宋_GB2312"/>
              </w:rPr>
              <w:t xml:space="preserve">5 </w:t>
            </w:r>
            <w:r>
              <w:rPr>
                <w:rFonts w:ascii="仿宋_GB2312" w:hAnsi="仿宋_GB2312" w:cs="仿宋_GB2312" w:eastAsia="仿宋_GB2312"/>
              </w:rPr>
              <w:t>天保修，并扣减技术服务费</w:t>
            </w:r>
            <w:r>
              <w:rPr>
                <w:rFonts w:ascii="仿宋_GB2312" w:hAnsi="仿宋_GB2312" w:cs="仿宋_GB2312" w:eastAsia="仿宋_GB2312"/>
              </w:rPr>
              <w:t xml:space="preserve">2000 </w:t>
            </w:r>
            <w:r>
              <w:rPr>
                <w:rFonts w:ascii="仿宋_GB2312" w:hAnsi="仿宋_GB2312" w:cs="仿宋_GB2312" w:eastAsia="仿宋_GB2312"/>
              </w:rPr>
              <w:t xml:space="preserve">元 </w:t>
            </w:r>
            <w:r>
              <w:rPr>
                <w:rFonts w:ascii="仿宋_GB2312" w:hAnsi="仿宋_GB2312" w:cs="仿宋_GB2312" w:eastAsia="仿宋_GB2312"/>
              </w:rPr>
              <w:t xml:space="preserve">/ </w:t>
            </w:r>
            <w:r>
              <w:rPr>
                <w:rFonts w:ascii="仿宋_GB2312" w:hAnsi="仿宋_GB2312" w:cs="仿宋_GB2312" w:eastAsia="仿宋_GB2312"/>
              </w:rPr>
              <w:t>天。</w:t>
            </w:r>
          </w:p>
          <w:p>
            <w:pPr>
              <w:pStyle w:val="null3"/>
              <w:jc w:val="both"/>
            </w:pPr>
            <w:r>
              <w:rPr>
                <w:rFonts w:ascii="仿宋_GB2312" w:hAnsi="仿宋_GB2312" w:cs="仿宋_GB2312" w:eastAsia="仿宋_GB2312"/>
              </w:rPr>
              <w:t>3</w:t>
            </w:r>
            <w:r>
              <w:rPr>
                <w:rFonts w:ascii="仿宋_GB2312" w:hAnsi="仿宋_GB2312" w:cs="仿宋_GB2312" w:eastAsia="仿宋_GB2312"/>
              </w:rPr>
              <w:t xml:space="preserve">、工具与备件保障：配备 </w:t>
            </w:r>
            <w:r>
              <w:rPr>
                <w:rFonts w:ascii="仿宋_GB2312" w:hAnsi="仿宋_GB2312" w:cs="仿宋_GB2312" w:eastAsia="仿宋_GB2312"/>
              </w:rPr>
              <w:t xml:space="preserve">NeuViz ACE SP </w:t>
            </w:r>
            <w:r>
              <w:rPr>
                <w:rFonts w:ascii="仿宋_GB2312" w:hAnsi="仿宋_GB2312" w:cs="仿宋_GB2312" w:eastAsia="仿宋_GB2312"/>
              </w:rPr>
              <w:t>专用调试、校准、检测及安全工具，提供工具清单、实物照片或合规证明。应保障备件供应，更</w:t>
            </w:r>
            <w:r>
              <w:rPr>
                <w:rFonts w:ascii="仿宋_GB2312" w:hAnsi="仿宋_GB2312" w:cs="仿宋_GB2312" w:eastAsia="仿宋_GB2312"/>
              </w:rPr>
              <w:t>换配件为原厂全新正品，来源合法、资质齐全，符合设备安全与出厂性能标准；关键部件提供合格证明与溯源文件。</w:t>
            </w:r>
          </w:p>
          <w:p>
            <w:pPr>
              <w:pStyle w:val="null3"/>
              <w:jc w:val="both"/>
            </w:pPr>
            <w:r>
              <w:rPr>
                <w:rFonts w:ascii="仿宋_GB2312" w:hAnsi="仿宋_GB2312" w:cs="仿宋_GB2312" w:eastAsia="仿宋_GB2312"/>
                <w:sz w:val="21"/>
                <w:b/>
              </w:rPr>
              <w:t>二、服务要求</w:t>
            </w:r>
          </w:p>
          <w:p>
            <w:pPr>
              <w:pStyle w:val="null3"/>
              <w:jc w:val="both"/>
            </w:pP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维修时效：</w:t>
            </w:r>
            <w:r>
              <w:rPr>
                <w:rFonts w:ascii="仿宋_GB2312" w:hAnsi="仿宋_GB2312" w:cs="仿宋_GB2312" w:eastAsia="仿宋_GB2312"/>
              </w:rPr>
              <w:t>24</w:t>
            </w:r>
            <w:r>
              <w:rPr>
                <w:rFonts w:ascii="仿宋_GB2312" w:hAnsi="仿宋_GB2312" w:cs="仿宋_GB2312" w:eastAsia="仿宋_GB2312"/>
              </w:rPr>
              <w:t>小时</w:t>
            </w:r>
            <w:r>
              <w:rPr>
                <w:rFonts w:ascii="仿宋_GB2312" w:hAnsi="仿宋_GB2312" w:cs="仿宋_GB2312" w:eastAsia="仿宋_GB2312"/>
              </w:rPr>
              <w:t>*365</w:t>
            </w:r>
            <w:r>
              <w:rPr>
                <w:rFonts w:ascii="仿宋_GB2312" w:hAnsi="仿宋_GB2312" w:cs="仿宋_GB2312" w:eastAsia="仿宋_GB2312"/>
              </w:rPr>
              <w:t>天响应，</w:t>
            </w:r>
            <w:r>
              <w:rPr>
                <w:rFonts w:ascii="仿宋_GB2312" w:hAnsi="仿宋_GB2312" w:cs="仿宋_GB2312" w:eastAsia="仿宋_GB2312"/>
              </w:rPr>
              <w:t>2</w:t>
            </w:r>
            <w:r>
              <w:rPr>
                <w:rFonts w:ascii="仿宋_GB2312" w:hAnsi="仿宋_GB2312" w:cs="仿宋_GB2312" w:eastAsia="仿宋_GB2312"/>
              </w:rPr>
              <w:t>小时内响应，</w:t>
            </w:r>
            <w:r>
              <w:rPr>
                <w:rFonts w:ascii="仿宋_GB2312" w:hAnsi="仿宋_GB2312" w:cs="仿宋_GB2312" w:eastAsia="仿宋_GB2312"/>
              </w:rPr>
              <w:t>6</w:t>
            </w:r>
            <w:r>
              <w:rPr>
                <w:rFonts w:ascii="仿宋_GB2312" w:hAnsi="仿宋_GB2312" w:cs="仿宋_GB2312" w:eastAsia="仿宋_GB2312"/>
              </w:rPr>
              <w:t>小时内到现场，不及时抵达现场扣除技术服务费</w:t>
            </w:r>
            <w:r>
              <w:rPr>
                <w:rFonts w:ascii="仿宋_GB2312" w:hAnsi="仿宋_GB2312" w:cs="仿宋_GB2312" w:eastAsia="仿宋_GB2312"/>
              </w:rPr>
              <w:t>1000</w:t>
            </w:r>
            <w:r>
              <w:rPr>
                <w:rFonts w:ascii="仿宋_GB2312" w:hAnsi="仿宋_GB2312" w:cs="仿宋_GB2312" w:eastAsia="仿宋_GB2312"/>
              </w:rPr>
              <w:t>元</w:t>
            </w:r>
            <w:r>
              <w:rPr>
                <w:rFonts w:ascii="仿宋_GB2312" w:hAnsi="仿宋_GB2312" w:cs="仿宋_GB2312" w:eastAsia="仿宋_GB2312"/>
              </w:rPr>
              <w:t>/</w:t>
            </w:r>
            <w:r>
              <w:rPr>
                <w:rFonts w:ascii="仿宋_GB2312" w:hAnsi="仿宋_GB2312" w:cs="仿宋_GB2312" w:eastAsia="仿宋_GB2312"/>
              </w:rPr>
              <w:t>小时；维修不涉及零配件更换应在</w:t>
            </w:r>
            <w:r>
              <w:rPr>
                <w:rFonts w:ascii="仿宋_GB2312" w:hAnsi="仿宋_GB2312" w:cs="仿宋_GB2312" w:eastAsia="仿宋_GB2312"/>
              </w:rPr>
              <w:t>24</w:t>
            </w:r>
            <w:r>
              <w:rPr>
                <w:rFonts w:ascii="仿宋_GB2312" w:hAnsi="仿宋_GB2312" w:cs="仿宋_GB2312" w:eastAsia="仿宋_GB2312"/>
              </w:rPr>
              <w:t>小时内修复完毕；涉及到零配件更换，应在</w:t>
            </w:r>
            <w:r>
              <w:rPr>
                <w:rFonts w:ascii="仿宋_GB2312" w:hAnsi="仿宋_GB2312" w:cs="仿宋_GB2312" w:eastAsia="仿宋_GB2312"/>
              </w:rPr>
              <w:t>72</w:t>
            </w:r>
            <w:r>
              <w:rPr>
                <w:rFonts w:ascii="仿宋_GB2312" w:hAnsi="仿宋_GB2312" w:cs="仿宋_GB2312" w:eastAsia="仿宋_GB2312"/>
              </w:rPr>
              <w:t>小时内修复完毕，不可抗因素除外。</w:t>
            </w:r>
          </w:p>
          <w:p>
            <w:pPr>
              <w:pStyle w:val="null3"/>
              <w:jc w:val="both"/>
            </w:pP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预防性维保要求：每年</w:t>
            </w:r>
            <w:r>
              <w:rPr>
                <w:rFonts w:ascii="仿宋_GB2312" w:hAnsi="仿宋_GB2312" w:cs="仿宋_GB2312" w:eastAsia="仿宋_GB2312"/>
              </w:rPr>
              <w:t>度提供维保计划</w:t>
            </w:r>
            <w:r>
              <w:rPr>
                <w:rFonts w:ascii="仿宋_GB2312" w:hAnsi="仿宋_GB2312" w:cs="仿宋_GB2312" w:eastAsia="仿宋_GB2312"/>
              </w:rPr>
              <w:t>1</w:t>
            </w:r>
            <w:r>
              <w:rPr>
                <w:rFonts w:ascii="仿宋_GB2312" w:hAnsi="仿宋_GB2312" w:cs="仿宋_GB2312" w:eastAsia="仿宋_GB2312"/>
              </w:rPr>
              <w:t>份，每年</w:t>
            </w:r>
            <w:r>
              <w:rPr>
                <w:rFonts w:ascii="仿宋_GB2312" w:hAnsi="仿宋_GB2312" w:cs="仿宋_GB2312" w:eastAsia="仿宋_GB2312"/>
              </w:rPr>
              <w:t>不少于</w:t>
            </w:r>
            <w:r>
              <w:rPr>
                <w:rFonts w:ascii="仿宋_GB2312" w:hAnsi="仿宋_GB2312" w:cs="仿宋_GB2312" w:eastAsia="仿宋_GB2312"/>
              </w:rPr>
              <w:t>4</w:t>
            </w:r>
            <w:r>
              <w:rPr>
                <w:rFonts w:ascii="仿宋_GB2312" w:hAnsi="仿宋_GB2312" w:cs="仿宋_GB2312" w:eastAsia="仿宋_GB2312"/>
              </w:rPr>
              <w:t>次预防性保养，服务期满追加</w:t>
            </w:r>
            <w:r>
              <w:rPr>
                <w:rFonts w:ascii="仿宋_GB2312" w:hAnsi="仿宋_GB2312" w:cs="仿宋_GB2312" w:eastAsia="仿宋_GB2312"/>
              </w:rPr>
              <w:t xml:space="preserve">1 </w:t>
            </w:r>
            <w:r>
              <w:rPr>
                <w:rFonts w:ascii="仿宋_GB2312" w:hAnsi="仿宋_GB2312" w:cs="仿宋_GB2312" w:eastAsia="仿宋_GB2312"/>
              </w:rPr>
              <w:t>次全面保养，</w:t>
            </w:r>
            <w:r>
              <w:rPr>
                <w:rFonts w:ascii="仿宋_GB2312" w:hAnsi="仿宋_GB2312" w:cs="仿宋_GB2312" w:eastAsia="仿宋_GB2312"/>
              </w:rPr>
              <w:t>预防性保养</w:t>
            </w:r>
            <w:r>
              <w:rPr>
                <w:rFonts w:ascii="仿宋_GB2312" w:hAnsi="仿宋_GB2312" w:cs="仿宋_GB2312" w:eastAsia="仿宋_GB2312"/>
              </w:rPr>
              <w:t>含系统运行检查、清洁除尘、安全检测、影像质量校准、参数评判、性能测试、球管使用情况</w:t>
            </w:r>
            <w:r>
              <w:rPr>
                <w:rFonts w:ascii="仿宋_GB2312" w:hAnsi="仿宋_GB2312" w:cs="仿宋_GB2312" w:eastAsia="仿宋_GB2312"/>
              </w:rPr>
              <w:t>检测</w:t>
            </w:r>
            <w:r>
              <w:rPr>
                <w:rFonts w:ascii="仿宋_GB2312" w:hAnsi="仿宋_GB2312" w:cs="仿宋_GB2312" w:eastAsia="仿宋_GB2312"/>
              </w:rPr>
              <w:t>、重建系统检查、检查机电及软件维护等；每次保养出具双方签字确认的报告单。</w:t>
            </w:r>
          </w:p>
          <w:p>
            <w:pPr>
              <w:pStyle w:val="null3"/>
              <w:jc w:val="both"/>
            </w:pPr>
            <w:r>
              <w:rPr>
                <w:rFonts w:ascii="仿宋_GB2312" w:hAnsi="仿宋_GB2312" w:cs="仿宋_GB2312" w:eastAsia="仿宋_GB2312"/>
              </w:rPr>
              <w:t>3</w:t>
            </w:r>
            <w:r>
              <w:rPr>
                <w:rFonts w:ascii="仿宋_GB2312" w:hAnsi="仿宋_GB2312" w:cs="仿宋_GB2312" w:eastAsia="仿宋_GB2312"/>
              </w:rPr>
              <w:t>、年度评估总结：年末出具详</w:t>
            </w:r>
            <w:r>
              <w:rPr>
                <w:rFonts w:ascii="仿宋_GB2312" w:hAnsi="仿宋_GB2312" w:cs="仿宋_GB2312" w:eastAsia="仿宋_GB2312"/>
              </w:rPr>
              <w:t>细维保评估总结报告，汇总全年故障次数、故障类别、更换配件的具体数量及</w:t>
            </w:r>
            <w:r>
              <w:rPr>
                <w:rFonts w:ascii="仿宋_GB2312" w:hAnsi="仿宋_GB2312" w:cs="仿宋_GB2312" w:eastAsia="仿宋_GB2312"/>
              </w:rPr>
              <w:t>相</w:t>
            </w:r>
            <w:r>
              <w:rPr>
                <w:rFonts w:ascii="仿宋_GB2312" w:hAnsi="仿宋_GB2312" w:cs="仿宋_GB2312" w:eastAsia="仿宋_GB2312"/>
              </w:rPr>
              <w:t>应费用；全面评估设备运行状况，结合设备使用年限及故障规律，提出针对性的优化及维护建议。</w:t>
            </w:r>
          </w:p>
          <w:p>
            <w:pPr>
              <w:pStyle w:val="null3"/>
              <w:jc w:val="both"/>
            </w:pPr>
            <w:r>
              <w:rPr>
                <w:rFonts w:ascii="仿宋_GB2312" w:hAnsi="仿宋_GB2312" w:cs="仿宋_GB2312" w:eastAsia="仿宋_GB2312"/>
              </w:rPr>
              <w:t>4</w:t>
            </w:r>
            <w:r>
              <w:rPr>
                <w:rFonts w:ascii="仿宋_GB2312" w:hAnsi="仿宋_GB2312" w:cs="仿宋_GB2312" w:eastAsia="仿宋_GB2312"/>
              </w:rPr>
              <w:t>、人员配置要求：为本项目配置≥</w:t>
            </w:r>
            <w:r>
              <w:rPr>
                <w:rFonts w:ascii="仿宋_GB2312" w:hAnsi="仿宋_GB2312" w:cs="仿宋_GB2312" w:eastAsia="仿宋_GB2312"/>
              </w:rPr>
              <w:t xml:space="preserve">2 </w:t>
            </w:r>
            <w:r>
              <w:rPr>
                <w:rFonts w:ascii="仿宋_GB2312" w:hAnsi="仿宋_GB2312" w:cs="仿宋_GB2312" w:eastAsia="仿宋_GB2312"/>
              </w:rPr>
              <w:t>名 专职工程师，持有</w:t>
            </w:r>
            <w:r>
              <w:rPr>
                <w:rFonts w:ascii="仿宋_GB2312" w:hAnsi="仿宋_GB2312" w:cs="仿宋_GB2312" w:eastAsia="仿宋_GB2312"/>
              </w:rPr>
              <w:t>CT</w:t>
            </w:r>
            <w:r>
              <w:rPr>
                <w:rFonts w:ascii="仿宋_GB2312" w:hAnsi="仿宋_GB2312" w:cs="仿宋_GB2312" w:eastAsia="仿宋_GB2312"/>
              </w:rPr>
              <w:t>维修培训合格证；提供工程师履历、认证证书、社保（开标前</w:t>
            </w:r>
            <w:r>
              <w:rPr>
                <w:rFonts w:ascii="仿宋_GB2312" w:hAnsi="仿宋_GB2312" w:cs="仿宋_GB2312" w:eastAsia="仿宋_GB2312"/>
              </w:rPr>
              <w:t>6</w:t>
            </w:r>
            <w:r>
              <w:rPr>
                <w:rFonts w:ascii="仿宋_GB2312" w:hAnsi="仿宋_GB2312" w:cs="仿宋_GB2312" w:eastAsia="仿宋_GB2312"/>
              </w:rPr>
              <w:t>个月内任意一个月）及值守承诺函。</w:t>
            </w:r>
          </w:p>
          <w:p>
            <w:pPr>
              <w:pStyle w:val="null3"/>
              <w:jc w:val="both"/>
            </w:pPr>
            <w:r>
              <w:rPr>
                <w:rFonts w:ascii="仿宋_GB2312" w:hAnsi="仿宋_GB2312" w:cs="仿宋_GB2312" w:eastAsia="仿宋_GB2312"/>
              </w:rPr>
              <w:t>5</w:t>
            </w:r>
            <w:r>
              <w:rPr>
                <w:rFonts w:ascii="仿宋_GB2312" w:hAnsi="仿宋_GB2312" w:cs="仿宋_GB2312" w:eastAsia="仿宋_GB2312"/>
              </w:rPr>
              <w:t>、服务管理体系：提供项目管理机构图、</w:t>
            </w:r>
            <w:r>
              <w:rPr>
                <w:rFonts w:ascii="仿宋_GB2312" w:hAnsi="仿宋_GB2312" w:cs="仿宋_GB2312" w:eastAsia="仿宋_GB2312"/>
              </w:rPr>
              <w:t>组织运行图、项目负责人职责、内部分工、日常管理制度及考核办法，具备完善应急抢修、备件调度、投诉处理与质量追溯机制。</w:t>
            </w:r>
          </w:p>
          <w:p>
            <w:pPr>
              <w:pStyle w:val="null3"/>
              <w:jc w:val="both"/>
            </w:pPr>
            <w:r>
              <w:rPr>
                <w:rFonts w:ascii="仿宋_GB2312" w:hAnsi="仿宋_GB2312" w:cs="仿宋_GB2312" w:eastAsia="仿宋_GB2312"/>
              </w:rPr>
              <w:t>6</w:t>
            </w:r>
            <w:r>
              <w:rPr>
                <w:rFonts w:ascii="仿宋_GB2312" w:hAnsi="仿宋_GB2312" w:cs="仿宋_GB2312" w:eastAsia="仿宋_GB2312"/>
              </w:rPr>
              <w:t>、培训与合规服务：按医院需求提供培训服务，配合完成年度质检部门的检测，确保达标通过。提供</w:t>
            </w:r>
            <w:r>
              <w:rPr>
                <w:rFonts w:ascii="仿宋_GB2312" w:hAnsi="仿宋_GB2312" w:cs="仿宋_GB2312" w:eastAsia="仿宋_GB2312"/>
              </w:rPr>
              <w:t>7</w:t>
            </w:r>
            <w:r>
              <w:rPr>
                <w:rFonts w:ascii="仿宋_GB2312" w:hAnsi="仿宋_GB2312" w:cs="仿宋_GB2312" w:eastAsia="仿宋_GB2312"/>
              </w:rPr>
              <w:t>×</w:t>
            </w:r>
            <w:r>
              <w:rPr>
                <w:rFonts w:ascii="仿宋_GB2312" w:hAnsi="仿宋_GB2312" w:cs="仿宋_GB2312" w:eastAsia="仿宋_GB2312"/>
              </w:rPr>
              <w:t>24</w:t>
            </w:r>
            <w:r>
              <w:rPr>
                <w:rFonts w:ascii="仿宋_GB2312" w:hAnsi="仿宋_GB2312" w:cs="仿宋_GB2312" w:eastAsia="仿宋_GB2312"/>
              </w:rPr>
              <w:t>小时服务专线，支持远程诊断、远程协助与故障预判。</w:t>
            </w:r>
          </w:p>
          <w:p>
            <w:pPr>
              <w:pStyle w:val="null3"/>
            </w:pPr>
            <w:r>
              <w:rPr>
                <w:rFonts w:ascii="仿宋_GB2312" w:hAnsi="仿宋_GB2312" w:cs="仿宋_GB2312" w:eastAsia="仿宋_GB2312"/>
                <w:sz w:val="18"/>
              </w:rPr>
              <w:t>7</w:t>
            </w:r>
            <w:r>
              <w:rPr>
                <w:rFonts w:ascii="仿宋_GB2312" w:hAnsi="仿宋_GB2312" w:cs="仿宋_GB2312" w:eastAsia="仿宋_GB2312"/>
                <w:sz w:val="18"/>
              </w:rPr>
              <w:t>、投标人须有相应的履约能力及风险承担能力，投标人需具有承担项目过程中的风险能力及承诺方案。</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详见服务内容</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详见服务内容</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详见服务内容</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自合同签订之日起三年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1、按国家现行项目实施规范和合同规定的验收评定标准等要求进行验收。2、验收以合同、磋商文件、响应文件、澄清表（函）为依据3、每次维修后组织验收。4、每年度合同到期前30天内组织验收。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进度款，分六期付款，每完成半年维保服务验收合格后，支付当年合同款的50％ .，达到付款条件起10个工作日内，支付合同总金额的16.66%</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进度款，分六期付款，每完成半年维保服务验收合格后，支付当年合同款的50％ .，达到付款条件起10个工作日内，支付合同总金额的16.66%</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进度款，分六期付款，每完成半年维保服务验收合格后，支付当年合同款的50％ .，达到付款条件起10个工作日内，支付合同总金额的16.66%</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进度款，分六期付款，每完成半年维保服务验收合格后，支付当年合同款的50％ .，达到付款条件起10个工作日内，支付合同总金额的16.66%</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进度款，分六期付款，每完成半年维保服务验收合格后，支付当年合同款的50％ .，达到付款条件起10个工作日内，支付合同总金额的16.66%</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进度款，分六期付款，每完成半年维保服务验收合格后，支付当年合同款的50％ .，达到付款条件起10个工作日内，支付合同总金额的16.7%</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（一）按《中华人民共和国民法典》中的相关条款执行。 （二）乙方未按合同要求提供，质量不能满足技术要求的，甲方有权解除合同（合同自书面解除通知到达乙方之日起解除），乙方赔偿甲方解除合同的全部损失（包括但不限于重新采购产生的费用及其它由此造成的甲方对第三方的违约损失），并按照合同最高执行总价的30%支付违约金，同时按《政府采购法》有关处罚条款报监管机构进行相应的处罚。 （三）服务期内，乙方每推迟或未提供服务1天，支付合同最高执行总价的1%作为违约金。累计超过15天的，视为乙方根本违约，甲方有权单方解除合同（合同自书面解除通知送达乙方之日起解除），乙方应赔偿解除合同给甲方造成的全部损失（包括但不限于重新采购产生的费用、合同未履行导致项目不能按规划提供可能产生的服务费用），乙方应按照合同最高执行总价的30%承担违约金，若违约金不足以弥补甲方损失的，由乙方另行支付。 (四）保证设备开机保证率达到95%（按全年365天机算），每超过一天延长保修期≥7天。当设备开机率低于85%时视为乙方违约，甲方有权解除合同，自甲方书面解除合同通知到达乙方之日起，视为合同解除。 （五）合同执行中发生争议的，当事人双方应协商解决，无法协商或协商达不成一致时，双方均有权向甲方住所地人民法院提请诉讼。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根据《陕西省中小企业政府采购信用融资办法》（陕财办采〔2018〕23号）、《陕西省财政厅关于加快推进我省中小企业政府采购信用融资工作的通知》《陕财办采〔2020〕15号》、西安市财政局关于印发《关于调整西安市政府采购信用担保及信用融资合作机构联系名单的通知》（市财发 〔2015〕4号）的有关规定，有融资需求的供应商可根据自身情况，在陕西省政府采购信用融资平台（含各市分平台）自主选择金融机构及其融资产品，凭政府采购中标（成交）通知书或政府采购合同向金融机构提出融资申请。 2.本项目根据《中小企业划型标准规定》标的类型划分为其他未列明行业。根据《中小企业划型标准规定》其他未列明行业。从业人员300人以下的为中小微型企业。其中，从业人员100人及以上的为中型企业;从业人员10人及以上的为小型企业;从业人员10人以下的为微型企业。 3.成交供应商在领取成交通知书时提供3套纸质投标文件（1正2副），纸质版投标文件应与线上电子投标文件保持一致并加盖公章。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2、具有良好的商业信誉和健全的财务会计制度（提供2024年度或2025年度财务审计报告或开标前12个月内银行资信证明或财政部门认可的政府采购专业担保机构出具的投标担保函）； 3、具有履行合同所必需的设备和专业技术能力的书面声明（格式详见附件）； 4、具有依法缴纳税收和社会保障资金的良好记录（提供开标前 12 个月内任一月份的社保和缴纳税收的证明，依法不需要缴纳社会保障资金、免税或无须缴纳税款的供应商，应提供相关证明文件)； 5、参加政府采购活动前 3 年内在经营活动中没有重大违法记录的书面声明（格式详见附件）。</w:t>
            </w:r>
          </w:p>
        </w:tc>
        <w:tc>
          <w:tcPr>
            <w:tcW w:type="dxa" w:w="1661"/>
          </w:tcPr>
          <w:p>
            <w:pPr>
              <w:pStyle w:val="null3"/>
            </w:pPr>
            <w:r>
              <w:rPr>
                <w:rFonts w:ascii="仿宋_GB2312" w:hAnsi="仿宋_GB2312" w:cs="仿宋_GB2312" w:eastAsia="仿宋_GB2312"/>
              </w:rPr>
              <w:t>格式文件.docx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具有良好的商业信誉和健全的财务会计制度（提供2024年度或2025年度财务审计报告或开标前12个月内银行资信证明或财政部门认可的政府采购专业担保机构出具的投标担保函）。</w:t>
            </w:r>
          </w:p>
        </w:tc>
        <w:tc>
          <w:tcPr>
            <w:tcW w:type="dxa" w:w="1661"/>
          </w:tcPr>
          <w:p>
            <w:pPr>
              <w:pStyle w:val="null3"/>
            </w:pPr>
            <w:r>
              <w:rPr>
                <w:rFonts w:ascii="仿宋_GB2312" w:hAnsi="仿宋_GB2312" w:cs="仿宋_GB2312" w:eastAsia="仿宋_GB2312"/>
              </w:rPr>
              <w:t>格式文件.docx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法定代表人授权代表参加投标的，须出具法定代表人授权书及授权代表身份证（法定代表人直接参加投标的，须出具法定代表人身份证）。</w:t>
            </w:r>
          </w:p>
        </w:tc>
        <w:tc>
          <w:tcPr>
            <w:tcW w:type="dxa" w:w="1661"/>
          </w:tcPr>
          <w:p>
            <w:pPr>
              <w:pStyle w:val="null3"/>
            </w:pPr>
            <w:r>
              <w:rPr>
                <w:rFonts w:ascii="仿宋_GB2312" w:hAnsi="仿宋_GB2312" w:cs="仿宋_GB2312" w:eastAsia="仿宋_GB2312"/>
              </w:rPr>
              <w:t>格式文件.docx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供应商要求</w:t>
            </w:r>
          </w:p>
        </w:tc>
        <w:tc>
          <w:tcPr>
            <w:tcW w:type="dxa" w:w="3322"/>
          </w:tcPr>
          <w:p>
            <w:pPr>
              <w:pStyle w:val="null3"/>
            </w:pPr>
            <w:r>
              <w:rPr>
                <w:rFonts w:ascii="仿宋_GB2312" w:hAnsi="仿宋_GB2312" w:cs="仿宋_GB2312" w:eastAsia="仿宋_GB2312"/>
              </w:rPr>
              <w:t>提供有效期内的第三类医疗器械经营许可证或经营备案证。</w:t>
            </w:r>
          </w:p>
        </w:tc>
        <w:tc>
          <w:tcPr>
            <w:tcW w:type="dxa" w:w="1661"/>
          </w:tcPr>
          <w:p>
            <w:pPr>
              <w:pStyle w:val="null3"/>
            </w:pPr>
            <w:r>
              <w:rPr>
                <w:rFonts w:ascii="仿宋_GB2312" w:hAnsi="仿宋_GB2312" w:cs="仿宋_GB2312" w:eastAsia="仿宋_GB2312"/>
              </w:rPr>
              <w:t>格式文件.docx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供应商承诺</w:t>
            </w:r>
          </w:p>
        </w:tc>
        <w:tc>
          <w:tcPr>
            <w:tcW w:type="dxa" w:w="3322"/>
          </w:tcPr>
          <w:p>
            <w:pPr>
              <w:pStyle w:val="null3"/>
            </w:pPr>
            <w:r>
              <w:rPr>
                <w:rFonts w:ascii="仿宋_GB2312" w:hAnsi="仿宋_GB2312" w:cs="仿宋_GB2312" w:eastAsia="仿宋_GB2312"/>
              </w:rPr>
              <w:t>本项目不接受西安市红会医院职工及其亲属投资开办或控股的企业参加磋商（提供承诺函）。</w:t>
            </w:r>
          </w:p>
        </w:tc>
        <w:tc>
          <w:tcPr>
            <w:tcW w:type="dxa" w:w="1661"/>
          </w:tcPr>
          <w:p>
            <w:pPr>
              <w:pStyle w:val="null3"/>
            </w:pPr>
            <w:r>
              <w:rPr>
                <w:rFonts w:ascii="仿宋_GB2312" w:hAnsi="仿宋_GB2312" w:cs="仿宋_GB2312" w:eastAsia="仿宋_GB2312"/>
              </w:rPr>
              <w:t>格式文件.docx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关于联合体磋商要求</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格式文件.docx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服务期限是否符合磋商文件要求</w:t>
            </w:r>
          </w:p>
        </w:tc>
        <w:tc>
          <w:tcPr>
            <w:tcW w:type="dxa" w:w="1661"/>
          </w:tcPr>
          <w:p>
            <w:pPr>
              <w:pStyle w:val="null3"/>
            </w:pPr>
            <w:r>
              <w:rPr>
                <w:rFonts w:ascii="仿宋_GB2312" w:hAnsi="仿宋_GB2312" w:cs="仿宋_GB2312" w:eastAsia="仿宋_GB2312"/>
              </w:rPr>
              <w:t>格式文件.docx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付款方式是否符合磋商文件要求</w:t>
            </w:r>
          </w:p>
        </w:tc>
        <w:tc>
          <w:tcPr>
            <w:tcW w:type="dxa" w:w="1661"/>
          </w:tcPr>
          <w:p>
            <w:pPr>
              <w:pStyle w:val="null3"/>
            </w:pPr>
            <w:r>
              <w:rPr>
                <w:rFonts w:ascii="仿宋_GB2312" w:hAnsi="仿宋_GB2312" w:cs="仿宋_GB2312" w:eastAsia="仿宋_GB2312"/>
              </w:rPr>
              <w:t>格式文件.docx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响应文件有效期是否合格</w:t>
            </w:r>
          </w:p>
        </w:tc>
        <w:tc>
          <w:tcPr>
            <w:tcW w:type="dxa" w:w="1661"/>
          </w:tcPr>
          <w:p>
            <w:pPr>
              <w:pStyle w:val="null3"/>
            </w:pPr>
            <w:r>
              <w:rPr>
                <w:rFonts w:ascii="仿宋_GB2312" w:hAnsi="仿宋_GB2312" w:cs="仿宋_GB2312" w:eastAsia="仿宋_GB2312"/>
              </w:rPr>
              <w:t>格式文件.docx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响应文件的签字盖章</w:t>
            </w:r>
          </w:p>
        </w:tc>
        <w:tc>
          <w:tcPr>
            <w:tcW w:type="dxa" w:w="3322"/>
          </w:tcPr>
          <w:p>
            <w:pPr>
              <w:pStyle w:val="null3"/>
            </w:pPr>
            <w:r>
              <w:rPr>
                <w:rFonts w:ascii="仿宋_GB2312" w:hAnsi="仿宋_GB2312" w:cs="仿宋_GB2312" w:eastAsia="仿宋_GB2312"/>
              </w:rPr>
              <w:t>响应文件的签字盖章是否合格</w:t>
            </w:r>
          </w:p>
        </w:tc>
        <w:tc>
          <w:tcPr>
            <w:tcW w:type="dxa" w:w="1661"/>
          </w:tcPr>
          <w:p>
            <w:pPr>
              <w:pStyle w:val="null3"/>
            </w:pPr>
            <w:r>
              <w:rPr>
                <w:rFonts w:ascii="仿宋_GB2312" w:hAnsi="仿宋_GB2312" w:cs="仿宋_GB2312" w:eastAsia="仿宋_GB2312"/>
              </w:rPr>
              <w:t>响应文件封面 格式文件.docx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供应商报价</w:t>
            </w:r>
          </w:p>
        </w:tc>
        <w:tc>
          <w:tcPr>
            <w:tcW w:type="dxa" w:w="3322"/>
          </w:tcPr>
          <w:p>
            <w:pPr>
              <w:pStyle w:val="null3"/>
            </w:pPr>
            <w:r>
              <w:rPr>
                <w:rFonts w:ascii="仿宋_GB2312" w:hAnsi="仿宋_GB2312" w:cs="仿宋_GB2312" w:eastAsia="仿宋_GB2312"/>
              </w:rPr>
              <w:t>供应商报价未超出采购预算及最高限价</w:t>
            </w:r>
          </w:p>
        </w:tc>
        <w:tc>
          <w:tcPr>
            <w:tcW w:type="dxa" w:w="1661"/>
          </w:tcPr>
          <w:p>
            <w:pPr>
              <w:pStyle w:val="null3"/>
            </w:pPr>
            <w:r>
              <w:rPr>
                <w:rFonts w:ascii="仿宋_GB2312" w:hAnsi="仿宋_GB2312" w:cs="仿宋_GB2312" w:eastAsia="仿宋_GB2312"/>
              </w:rPr>
              <w:t>格式文件.docx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质量保证1</w:t>
            </w:r>
          </w:p>
        </w:tc>
        <w:tc>
          <w:tcPr>
            <w:tcW w:type="dxa" w:w="2492"/>
          </w:tcPr>
          <w:p>
            <w:pPr>
              <w:pStyle w:val="null3"/>
            </w:pPr>
            <w:r>
              <w:rPr>
                <w:rFonts w:ascii="仿宋_GB2312" w:hAnsi="仿宋_GB2312" w:cs="仿宋_GB2312" w:eastAsia="仿宋_GB2312"/>
              </w:rPr>
              <w:t>供应商具有针对本项目的质量保证措施，包括：①正规的配件供货渠道；②充足的零配件库存等。 以上2项内容每一项内容全面详细、阐述条理清晰得3分，满分6分，每有一项存在一处缺陷，扣1分，扣完为止。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格式文件.docx</w:t>
            </w:r>
          </w:p>
        </w:tc>
      </w:tr>
      <w:tr>
        <w:tc>
          <w:tcPr>
            <w:tcW w:type="dxa" w:w="831"/>
            <w:vMerge/>
          </w:tcPr>
          <w:p/>
        </w:tc>
        <w:tc>
          <w:tcPr>
            <w:tcW w:type="dxa" w:w="1661"/>
          </w:tcPr>
          <w:p>
            <w:pPr>
              <w:pStyle w:val="null3"/>
            </w:pPr>
            <w:r>
              <w:rPr>
                <w:rFonts w:ascii="仿宋_GB2312" w:hAnsi="仿宋_GB2312" w:cs="仿宋_GB2312" w:eastAsia="仿宋_GB2312"/>
              </w:rPr>
              <w:t>质量保证2</w:t>
            </w:r>
          </w:p>
        </w:tc>
        <w:tc>
          <w:tcPr>
            <w:tcW w:type="dxa" w:w="2492"/>
          </w:tcPr>
          <w:p>
            <w:pPr>
              <w:pStyle w:val="null3"/>
            </w:pPr>
            <w:r>
              <w:rPr>
                <w:rFonts w:ascii="仿宋_GB2312" w:hAnsi="仿宋_GB2312" w:cs="仿宋_GB2312" w:eastAsia="仿宋_GB2312"/>
              </w:rPr>
              <w:t>供应商针对本项目有：①质量承诺；②保证措施； ③实施计划等。 以上3项内容每一项内容全面详细、阐述条理清晰得3分，满分9分，每有一项存在一处缺陷，扣1分，扣完为止。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格式文件.docx</w:t>
            </w:r>
          </w:p>
        </w:tc>
      </w:tr>
      <w:tr>
        <w:tc>
          <w:tcPr>
            <w:tcW w:type="dxa" w:w="831"/>
            <w:vMerge/>
          </w:tcPr>
          <w:p/>
        </w:tc>
        <w:tc>
          <w:tcPr>
            <w:tcW w:type="dxa" w:w="1661"/>
          </w:tcPr>
          <w:p>
            <w:pPr>
              <w:pStyle w:val="null3"/>
            </w:pPr>
            <w:r>
              <w:rPr>
                <w:rFonts w:ascii="仿宋_GB2312" w:hAnsi="仿宋_GB2312" w:cs="仿宋_GB2312" w:eastAsia="仿宋_GB2312"/>
              </w:rPr>
              <w:t>维护保养方案</w:t>
            </w:r>
          </w:p>
        </w:tc>
        <w:tc>
          <w:tcPr>
            <w:tcW w:type="dxa" w:w="2492"/>
          </w:tcPr>
          <w:p>
            <w:pPr>
              <w:pStyle w:val="null3"/>
            </w:pPr>
            <w:r>
              <w:rPr>
                <w:rFonts w:ascii="仿宋_GB2312" w:hAnsi="仿宋_GB2312" w:cs="仿宋_GB2312" w:eastAsia="仿宋_GB2312"/>
              </w:rPr>
              <w:t>对本项目计划性定期的维修服务内容制定科学合理的服务方案，包含：①机器清洁；②性能测试及校准；③必要的机械或电器的检查；④非紧急性质的预防性维护等。 以上4项内容每一项内容全面详细、阐述条理清晰得5分，满分20分，每有一项存在一处缺陷，扣1分，扣完为止。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格式文件.docx</w:t>
            </w:r>
          </w:p>
        </w:tc>
      </w:tr>
      <w:tr>
        <w:tc>
          <w:tcPr>
            <w:tcW w:type="dxa" w:w="831"/>
            <w:vMerge/>
          </w:tcPr>
          <w:p/>
        </w:tc>
        <w:tc>
          <w:tcPr>
            <w:tcW w:type="dxa" w:w="1661"/>
          </w:tcPr>
          <w:p>
            <w:pPr>
              <w:pStyle w:val="null3"/>
            </w:pPr>
            <w:r>
              <w:rPr>
                <w:rFonts w:ascii="仿宋_GB2312" w:hAnsi="仿宋_GB2312" w:cs="仿宋_GB2312" w:eastAsia="仿宋_GB2312"/>
              </w:rPr>
              <w:t>响应时效</w:t>
            </w:r>
          </w:p>
        </w:tc>
        <w:tc>
          <w:tcPr>
            <w:tcW w:type="dxa" w:w="2492"/>
          </w:tcPr>
          <w:p>
            <w:pPr>
              <w:pStyle w:val="null3"/>
            </w:pPr>
            <w:r>
              <w:rPr>
                <w:rFonts w:ascii="仿宋_GB2312" w:hAnsi="仿宋_GB2312" w:cs="仿宋_GB2312" w:eastAsia="仿宋_GB2312"/>
              </w:rPr>
              <w:t>供应商提供详细具体的维修响应时效承诺，包括：①报修受理；②现场上门时效；③时效保障措施等。 以上3项内容每一项内容全面详细、阐述条理清晰得2分，满分6分，每有一项存在一处缺陷，扣1分，扣完为止。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格式文件.docx</w:t>
            </w:r>
          </w:p>
        </w:tc>
      </w:tr>
      <w:tr>
        <w:tc>
          <w:tcPr>
            <w:tcW w:type="dxa" w:w="831"/>
            <w:vMerge/>
          </w:tcPr>
          <w:p/>
        </w:tc>
        <w:tc>
          <w:tcPr>
            <w:tcW w:type="dxa" w:w="1661"/>
          </w:tcPr>
          <w:p>
            <w:pPr>
              <w:pStyle w:val="null3"/>
            </w:pPr>
            <w:r>
              <w:rPr>
                <w:rFonts w:ascii="仿宋_GB2312" w:hAnsi="仿宋_GB2312" w:cs="仿宋_GB2312" w:eastAsia="仿宋_GB2312"/>
              </w:rPr>
              <w:t>维护报告</w:t>
            </w:r>
          </w:p>
        </w:tc>
        <w:tc>
          <w:tcPr>
            <w:tcW w:type="dxa" w:w="2492"/>
          </w:tcPr>
          <w:p>
            <w:pPr>
              <w:pStyle w:val="null3"/>
            </w:pPr>
            <w:r>
              <w:rPr>
                <w:rFonts w:ascii="仿宋_GB2312" w:hAnsi="仿宋_GB2312" w:cs="仿宋_GB2312" w:eastAsia="仿宋_GB2312"/>
              </w:rPr>
              <w:t>供应商按照采购需求提供维护报告，包括：①维保计划；②年度评估总结等。 以上2项内容每一项内容全面详细、阐述条理清晰得3分，满分6分，每有一项存在一处缺陷，扣1分，扣完为止。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格式文件.docx</w:t>
            </w:r>
          </w:p>
        </w:tc>
      </w:tr>
      <w:tr>
        <w:tc>
          <w:tcPr>
            <w:tcW w:type="dxa" w:w="831"/>
            <w:vMerge/>
          </w:tcPr>
          <w:p/>
        </w:tc>
        <w:tc>
          <w:tcPr>
            <w:tcW w:type="dxa" w:w="1661"/>
          </w:tcPr>
          <w:p>
            <w:pPr>
              <w:pStyle w:val="null3"/>
            </w:pPr>
            <w:r>
              <w:rPr>
                <w:rFonts w:ascii="仿宋_GB2312" w:hAnsi="仿宋_GB2312" w:cs="仿宋_GB2312" w:eastAsia="仿宋_GB2312"/>
              </w:rPr>
              <w:t>人员配备1</w:t>
            </w:r>
          </w:p>
        </w:tc>
        <w:tc>
          <w:tcPr>
            <w:tcW w:type="dxa" w:w="2492"/>
          </w:tcPr>
          <w:p>
            <w:pPr>
              <w:pStyle w:val="null3"/>
            </w:pPr>
            <w:r>
              <w:rPr>
                <w:rFonts w:ascii="仿宋_GB2312" w:hAnsi="仿宋_GB2312" w:cs="仿宋_GB2312" w:eastAsia="仿宋_GB2312"/>
              </w:rPr>
              <w:t>供应商针对本项目的提供详细的人员配备方案，包括：①团队组织结构及职责；②人员资质及证明资料；③人员保障措施等。 以上3项内容每一项内容全面详细、阐述条理清晰得3分，满分9分，每有一项存在一处缺陷，扣1分，扣完为止。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格式文件.docx</w:t>
            </w:r>
          </w:p>
        </w:tc>
      </w:tr>
      <w:tr>
        <w:tc>
          <w:tcPr>
            <w:tcW w:type="dxa" w:w="831"/>
            <w:vMerge/>
          </w:tcPr>
          <w:p/>
        </w:tc>
        <w:tc>
          <w:tcPr>
            <w:tcW w:type="dxa" w:w="1661"/>
          </w:tcPr>
          <w:p>
            <w:pPr>
              <w:pStyle w:val="null3"/>
            </w:pPr>
            <w:r>
              <w:rPr>
                <w:rFonts w:ascii="仿宋_GB2312" w:hAnsi="仿宋_GB2312" w:cs="仿宋_GB2312" w:eastAsia="仿宋_GB2312"/>
              </w:rPr>
              <w:t>人员配备2</w:t>
            </w:r>
          </w:p>
        </w:tc>
        <w:tc>
          <w:tcPr>
            <w:tcW w:type="dxa" w:w="2492"/>
          </w:tcPr>
          <w:p>
            <w:pPr>
              <w:pStyle w:val="null3"/>
            </w:pPr>
            <w:r>
              <w:rPr>
                <w:rFonts w:ascii="仿宋_GB2312" w:hAnsi="仿宋_GB2312" w:cs="仿宋_GB2312" w:eastAsia="仿宋_GB2312"/>
              </w:rPr>
              <w:t>满足基础人数要求（2人），每增加1人得2分，满分6分。人员需提供CT维修培训合格证、社保（开标前6个月内任意一个月）及值守承诺函（缺项不得分）。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格式文件.docx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①突发状况处理；②应急人员配备等 以上2项内容每一项内容全面详细、阐述条理清晰得2分，满分4分，每有一项存在一处缺陷，扣1分，扣完为止。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格式文件.docx</w:t>
            </w:r>
          </w:p>
        </w:tc>
      </w:tr>
      <w:tr>
        <w:tc>
          <w:tcPr>
            <w:tcW w:type="dxa" w:w="831"/>
            <w:vMerge/>
          </w:tcPr>
          <w:p/>
        </w:tc>
        <w:tc>
          <w:tcPr>
            <w:tcW w:type="dxa" w:w="1661"/>
          </w:tcPr>
          <w:p>
            <w:pPr>
              <w:pStyle w:val="null3"/>
            </w:pPr>
            <w:r>
              <w:rPr>
                <w:rFonts w:ascii="仿宋_GB2312" w:hAnsi="仿宋_GB2312" w:cs="仿宋_GB2312" w:eastAsia="仿宋_GB2312"/>
              </w:rPr>
              <w:t>专业维修工具</w:t>
            </w:r>
          </w:p>
        </w:tc>
        <w:tc>
          <w:tcPr>
            <w:tcW w:type="dxa" w:w="2492"/>
          </w:tcPr>
          <w:p>
            <w:pPr>
              <w:pStyle w:val="null3"/>
            </w:pPr>
            <w:r>
              <w:rPr>
                <w:rFonts w:ascii="仿宋_GB2312" w:hAnsi="仿宋_GB2312" w:cs="仿宋_GB2312" w:eastAsia="仿宋_GB2312"/>
              </w:rPr>
              <w:t>供应商具备丰富的专业维修工具,能够保证项目顺利实施，包括：①核心维修工具清单；②工具购入的相关证明材料（发票、图片等）；③工具管理台账等。以上3项内容每一项内容全面详细、阐述条理清晰得1分，满分3分，每有一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格式文件.docx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供应商针对本项目提供详细的服务承诺，包括：①维修后续服务；②培训服务；③维修质量承诺等。以上3项内容每一项内容全面详细、阐述条理清晰得2分，满分6分，每有一项存在一处缺陷，扣1分，扣完为止。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供应商提供2023年5月1日以来同类设备维保案例业绩证明,每个得1分，最高得5分。 注：提供完整合同并加盖公章。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格式文件.docx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1.满足磋商文件实质性要求且最后报价最低的供应商价格为投标基准价，其价格分为满分20分。 2.投标报价得分=（投标基准价/投标报价）×20。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详见附件：格式文件.docx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