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CC76FE">
      <w:pPr>
        <w:pStyle w:val="6"/>
      </w:pPr>
      <w:r>
        <w:rPr>
          <w:rFonts w:ascii="仿宋_GB2312" w:hAnsi="仿宋_GB2312" w:eastAsia="仿宋_GB2312" w:cs="仿宋_GB2312"/>
        </w:rPr>
        <w:t>采购包1：</w:t>
      </w:r>
    </w:p>
    <w:p w14:paraId="7C3C703A">
      <w:pPr>
        <w:pStyle w:val="6"/>
      </w:pPr>
      <w:r>
        <w:rPr>
          <w:rFonts w:ascii="仿宋_GB2312" w:hAnsi="仿宋_GB2312" w:eastAsia="仿宋_GB2312" w:cs="仿宋_GB2312"/>
        </w:rPr>
        <w:t>标的名称：</w:t>
      </w:r>
      <w:r>
        <w:rPr>
          <w:rFonts w:hint="eastAsia" w:ascii="仿宋_GB2312" w:hAnsi="仿宋_GB2312" w:eastAsia="仿宋_GB2312" w:cs="仿宋_GB2312"/>
        </w:rPr>
        <w:t>生态样地监测</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0"/>
        <w:gridCol w:w="1132"/>
        <w:gridCol w:w="6640"/>
      </w:tblGrid>
      <w:tr w14:paraId="320173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dxa"/>
          </w:tcPr>
          <w:p w14:paraId="67D9DE3D">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 xml:space="preserve"> 序号</w:t>
            </w:r>
          </w:p>
        </w:tc>
        <w:tc>
          <w:tcPr>
            <w:tcW w:w="1132" w:type="dxa"/>
          </w:tcPr>
          <w:p w14:paraId="4FFAB98E">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 xml:space="preserve"> 参数性质</w:t>
            </w:r>
          </w:p>
        </w:tc>
        <w:tc>
          <w:tcPr>
            <w:tcW w:w="6640" w:type="dxa"/>
            <w:vAlign w:val="center"/>
          </w:tcPr>
          <w:p w14:paraId="6C018CF5">
            <w:pPr>
              <w:pStyle w:val="6"/>
              <w:jc w:val="center"/>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技术参数与性能指标</w:t>
            </w:r>
          </w:p>
        </w:tc>
      </w:tr>
      <w:tr w14:paraId="438576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dxa"/>
          </w:tcPr>
          <w:p w14:paraId="54AFC791">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w:t>
            </w:r>
          </w:p>
        </w:tc>
        <w:tc>
          <w:tcPr>
            <w:tcW w:w="1132" w:type="dxa"/>
          </w:tcPr>
          <w:p w14:paraId="08CEB1AE">
            <w:pPr>
              <w:rPr>
                <w:rFonts w:hint="eastAsia" w:ascii="方正仿宋_GB2312" w:hAnsi="方正仿宋_GB2312" w:eastAsia="方正仿宋_GB2312" w:cs="方正仿宋_GB2312"/>
                <w:sz w:val="20"/>
                <w:szCs w:val="20"/>
                <w:highlight w:val="none"/>
              </w:rPr>
            </w:pPr>
          </w:p>
        </w:tc>
        <w:tc>
          <w:tcPr>
            <w:tcW w:w="6640" w:type="dxa"/>
          </w:tcPr>
          <w:p w14:paraId="5B94E306">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一、项目概况</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
              <w:gridCol w:w="872"/>
              <w:gridCol w:w="4358"/>
              <w:gridCol w:w="717"/>
            </w:tblGrid>
            <w:tr w14:paraId="3AB43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0" w:type="auto"/>
                  <w:vAlign w:val="center"/>
                </w:tcPr>
                <w:p w14:paraId="78DF50E7">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包号</w:t>
                  </w:r>
                </w:p>
              </w:tc>
              <w:tc>
                <w:tcPr>
                  <w:tcW w:w="0" w:type="auto"/>
                  <w:vAlign w:val="center"/>
                </w:tcPr>
                <w:p w14:paraId="2E6F4BAE">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名称</w:t>
                  </w:r>
                </w:p>
              </w:tc>
              <w:tc>
                <w:tcPr>
                  <w:tcW w:w="0" w:type="auto"/>
                  <w:vAlign w:val="center"/>
                </w:tcPr>
                <w:p w14:paraId="45C93602">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采购内容</w:t>
                  </w:r>
                </w:p>
              </w:tc>
              <w:tc>
                <w:tcPr>
                  <w:tcW w:w="0" w:type="auto"/>
                  <w:vAlign w:val="center"/>
                </w:tcPr>
                <w:p w14:paraId="6A218704">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预算金额</w:t>
                  </w:r>
                </w:p>
                <w:p w14:paraId="725D6503">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（万元）</w:t>
                  </w:r>
                </w:p>
              </w:tc>
            </w:tr>
            <w:tr w14:paraId="033DA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7" w:hRule="atLeast"/>
                <w:jc w:val="center"/>
              </w:trPr>
              <w:tc>
                <w:tcPr>
                  <w:tcW w:w="0" w:type="auto"/>
                  <w:vAlign w:val="center"/>
                </w:tcPr>
                <w:p w14:paraId="0E3581FE">
                  <w:pPr>
                    <w:pStyle w:val="6"/>
                    <w:rPr>
                      <w:rFonts w:hint="eastAsia" w:ascii="方正仿宋_GB2312" w:hAnsi="方正仿宋_GB2312" w:eastAsia="方正仿宋_GB2312" w:cs="方正仿宋_GB2312"/>
                      <w:sz w:val="20"/>
                      <w:szCs w:val="20"/>
                      <w:highlight w:val="none"/>
                      <w:lang w:val="en-US" w:eastAsia="zh-CN"/>
                    </w:rPr>
                  </w:pPr>
                  <w:r>
                    <w:rPr>
                      <w:rFonts w:hint="eastAsia" w:ascii="方正仿宋_GB2312" w:hAnsi="方正仿宋_GB2312" w:eastAsia="方正仿宋_GB2312" w:cs="方正仿宋_GB2312"/>
                      <w:sz w:val="20"/>
                      <w:szCs w:val="20"/>
                      <w:highlight w:val="none"/>
                      <w:lang w:val="en-US" w:eastAsia="zh-CN"/>
                    </w:rPr>
                    <w:t>1</w:t>
                  </w:r>
                </w:p>
              </w:tc>
              <w:tc>
                <w:tcPr>
                  <w:tcW w:w="0" w:type="auto"/>
                  <w:vAlign w:val="center"/>
                </w:tcPr>
                <w:p w14:paraId="3B599E75">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生态质量样地地面监测</w:t>
                  </w:r>
                </w:p>
              </w:tc>
              <w:tc>
                <w:tcPr>
                  <w:tcW w:w="0" w:type="auto"/>
                  <w:vAlign w:val="center"/>
                </w:tcPr>
                <w:p w14:paraId="682868FF">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完成陕西省域内155个生态质量样地的原生功能群种、指示生物类群（蝶类8</w:t>
                  </w:r>
                  <w:r>
                    <w:rPr>
                      <w:rFonts w:hint="eastAsia" w:ascii="方正仿宋_GB2312" w:hAnsi="方正仿宋_GB2312" w:eastAsia="方正仿宋_GB2312" w:cs="方正仿宋_GB2312"/>
                      <w:sz w:val="20"/>
                      <w:szCs w:val="20"/>
                      <w:highlight w:val="none"/>
                      <w:lang w:val="en-US" w:eastAsia="zh-CN"/>
                    </w:rPr>
                    <w:t>个</w:t>
                  </w:r>
                  <w:r>
                    <w:rPr>
                      <w:rFonts w:hint="eastAsia" w:ascii="方正仿宋_GB2312" w:hAnsi="方正仿宋_GB2312" w:eastAsia="方正仿宋_GB2312" w:cs="方正仿宋_GB2312"/>
                      <w:sz w:val="20"/>
                      <w:szCs w:val="20"/>
                      <w:highlight w:val="none"/>
                    </w:rPr>
                    <w:t>、鸟类25</w:t>
                  </w:r>
                  <w:r>
                    <w:rPr>
                      <w:rFonts w:hint="eastAsia" w:ascii="方正仿宋_GB2312" w:hAnsi="方正仿宋_GB2312" w:eastAsia="方正仿宋_GB2312" w:cs="方正仿宋_GB2312"/>
                      <w:sz w:val="20"/>
                      <w:szCs w:val="20"/>
                      <w:highlight w:val="none"/>
                      <w:lang w:val="en-US" w:eastAsia="zh-CN"/>
                    </w:rPr>
                    <w:t>个</w:t>
                  </w:r>
                  <w:r>
                    <w:rPr>
                      <w:rFonts w:hint="eastAsia" w:ascii="方正仿宋_GB2312" w:hAnsi="方正仿宋_GB2312" w:eastAsia="方正仿宋_GB2312" w:cs="方正仿宋_GB2312"/>
                      <w:sz w:val="20"/>
                      <w:szCs w:val="20"/>
                      <w:highlight w:val="none"/>
                    </w:rPr>
                    <w:t>和哺乳动物2个样地布设样线）、水生生物类群（选取18个样地）监测。</w:t>
                  </w:r>
                </w:p>
              </w:tc>
              <w:tc>
                <w:tcPr>
                  <w:tcW w:w="0" w:type="auto"/>
                  <w:vAlign w:val="center"/>
                </w:tcPr>
                <w:p w14:paraId="4305B08F">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185</w:t>
                  </w:r>
                </w:p>
              </w:tc>
            </w:tr>
          </w:tbl>
          <w:p w14:paraId="67116ECB">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二、技术要求</w:t>
            </w:r>
          </w:p>
          <w:p w14:paraId="07A66689">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1、原生功能群种监测、指示生物类群和水生生物类群监测</w:t>
            </w:r>
          </w:p>
          <w:p w14:paraId="3F6C988E">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1.1监测时间</w:t>
            </w:r>
          </w:p>
          <w:p w14:paraId="1BC0862B">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依据不同生物类群，确定具体调查时间。</w:t>
            </w:r>
          </w:p>
          <w:p w14:paraId="2F6AFD7E">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1.2监测点位</w:t>
            </w:r>
          </w:p>
          <w:p w14:paraId="73658984">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基于陕西省503个生态质量监测样地，筛选155个典型样地开展原生功能群种和指示生物类群监测工作。</w:t>
            </w:r>
          </w:p>
          <w:p w14:paraId="2DFF6DF2">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1.3监测指标</w:t>
            </w:r>
          </w:p>
          <w:tbl>
            <w:tblPr>
              <w:tblStyle w:val="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1"/>
              <w:gridCol w:w="562"/>
              <w:gridCol w:w="54"/>
              <w:gridCol w:w="337"/>
              <w:gridCol w:w="568"/>
              <w:gridCol w:w="122"/>
              <w:gridCol w:w="321"/>
              <w:gridCol w:w="545"/>
              <w:gridCol w:w="1041"/>
              <w:gridCol w:w="44"/>
              <w:gridCol w:w="59"/>
              <w:gridCol w:w="2147"/>
            </w:tblGrid>
            <w:tr w14:paraId="2663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pct"/>
                  <w:gridSpan w:val="2"/>
                  <w:vAlign w:val="center"/>
                </w:tcPr>
                <w:p w14:paraId="190EE108">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监测指标</w:t>
                  </w:r>
                </w:p>
              </w:tc>
              <w:tc>
                <w:tcPr>
                  <w:tcW w:w="748" w:type="pct"/>
                  <w:gridSpan w:val="3"/>
                  <w:vAlign w:val="center"/>
                </w:tcPr>
                <w:p w14:paraId="4F5D1355">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物种类群</w:t>
                  </w:r>
                </w:p>
              </w:tc>
              <w:tc>
                <w:tcPr>
                  <w:tcW w:w="770" w:type="pct"/>
                  <w:gridSpan w:val="3"/>
                  <w:vAlign w:val="center"/>
                </w:tcPr>
                <w:p w14:paraId="4F92C960">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样地类型</w:t>
                  </w:r>
                </w:p>
              </w:tc>
              <w:tc>
                <w:tcPr>
                  <w:tcW w:w="892" w:type="pct"/>
                  <w:gridSpan w:val="3"/>
                  <w:vAlign w:val="center"/>
                </w:tcPr>
                <w:p w14:paraId="677728CE">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监测频次</w:t>
                  </w:r>
                </w:p>
              </w:tc>
              <w:tc>
                <w:tcPr>
                  <w:tcW w:w="1673" w:type="pct"/>
                  <w:vAlign w:val="center"/>
                </w:tcPr>
                <w:p w14:paraId="65471CF1">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备注</w:t>
                  </w:r>
                </w:p>
              </w:tc>
            </w:tr>
            <w:tr w14:paraId="721FB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pct"/>
                  <w:gridSpan w:val="2"/>
                  <w:vMerge w:val="restart"/>
                  <w:vAlign w:val="center"/>
                </w:tcPr>
                <w:p w14:paraId="3A02FB2E">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原生功能群种</w:t>
                  </w:r>
                </w:p>
              </w:tc>
              <w:tc>
                <w:tcPr>
                  <w:tcW w:w="748" w:type="pct"/>
                  <w:gridSpan w:val="3"/>
                  <w:vAlign w:val="center"/>
                </w:tcPr>
                <w:p w14:paraId="5A5B0C95">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乔木</w:t>
                  </w:r>
                </w:p>
              </w:tc>
              <w:tc>
                <w:tcPr>
                  <w:tcW w:w="770" w:type="pct"/>
                  <w:gridSpan w:val="3"/>
                  <w:vMerge w:val="restart"/>
                  <w:vAlign w:val="center"/>
                </w:tcPr>
                <w:p w14:paraId="7941E601">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森林、草地、湿地、荒漠</w:t>
                  </w:r>
                </w:p>
              </w:tc>
              <w:tc>
                <w:tcPr>
                  <w:tcW w:w="892" w:type="pct"/>
                  <w:gridSpan w:val="3"/>
                  <w:vMerge w:val="restart"/>
                  <w:vAlign w:val="center"/>
                </w:tcPr>
                <w:p w14:paraId="2F510705">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1次</w:t>
                  </w:r>
                </w:p>
              </w:tc>
              <w:tc>
                <w:tcPr>
                  <w:tcW w:w="1673" w:type="pct"/>
                  <w:vMerge w:val="restart"/>
                  <w:vAlign w:val="center"/>
                </w:tcPr>
                <w:p w14:paraId="01BB7258">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开展陆地植物群落监测，年际间保持物种在相同物候期进行监测。</w:t>
                  </w:r>
                </w:p>
              </w:tc>
            </w:tr>
            <w:tr w14:paraId="64738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pct"/>
                  <w:gridSpan w:val="2"/>
                  <w:vMerge w:val="continue"/>
                  <w:vAlign w:val="center"/>
                </w:tcPr>
                <w:p w14:paraId="755B95D4">
                  <w:pPr>
                    <w:pStyle w:val="6"/>
                    <w:widowControl w:val="0"/>
                    <w:jc w:val="both"/>
                    <w:rPr>
                      <w:rFonts w:hint="eastAsia" w:ascii="方正仿宋_GB2312" w:hAnsi="方正仿宋_GB2312" w:eastAsia="方正仿宋_GB2312" w:cs="方正仿宋_GB2312"/>
                      <w:sz w:val="20"/>
                      <w:szCs w:val="20"/>
                      <w:highlight w:val="none"/>
                    </w:rPr>
                  </w:pPr>
                </w:p>
              </w:tc>
              <w:tc>
                <w:tcPr>
                  <w:tcW w:w="748" w:type="pct"/>
                  <w:gridSpan w:val="3"/>
                  <w:vAlign w:val="center"/>
                </w:tcPr>
                <w:p w14:paraId="771DA441">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灌木</w:t>
                  </w:r>
                </w:p>
              </w:tc>
              <w:tc>
                <w:tcPr>
                  <w:tcW w:w="770" w:type="pct"/>
                  <w:gridSpan w:val="3"/>
                  <w:vMerge w:val="continue"/>
                  <w:vAlign w:val="center"/>
                </w:tcPr>
                <w:p w14:paraId="2979DBB6">
                  <w:pPr>
                    <w:pStyle w:val="6"/>
                    <w:widowControl w:val="0"/>
                    <w:jc w:val="both"/>
                    <w:rPr>
                      <w:rFonts w:hint="eastAsia" w:ascii="方正仿宋_GB2312" w:hAnsi="方正仿宋_GB2312" w:eastAsia="方正仿宋_GB2312" w:cs="方正仿宋_GB2312"/>
                      <w:sz w:val="20"/>
                      <w:szCs w:val="20"/>
                      <w:highlight w:val="none"/>
                    </w:rPr>
                  </w:pPr>
                </w:p>
              </w:tc>
              <w:tc>
                <w:tcPr>
                  <w:tcW w:w="892" w:type="pct"/>
                  <w:gridSpan w:val="3"/>
                  <w:vMerge w:val="continue"/>
                  <w:vAlign w:val="center"/>
                </w:tcPr>
                <w:p w14:paraId="51A55942">
                  <w:pPr>
                    <w:pStyle w:val="6"/>
                    <w:widowControl w:val="0"/>
                    <w:jc w:val="both"/>
                    <w:rPr>
                      <w:rFonts w:hint="eastAsia" w:ascii="方正仿宋_GB2312" w:hAnsi="方正仿宋_GB2312" w:eastAsia="方正仿宋_GB2312" w:cs="方正仿宋_GB2312"/>
                      <w:sz w:val="20"/>
                      <w:szCs w:val="20"/>
                      <w:highlight w:val="none"/>
                    </w:rPr>
                  </w:pPr>
                </w:p>
              </w:tc>
              <w:tc>
                <w:tcPr>
                  <w:tcW w:w="1673" w:type="pct"/>
                  <w:vMerge w:val="continue"/>
                  <w:vAlign w:val="center"/>
                </w:tcPr>
                <w:p w14:paraId="55FE45A0">
                  <w:pPr>
                    <w:pStyle w:val="6"/>
                    <w:widowControl w:val="0"/>
                    <w:jc w:val="both"/>
                    <w:rPr>
                      <w:rFonts w:hint="eastAsia" w:ascii="方正仿宋_GB2312" w:hAnsi="方正仿宋_GB2312" w:eastAsia="方正仿宋_GB2312" w:cs="方正仿宋_GB2312"/>
                      <w:sz w:val="20"/>
                      <w:szCs w:val="20"/>
                      <w:highlight w:val="none"/>
                    </w:rPr>
                  </w:pPr>
                </w:p>
              </w:tc>
            </w:tr>
            <w:tr w14:paraId="02A15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pct"/>
                  <w:gridSpan w:val="2"/>
                  <w:vMerge w:val="continue"/>
                  <w:vAlign w:val="center"/>
                </w:tcPr>
                <w:p w14:paraId="5734275F">
                  <w:pPr>
                    <w:pStyle w:val="6"/>
                    <w:widowControl w:val="0"/>
                    <w:jc w:val="both"/>
                    <w:rPr>
                      <w:rFonts w:hint="eastAsia" w:ascii="方正仿宋_GB2312" w:hAnsi="方正仿宋_GB2312" w:eastAsia="方正仿宋_GB2312" w:cs="方正仿宋_GB2312"/>
                      <w:sz w:val="20"/>
                      <w:szCs w:val="20"/>
                      <w:highlight w:val="none"/>
                    </w:rPr>
                  </w:pPr>
                </w:p>
              </w:tc>
              <w:tc>
                <w:tcPr>
                  <w:tcW w:w="748" w:type="pct"/>
                  <w:gridSpan w:val="3"/>
                  <w:vAlign w:val="center"/>
                </w:tcPr>
                <w:p w14:paraId="1DB5FB2D">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草本</w:t>
                  </w:r>
                </w:p>
              </w:tc>
              <w:tc>
                <w:tcPr>
                  <w:tcW w:w="770" w:type="pct"/>
                  <w:gridSpan w:val="3"/>
                  <w:vMerge w:val="continue"/>
                  <w:vAlign w:val="center"/>
                </w:tcPr>
                <w:p w14:paraId="2E522499">
                  <w:pPr>
                    <w:pStyle w:val="6"/>
                    <w:widowControl w:val="0"/>
                    <w:jc w:val="both"/>
                    <w:rPr>
                      <w:rFonts w:hint="eastAsia" w:ascii="方正仿宋_GB2312" w:hAnsi="方正仿宋_GB2312" w:eastAsia="方正仿宋_GB2312" w:cs="方正仿宋_GB2312"/>
                      <w:sz w:val="20"/>
                      <w:szCs w:val="20"/>
                      <w:highlight w:val="none"/>
                    </w:rPr>
                  </w:pPr>
                </w:p>
              </w:tc>
              <w:tc>
                <w:tcPr>
                  <w:tcW w:w="892" w:type="pct"/>
                  <w:gridSpan w:val="3"/>
                  <w:vMerge w:val="continue"/>
                  <w:vAlign w:val="center"/>
                </w:tcPr>
                <w:p w14:paraId="5F95DB4E">
                  <w:pPr>
                    <w:pStyle w:val="6"/>
                    <w:widowControl w:val="0"/>
                    <w:jc w:val="both"/>
                    <w:rPr>
                      <w:rFonts w:hint="eastAsia" w:ascii="方正仿宋_GB2312" w:hAnsi="方正仿宋_GB2312" w:eastAsia="方正仿宋_GB2312" w:cs="方正仿宋_GB2312"/>
                      <w:sz w:val="20"/>
                      <w:szCs w:val="20"/>
                      <w:highlight w:val="none"/>
                    </w:rPr>
                  </w:pPr>
                </w:p>
              </w:tc>
              <w:tc>
                <w:tcPr>
                  <w:tcW w:w="1673" w:type="pct"/>
                  <w:vMerge w:val="continue"/>
                  <w:vAlign w:val="center"/>
                </w:tcPr>
                <w:p w14:paraId="335114FB">
                  <w:pPr>
                    <w:pStyle w:val="6"/>
                    <w:widowControl w:val="0"/>
                    <w:jc w:val="both"/>
                    <w:rPr>
                      <w:rFonts w:hint="eastAsia" w:ascii="方正仿宋_GB2312" w:hAnsi="方正仿宋_GB2312" w:eastAsia="方正仿宋_GB2312" w:cs="方正仿宋_GB2312"/>
                      <w:sz w:val="20"/>
                      <w:szCs w:val="20"/>
                      <w:highlight w:val="none"/>
                    </w:rPr>
                  </w:pPr>
                </w:p>
              </w:tc>
            </w:tr>
            <w:tr w14:paraId="18742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pct"/>
                  <w:gridSpan w:val="2"/>
                  <w:vAlign w:val="center"/>
                </w:tcPr>
                <w:p w14:paraId="4168FF3B">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重点保护生物</w:t>
                  </w:r>
                </w:p>
              </w:tc>
              <w:tc>
                <w:tcPr>
                  <w:tcW w:w="4084" w:type="pct"/>
                  <w:gridSpan w:val="10"/>
                  <w:vAlign w:val="center"/>
                </w:tcPr>
                <w:p w14:paraId="6B67DA4B">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依据《国家重点保护野生动物名录》、《国家重点保护野生植物名录》，收集陕西省高等植物和昆虫的物种名录</w:t>
                  </w:r>
                </w:p>
              </w:tc>
            </w:tr>
            <w:tr w14:paraId="5D8FA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vAlign w:val="center"/>
                </w:tcPr>
                <w:p w14:paraId="40C77ED6">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监测指标</w:t>
                  </w:r>
                </w:p>
              </w:tc>
              <w:tc>
                <w:tcPr>
                  <w:tcW w:w="480" w:type="pct"/>
                  <w:gridSpan w:val="2"/>
                  <w:vAlign w:val="center"/>
                </w:tcPr>
                <w:p w14:paraId="16391716">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物种类群</w:t>
                  </w:r>
                </w:p>
              </w:tc>
              <w:tc>
                <w:tcPr>
                  <w:tcW w:w="801" w:type="pct"/>
                  <w:gridSpan w:val="3"/>
                  <w:vAlign w:val="center"/>
                </w:tcPr>
                <w:p w14:paraId="0C66DC50">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样地类型</w:t>
                  </w:r>
                </w:p>
              </w:tc>
              <w:tc>
                <w:tcPr>
                  <w:tcW w:w="1521" w:type="pct"/>
                  <w:gridSpan w:val="4"/>
                  <w:vAlign w:val="center"/>
                </w:tcPr>
                <w:p w14:paraId="777E18EC">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监测频次</w:t>
                  </w:r>
                </w:p>
              </w:tc>
              <w:tc>
                <w:tcPr>
                  <w:tcW w:w="1719" w:type="pct"/>
                  <w:gridSpan w:val="2"/>
                  <w:vAlign w:val="center"/>
                </w:tcPr>
                <w:p w14:paraId="26760F66">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备注</w:t>
                  </w:r>
                </w:p>
              </w:tc>
            </w:tr>
            <w:tr w14:paraId="18F76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vMerge w:val="restart"/>
                  <w:vAlign w:val="center"/>
                </w:tcPr>
                <w:p w14:paraId="03AC8AB2">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指示生物类群</w:t>
                  </w:r>
                </w:p>
              </w:tc>
              <w:tc>
                <w:tcPr>
                  <w:tcW w:w="480" w:type="pct"/>
                  <w:gridSpan w:val="2"/>
                  <w:vAlign w:val="center"/>
                </w:tcPr>
                <w:p w14:paraId="64EFD075">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鸟类</w:t>
                  </w:r>
                </w:p>
              </w:tc>
              <w:tc>
                <w:tcPr>
                  <w:tcW w:w="801" w:type="pct"/>
                  <w:gridSpan w:val="3"/>
                  <w:vAlign w:val="center"/>
                </w:tcPr>
                <w:p w14:paraId="1EB3B6A4">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森林、草地、湿地、荒漠、城乡、水体</w:t>
                  </w:r>
                </w:p>
              </w:tc>
              <w:tc>
                <w:tcPr>
                  <w:tcW w:w="1521" w:type="pct"/>
                  <w:gridSpan w:val="4"/>
                  <w:vAlign w:val="center"/>
                </w:tcPr>
                <w:p w14:paraId="792C3425">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繁殖期至少2次；越冬季建议1次</w:t>
                  </w:r>
                </w:p>
              </w:tc>
              <w:tc>
                <w:tcPr>
                  <w:tcW w:w="1719" w:type="pct"/>
                  <w:gridSpan w:val="2"/>
                  <w:vAlign w:val="center"/>
                </w:tcPr>
                <w:p w14:paraId="5F37F1E7">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繁殖期鸟类2次监测时间间隔原则上不少于20天。监测时段选取鸟类最为活跃的时间，清晨为5点-9点，下午为4点-8点。</w:t>
                  </w:r>
                </w:p>
              </w:tc>
            </w:tr>
            <w:tr w14:paraId="167B3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vMerge w:val="continue"/>
                  <w:vAlign w:val="center"/>
                </w:tcPr>
                <w:p w14:paraId="79C25967">
                  <w:pPr>
                    <w:pStyle w:val="6"/>
                    <w:widowControl w:val="0"/>
                    <w:jc w:val="both"/>
                    <w:rPr>
                      <w:rFonts w:hint="eastAsia" w:ascii="方正仿宋_GB2312" w:hAnsi="方正仿宋_GB2312" w:eastAsia="方正仿宋_GB2312" w:cs="方正仿宋_GB2312"/>
                      <w:sz w:val="20"/>
                      <w:szCs w:val="20"/>
                      <w:highlight w:val="none"/>
                    </w:rPr>
                  </w:pPr>
                </w:p>
              </w:tc>
              <w:tc>
                <w:tcPr>
                  <w:tcW w:w="480" w:type="pct"/>
                  <w:gridSpan w:val="2"/>
                  <w:vAlign w:val="center"/>
                </w:tcPr>
                <w:p w14:paraId="421C49BE">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蝶类</w:t>
                  </w:r>
                </w:p>
              </w:tc>
              <w:tc>
                <w:tcPr>
                  <w:tcW w:w="801" w:type="pct"/>
                  <w:gridSpan w:val="3"/>
                  <w:vAlign w:val="center"/>
                </w:tcPr>
                <w:p w14:paraId="5CD96D94">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森林、草地、湿地、</w:t>
                  </w:r>
                </w:p>
              </w:tc>
              <w:tc>
                <w:tcPr>
                  <w:tcW w:w="1521" w:type="pct"/>
                  <w:gridSpan w:val="4"/>
                  <w:vMerge w:val="restart"/>
                  <w:vAlign w:val="center"/>
                </w:tcPr>
                <w:p w14:paraId="4E93BEC8">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至少1次，可根据实际情况补充频次</w:t>
                  </w:r>
                </w:p>
              </w:tc>
              <w:tc>
                <w:tcPr>
                  <w:tcW w:w="1719" w:type="pct"/>
                  <w:gridSpan w:val="2"/>
                  <w:vAlign w:val="center"/>
                </w:tcPr>
                <w:p w14:paraId="115C2742">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在晴朗、微风天气时开展监测，每天的监测时间一般为9:00～17:00，避开夏季极热天气。各样区监测时间和频次一经确定，保持长期不变。</w:t>
                  </w:r>
                </w:p>
              </w:tc>
            </w:tr>
            <w:tr w14:paraId="7509B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vMerge w:val="continue"/>
                  <w:vAlign w:val="center"/>
                </w:tcPr>
                <w:p w14:paraId="549838A8">
                  <w:pPr>
                    <w:pStyle w:val="6"/>
                    <w:widowControl w:val="0"/>
                    <w:jc w:val="both"/>
                    <w:rPr>
                      <w:rFonts w:hint="eastAsia" w:ascii="方正仿宋_GB2312" w:hAnsi="方正仿宋_GB2312" w:eastAsia="方正仿宋_GB2312" w:cs="方正仿宋_GB2312"/>
                      <w:sz w:val="20"/>
                      <w:szCs w:val="20"/>
                      <w:highlight w:val="none"/>
                    </w:rPr>
                  </w:pPr>
                </w:p>
              </w:tc>
              <w:tc>
                <w:tcPr>
                  <w:tcW w:w="480" w:type="pct"/>
                  <w:gridSpan w:val="2"/>
                  <w:vAlign w:val="center"/>
                </w:tcPr>
                <w:p w14:paraId="378BE793">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两栖类</w:t>
                  </w:r>
                </w:p>
              </w:tc>
              <w:tc>
                <w:tcPr>
                  <w:tcW w:w="801" w:type="pct"/>
                  <w:gridSpan w:val="3"/>
                  <w:vAlign w:val="center"/>
                </w:tcPr>
                <w:p w14:paraId="11F9C162">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森林、湿地、水体</w:t>
                  </w:r>
                </w:p>
              </w:tc>
              <w:tc>
                <w:tcPr>
                  <w:tcW w:w="1521" w:type="pct"/>
                  <w:gridSpan w:val="4"/>
                  <w:vMerge w:val="continue"/>
                  <w:vAlign w:val="center"/>
                </w:tcPr>
                <w:p w14:paraId="537274A4">
                  <w:pPr>
                    <w:pStyle w:val="6"/>
                    <w:widowControl w:val="0"/>
                    <w:jc w:val="both"/>
                    <w:rPr>
                      <w:rFonts w:hint="eastAsia" w:ascii="方正仿宋_GB2312" w:hAnsi="方正仿宋_GB2312" w:eastAsia="方正仿宋_GB2312" w:cs="方正仿宋_GB2312"/>
                      <w:sz w:val="20"/>
                      <w:szCs w:val="20"/>
                      <w:highlight w:val="none"/>
                    </w:rPr>
                  </w:pPr>
                </w:p>
              </w:tc>
              <w:tc>
                <w:tcPr>
                  <w:tcW w:w="1719" w:type="pct"/>
                  <w:gridSpan w:val="2"/>
                  <w:vAlign w:val="center"/>
                </w:tcPr>
                <w:p w14:paraId="1E76BF78">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原则上每天的监测时间为夜间，可根据两栖动物习性调整。</w:t>
                  </w:r>
                </w:p>
              </w:tc>
            </w:tr>
            <w:tr w14:paraId="0C38F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vMerge w:val="continue"/>
                  <w:vAlign w:val="center"/>
                </w:tcPr>
                <w:p w14:paraId="367F38D1">
                  <w:pPr>
                    <w:pStyle w:val="6"/>
                    <w:widowControl w:val="0"/>
                    <w:jc w:val="both"/>
                    <w:rPr>
                      <w:rFonts w:hint="eastAsia" w:ascii="方正仿宋_GB2312" w:hAnsi="方正仿宋_GB2312" w:eastAsia="方正仿宋_GB2312" w:cs="方正仿宋_GB2312"/>
                      <w:sz w:val="20"/>
                      <w:szCs w:val="20"/>
                      <w:highlight w:val="none"/>
                    </w:rPr>
                  </w:pPr>
                </w:p>
              </w:tc>
              <w:tc>
                <w:tcPr>
                  <w:tcW w:w="480" w:type="pct"/>
                  <w:gridSpan w:val="2"/>
                  <w:vAlign w:val="center"/>
                </w:tcPr>
                <w:p w14:paraId="1BF064B9">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哺乳类</w:t>
                  </w:r>
                </w:p>
              </w:tc>
              <w:tc>
                <w:tcPr>
                  <w:tcW w:w="801" w:type="pct"/>
                  <w:gridSpan w:val="3"/>
                  <w:vAlign w:val="center"/>
                </w:tcPr>
                <w:p w14:paraId="08BD34DE">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森林、草地</w:t>
                  </w:r>
                </w:p>
              </w:tc>
              <w:tc>
                <w:tcPr>
                  <w:tcW w:w="1521" w:type="pct"/>
                  <w:gridSpan w:val="4"/>
                  <w:vAlign w:val="center"/>
                </w:tcPr>
                <w:p w14:paraId="0FCFEE7C">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至少1000小时/相机</w:t>
                  </w:r>
                </w:p>
              </w:tc>
              <w:tc>
                <w:tcPr>
                  <w:tcW w:w="1719" w:type="pct"/>
                  <w:gridSpan w:val="2"/>
                  <w:vAlign w:val="center"/>
                </w:tcPr>
                <w:p w14:paraId="1B552FBA">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选取重点点位，在保证安全的前提下，推荐采用红外相机法，每个样地不少于3个样点，每个样点不少于3台红外相机</w:t>
                  </w:r>
                </w:p>
              </w:tc>
            </w:tr>
            <w:tr w14:paraId="73DAE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vAlign w:val="center"/>
                </w:tcPr>
                <w:p w14:paraId="65D6E154">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重点保护生物</w:t>
                  </w:r>
                </w:p>
              </w:tc>
              <w:tc>
                <w:tcPr>
                  <w:tcW w:w="4522" w:type="pct"/>
                  <w:gridSpan w:val="11"/>
                  <w:vAlign w:val="center"/>
                </w:tcPr>
                <w:p w14:paraId="00F97715">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依据《国家重点保护野生动物名录》、《国家重点保护野生植物名录》，收集陕西省鸟类、两栖、蝶类、爬行类和哺乳类的物种名录</w:t>
                  </w:r>
                </w:p>
              </w:tc>
            </w:tr>
            <w:tr w14:paraId="60D00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vAlign w:val="center"/>
                </w:tcPr>
                <w:p w14:paraId="5D296A3B">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监测指标</w:t>
                  </w:r>
                </w:p>
              </w:tc>
              <w:tc>
                <w:tcPr>
                  <w:tcW w:w="743" w:type="pct"/>
                  <w:gridSpan w:val="3"/>
                  <w:vAlign w:val="center"/>
                </w:tcPr>
                <w:p w14:paraId="0A238ABE">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物种类群</w:t>
                  </w:r>
                </w:p>
              </w:tc>
              <w:tc>
                <w:tcPr>
                  <w:tcW w:w="788" w:type="pct"/>
                  <w:gridSpan w:val="3"/>
                  <w:vAlign w:val="center"/>
                </w:tcPr>
                <w:p w14:paraId="1688519B">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样地类型</w:t>
                  </w:r>
                </w:p>
              </w:tc>
              <w:tc>
                <w:tcPr>
                  <w:tcW w:w="1237" w:type="pct"/>
                  <w:gridSpan w:val="2"/>
                  <w:vAlign w:val="center"/>
                </w:tcPr>
                <w:p w14:paraId="2AB4FB7E">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监测频次</w:t>
                  </w:r>
                </w:p>
              </w:tc>
              <w:tc>
                <w:tcPr>
                  <w:tcW w:w="1752" w:type="pct"/>
                  <w:gridSpan w:val="3"/>
                  <w:vAlign w:val="center"/>
                </w:tcPr>
                <w:p w14:paraId="54D40149">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备注</w:t>
                  </w:r>
                </w:p>
              </w:tc>
            </w:tr>
            <w:tr w14:paraId="29A3F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vMerge w:val="restart"/>
                  <w:vAlign w:val="center"/>
                </w:tcPr>
                <w:p w14:paraId="5ED2295B">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水生生物类群</w:t>
                  </w:r>
                </w:p>
              </w:tc>
              <w:tc>
                <w:tcPr>
                  <w:tcW w:w="743" w:type="pct"/>
                  <w:gridSpan w:val="3"/>
                  <w:vAlign w:val="center"/>
                </w:tcPr>
                <w:p w14:paraId="6DFEF147">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浮游植物</w:t>
                  </w:r>
                </w:p>
              </w:tc>
              <w:tc>
                <w:tcPr>
                  <w:tcW w:w="788" w:type="pct"/>
                  <w:gridSpan w:val="3"/>
                  <w:vAlign w:val="center"/>
                </w:tcPr>
                <w:p w14:paraId="70A302B1">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湿地、水体</w:t>
                  </w:r>
                </w:p>
              </w:tc>
              <w:tc>
                <w:tcPr>
                  <w:tcW w:w="1237" w:type="pct"/>
                  <w:gridSpan w:val="2"/>
                  <w:vAlign w:val="center"/>
                </w:tcPr>
                <w:p w14:paraId="5173B1DB">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至少2次</w:t>
                  </w:r>
                </w:p>
              </w:tc>
              <w:tc>
                <w:tcPr>
                  <w:tcW w:w="1752" w:type="pct"/>
                  <w:gridSpan w:val="3"/>
                  <w:vAlign w:val="center"/>
                </w:tcPr>
                <w:p w14:paraId="112162DE">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包括真核藻类和原核藻类</w:t>
                  </w:r>
                </w:p>
              </w:tc>
            </w:tr>
            <w:tr w14:paraId="78659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vMerge w:val="continue"/>
                  <w:vAlign w:val="center"/>
                </w:tcPr>
                <w:p w14:paraId="069C54C5">
                  <w:pPr>
                    <w:pStyle w:val="6"/>
                    <w:widowControl w:val="0"/>
                    <w:jc w:val="both"/>
                    <w:rPr>
                      <w:rFonts w:hint="eastAsia" w:ascii="方正仿宋_GB2312" w:hAnsi="方正仿宋_GB2312" w:eastAsia="方正仿宋_GB2312" w:cs="方正仿宋_GB2312"/>
                      <w:sz w:val="20"/>
                      <w:szCs w:val="20"/>
                      <w:highlight w:val="none"/>
                    </w:rPr>
                  </w:pPr>
                </w:p>
              </w:tc>
              <w:tc>
                <w:tcPr>
                  <w:tcW w:w="743" w:type="pct"/>
                  <w:gridSpan w:val="3"/>
                  <w:vAlign w:val="center"/>
                </w:tcPr>
                <w:p w14:paraId="007D7A2A">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浮游动物</w:t>
                  </w:r>
                </w:p>
              </w:tc>
              <w:tc>
                <w:tcPr>
                  <w:tcW w:w="788" w:type="pct"/>
                  <w:gridSpan w:val="3"/>
                  <w:vAlign w:val="center"/>
                </w:tcPr>
                <w:p w14:paraId="03E2C97E">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湿地、水体</w:t>
                  </w:r>
                </w:p>
              </w:tc>
              <w:tc>
                <w:tcPr>
                  <w:tcW w:w="1237" w:type="pct"/>
                  <w:gridSpan w:val="2"/>
                  <w:vAlign w:val="center"/>
                </w:tcPr>
                <w:p w14:paraId="6E539770">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至少2次</w:t>
                  </w:r>
                </w:p>
              </w:tc>
              <w:tc>
                <w:tcPr>
                  <w:tcW w:w="1752" w:type="pct"/>
                  <w:gridSpan w:val="3"/>
                  <w:vAlign w:val="center"/>
                </w:tcPr>
                <w:p w14:paraId="3A6E4195">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包括枝角类、桡足类、轮虫等</w:t>
                  </w:r>
                </w:p>
              </w:tc>
            </w:tr>
            <w:tr w14:paraId="0A2C2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vMerge w:val="continue"/>
                  <w:vAlign w:val="center"/>
                </w:tcPr>
                <w:p w14:paraId="475ED493">
                  <w:pPr>
                    <w:pStyle w:val="6"/>
                    <w:widowControl w:val="0"/>
                    <w:jc w:val="both"/>
                    <w:rPr>
                      <w:rFonts w:hint="eastAsia" w:ascii="方正仿宋_GB2312" w:hAnsi="方正仿宋_GB2312" w:eastAsia="方正仿宋_GB2312" w:cs="方正仿宋_GB2312"/>
                      <w:sz w:val="20"/>
                      <w:szCs w:val="20"/>
                      <w:highlight w:val="none"/>
                    </w:rPr>
                  </w:pPr>
                </w:p>
              </w:tc>
              <w:tc>
                <w:tcPr>
                  <w:tcW w:w="743" w:type="pct"/>
                  <w:gridSpan w:val="3"/>
                  <w:vAlign w:val="center"/>
                </w:tcPr>
                <w:p w14:paraId="7E64CCAD">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大型底栖无脊椎动物</w:t>
                  </w:r>
                </w:p>
              </w:tc>
              <w:tc>
                <w:tcPr>
                  <w:tcW w:w="788" w:type="pct"/>
                  <w:gridSpan w:val="3"/>
                  <w:vAlign w:val="center"/>
                </w:tcPr>
                <w:p w14:paraId="25AC58C4">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湿地、水体</w:t>
                  </w:r>
                </w:p>
              </w:tc>
              <w:tc>
                <w:tcPr>
                  <w:tcW w:w="1237" w:type="pct"/>
                  <w:gridSpan w:val="2"/>
                  <w:vAlign w:val="center"/>
                </w:tcPr>
                <w:p w14:paraId="5E951900">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至少2次</w:t>
                  </w:r>
                </w:p>
              </w:tc>
              <w:tc>
                <w:tcPr>
                  <w:tcW w:w="1752" w:type="pct"/>
                  <w:gridSpan w:val="3"/>
                  <w:vAlign w:val="center"/>
                </w:tcPr>
                <w:p w14:paraId="0B08848A">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包括环节动物门、节肢动物门、软体动物门等</w:t>
                  </w:r>
                </w:p>
              </w:tc>
            </w:tr>
            <w:tr w14:paraId="5FEDD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vMerge w:val="continue"/>
                  <w:vAlign w:val="center"/>
                </w:tcPr>
                <w:p w14:paraId="0D2A41A0">
                  <w:pPr>
                    <w:pStyle w:val="6"/>
                    <w:widowControl w:val="0"/>
                    <w:jc w:val="both"/>
                    <w:rPr>
                      <w:rFonts w:hint="eastAsia" w:ascii="方正仿宋_GB2312" w:hAnsi="方正仿宋_GB2312" w:eastAsia="方正仿宋_GB2312" w:cs="方正仿宋_GB2312"/>
                      <w:sz w:val="20"/>
                      <w:szCs w:val="20"/>
                      <w:highlight w:val="none"/>
                    </w:rPr>
                  </w:pPr>
                </w:p>
              </w:tc>
              <w:tc>
                <w:tcPr>
                  <w:tcW w:w="743" w:type="pct"/>
                  <w:gridSpan w:val="3"/>
                  <w:vAlign w:val="center"/>
                </w:tcPr>
                <w:p w14:paraId="17A137BB">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大型水生植物</w:t>
                  </w:r>
                </w:p>
              </w:tc>
              <w:tc>
                <w:tcPr>
                  <w:tcW w:w="788" w:type="pct"/>
                  <w:gridSpan w:val="3"/>
                  <w:vAlign w:val="center"/>
                </w:tcPr>
                <w:p w14:paraId="1499B398">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湿地、水体</w:t>
                  </w:r>
                </w:p>
              </w:tc>
              <w:tc>
                <w:tcPr>
                  <w:tcW w:w="1237" w:type="pct"/>
                  <w:gridSpan w:val="2"/>
                  <w:vAlign w:val="center"/>
                </w:tcPr>
                <w:p w14:paraId="5F4AADF9">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至少2次</w:t>
                  </w:r>
                </w:p>
              </w:tc>
              <w:tc>
                <w:tcPr>
                  <w:tcW w:w="1752" w:type="pct"/>
                  <w:gridSpan w:val="3"/>
                  <w:vAlign w:val="center"/>
                </w:tcPr>
                <w:p w14:paraId="292C72C5">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包括沉水植物、富水植物、挺水植物等</w:t>
                  </w:r>
                </w:p>
              </w:tc>
            </w:tr>
            <w:tr w14:paraId="1DD0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vMerge w:val="continue"/>
                  <w:vAlign w:val="center"/>
                </w:tcPr>
                <w:p w14:paraId="6D8829EE">
                  <w:pPr>
                    <w:pStyle w:val="6"/>
                    <w:widowControl w:val="0"/>
                    <w:jc w:val="both"/>
                    <w:rPr>
                      <w:rFonts w:hint="eastAsia" w:ascii="方正仿宋_GB2312" w:hAnsi="方正仿宋_GB2312" w:eastAsia="方正仿宋_GB2312" w:cs="方正仿宋_GB2312"/>
                      <w:sz w:val="20"/>
                      <w:szCs w:val="20"/>
                      <w:highlight w:val="none"/>
                    </w:rPr>
                  </w:pPr>
                </w:p>
              </w:tc>
              <w:tc>
                <w:tcPr>
                  <w:tcW w:w="743" w:type="pct"/>
                  <w:gridSpan w:val="3"/>
                  <w:vAlign w:val="center"/>
                </w:tcPr>
                <w:p w14:paraId="449DEBF1">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着生藻类</w:t>
                  </w:r>
                </w:p>
              </w:tc>
              <w:tc>
                <w:tcPr>
                  <w:tcW w:w="788" w:type="pct"/>
                  <w:gridSpan w:val="3"/>
                  <w:vAlign w:val="center"/>
                </w:tcPr>
                <w:p w14:paraId="3763A92B">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湿地、水体</w:t>
                  </w:r>
                </w:p>
              </w:tc>
              <w:tc>
                <w:tcPr>
                  <w:tcW w:w="1237" w:type="pct"/>
                  <w:gridSpan w:val="2"/>
                  <w:vAlign w:val="center"/>
                </w:tcPr>
                <w:p w14:paraId="32984875">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至少2次</w:t>
                  </w:r>
                </w:p>
              </w:tc>
              <w:tc>
                <w:tcPr>
                  <w:tcW w:w="1752" w:type="pct"/>
                  <w:gridSpan w:val="3"/>
                  <w:vAlign w:val="center"/>
                </w:tcPr>
                <w:p w14:paraId="04A62893">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主要针对河流开展监测</w:t>
                  </w:r>
                </w:p>
              </w:tc>
            </w:tr>
            <w:tr w14:paraId="780DF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vAlign w:val="center"/>
                </w:tcPr>
                <w:p w14:paraId="5174323B">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重点保护生物</w:t>
                  </w:r>
                </w:p>
              </w:tc>
              <w:tc>
                <w:tcPr>
                  <w:tcW w:w="4522" w:type="pct"/>
                  <w:gridSpan w:val="11"/>
                  <w:vAlign w:val="center"/>
                </w:tcPr>
                <w:p w14:paraId="24083756">
                  <w:pPr>
                    <w:pStyle w:val="6"/>
                    <w:widowControl w:val="0"/>
                    <w:jc w:val="both"/>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依据《国家重点保护野生动物名录》、《国家重点保护野生植物名录》，收集陕西省鱼类的物种名录</w:t>
                  </w:r>
                </w:p>
              </w:tc>
            </w:tr>
          </w:tbl>
          <w:p w14:paraId="5265D9BE">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1.4位置要求</w:t>
            </w:r>
          </w:p>
          <w:p w14:paraId="501C1BE4">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选取的全国样地/样线核实符合监测要求区域，以样地中心点为圆心，在2公里半径范围内随机布设监测样地/样线并开展监测。</w:t>
            </w:r>
          </w:p>
          <w:p w14:paraId="5B1D36DA">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1.5样地样线布设要求</w:t>
            </w:r>
          </w:p>
          <w:p w14:paraId="31CC52A1">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样方大小：森林生态系统样地原则上设置为100m×100m样方，乔木层样方大小为20m×20m，灌木层样方大小一般为5m×5m，草本层样方大小为1m×1m；荒漠、湿地生态系统样地原则上设置为100m×100m样方，乔木层样方大小为20m×20m，灌木层样方大小一般为5m×5m，草本层样方大小为1m×1m；草地生态系统样地原则上设置为20m×20m样方，灌木层样方大小一般为5m×5m，草本层样方大小为1m×1m。所有样地形状应尽量按照要求执行，可根据实际情况调整。</w:t>
            </w:r>
          </w:p>
          <w:p w14:paraId="3DFF0158">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样方数量：每个样地中随机布设3个样方。森林生态系统样方布设时，需要在乔木样方内同时布设灌木样方和草本样方，以保证森林生态系统垂直结构的完整性，每个样地监测9个样方（3个乔木、3个灌木和3个草本），在乔木层样方（20m×20m）内设置对应的灌木层样方（5m×5m）和草本层样方（1m×1m）。</w:t>
            </w:r>
          </w:p>
          <w:p w14:paraId="57068BF3">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（3）样线布设：指示生物类群监测采用样线法，样线数量≥2条，样线长度1-3km，样线之间间隔≥0.5km，覆盖样地内所有典型。</w:t>
            </w:r>
          </w:p>
          <w:p w14:paraId="0C65D0BE">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（4）样点布设：哺乳动物采用样点法，每个样地不少于3个样点。</w:t>
            </w:r>
          </w:p>
          <w:p w14:paraId="530F1129">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1.6监测要求</w:t>
            </w:r>
          </w:p>
          <w:p w14:paraId="68EE981D">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1.6.1原生功能群种</w:t>
            </w:r>
          </w:p>
          <w:p w14:paraId="48AEB1DD">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（1）监测内容：乔木、灌木、草本等。</w:t>
            </w:r>
          </w:p>
          <w:p w14:paraId="70F18D85">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（2）监测生态系统类型：森林、草地、农田、湿地、荒漠、城乡、水体等。</w:t>
            </w:r>
          </w:p>
          <w:p w14:paraId="265B6D10">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（3）样地生境描述：依据不同生境类型进行描述，包括样地定位信息、样方布设信息、地貌特征、气候特征、植被类型、利用方式、利用强度等。</w:t>
            </w:r>
          </w:p>
          <w:p w14:paraId="1643F817">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（4）形态学监测方法参考《陆地生态系统生物观测指标与规范》（中国生态系统研究网络科学委员会，北京：中国环境科学出版社，2019）执行。</w:t>
            </w:r>
          </w:p>
          <w:p w14:paraId="56B12E66">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（5）物种中文名称及拉丁名称参照《中国植物分类与代码》（GB/T14467-2021）、《中国植物志》、《中国高等植物图鉴》、地方植物志执行。</w:t>
            </w:r>
          </w:p>
          <w:p w14:paraId="20CC2F2B">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（6）乔木群落监测指标包括物种中文名、物种拉丁名、多度/密度、高度、冠幅、胸径、郁闭度、地表凋落物平均厚度、地表凋落物鲜重/干重、优势种、外来入侵种等。</w:t>
            </w:r>
          </w:p>
          <w:p w14:paraId="52274541">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（7）灌木群落监测指标包括物种名称、多度/密度、高度、基径、丛幅、群落总盖度、分种盖度、优势种、外来入侵物种。</w:t>
            </w:r>
          </w:p>
          <w:p w14:paraId="3898744E">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（8）草本群落监测指标包括物种名称、多度/密度、高度、群落总盖度、分种盖度、关键种地上生物量（鲜重、干重）、生活型（一、二年生草本植物比例）、优势种、退化指示种、外来入侵物种等。</w:t>
            </w:r>
          </w:p>
          <w:p w14:paraId="12D8C550">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（9）调查物种要求提供组织样品（包括叶片、根茎等）5份以上。</w:t>
            </w:r>
          </w:p>
          <w:p w14:paraId="64DFBE79">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1.6.2指示生物类群</w:t>
            </w:r>
          </w:p>
          <w:p w14:paraId="14F0C0FB">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（1）监测内容：鸟类、蝶类、两栖、哺乳动物等。</w:t>
            </w:r>
          </w:p>
          <w:p w14:paraId="20D9A72F">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（2）监测生态系统类型：森林、草地、农田、湿地、荒漠、城乡、水体等。</w:t>
            </w:r>
          </w:p>
          <w:p w14:paraId="098514D9">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（3）样地生境描述：依据不同生境类型进行描述，包括样地定位信息、样方布设信息、地貌特征、气候特征、植被类型、利用方式、利用强度等。</w:t>
            </w:r>
          </w:p>
          <w:p w14:paraId="18E2AA08">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（4）鸟类：形态学调查参照《生物多样性观测技术导则 鸟类》执行。繁殖期鸟类监测采用可变距离样线法。越冬水鸟监测采用分区直数法。</w:t>
            </w:r>
          </w:p>
          <w:p w14:paraId="4CD2BE61">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（5）蝶类：形态学参照《生物多样性观测技术导则 蝴蝶》执行。在晴朗、微风天气时开展监测，每个样地样线数为1条。如果样地内有自然保护区，保护区内外设置的样线数量应大致均衡。每条样线长度1-2km，两条样线之间的间隔大于500 m。监测时间为9:00-17:00，避开夏季极热天气。每种调查物种提供组织样品1份以上。</w:t>
            </w:r>
          </w:p>
          <w:p w14:paraId="175A84FB">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（6）两栖类：形态学参照《生物多样性观测技术导则 两栖动物》执行。一般采用样线法，山区样线长度100-200 m（如山区达不到最低长度100 m，应相应增加样线数），平原样线长度500-1000 m，每年至少监测1次，原则上涵盖繁殖期和非繁殖期。每天的监测时间为天黑后半小时至次日凌晨1点之前；对于迁移能力弱且狭域分布（极小群种）的两栖类物种监测采用样方法，在监测样地内随机设置7-10个5 m×5 m 或 10 m×10 m样方，调查该样方内的所有两栖类物种。每种调查物种提供组织样品3份以上。</w:t>
            </w:r>
          </w:p>
          <w:p w14:paraId="7ABA0B7D">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（7）哺乳类：形态学参照《生物多样性观测技术导则 哺乳动物》执行。仅在生物多样性监测样地开展。在保证人员及设备安全前提下，使用红外相机方法，在样地周边划定大小为1km×1km网格，并在网格内设置观测样点，每个样地至少布设3个样点（样点之间距离为0.5 km以上），每个样点布设至少3台红外感应自动相机，整个样地至少9台相机，每一个样点应该至少收集1000个相机工作小时的数据。</w:t>
            </w:r>
          </w:p>
          <w:p w14:paraId="3CE79D0E">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1.6.3水生生物类群</w:t>
            </w:r>
          </w:p>
          <w:p w14:paraId="6CC46EFA">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按照 《“十五五”国家地表水生态环境监测与评价工作方案》（环办监测 函〔2026〕120 号）水生生物质量监测要求执行。</w:t>
            </w:r>
          </w:p>
          <w:p w14:paraId="5D7A9FC9">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（1）监测内容：浮游植物、浮游动物、大型底栖无脊椎动物、大型水生植物、着生藻类等。</w:t>
            </w:r>
          </w:p>
          <w:p w14:paraId="104924CD">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（2）监测生态系统类型：湿地、水体等。</w:t>
            </w:r>
          </w:p>
          <w:p w14:paraId="2AA6C8E3">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（3）样地生境描述：依据不同生境类型进行描述，包括岸边带及水域特征、岸边带植被、河道特征、表观水质、底质等。</w:t>
            </w:r>
          </w:p>
          <w:p w14:paraId="020B7B28">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（4）形态学监测方法参考《河流水生态环境质量监测与评价技术指南》、《湖库生态环境质量监测与评价技术指南》、《水生态监测技术要求 淡水浮游植物》、《水生态监测技术要求 淡水浮游动物》、《水生态监测技术要求 淡水大型底栖无脊椎动物》、《水生态监测技术要求 淡水着生藻类》等执行。</w:t>
            </w:r>
          </w:p>
          <w:p w14:paraId="2CC571BC">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1.7报送要求及依据</w:t>
            </w:r>
          </w:p>
          <w:p w14:paraId="2617380C">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（1）2026年</w:t>
            </w:r>
            <w:r>
              <w:rPr>
                <w:rFonts w:hint="eastAsia" w:ascii="方正仿宋_GB2312" w:hAnsi="方正仿宋_GB2312" w:eastAsia="方正仿宋_GB2312" w:cs="方正仿宋_GB2312"/>
                <w:sz w:val="20"/>
                <w:szCs w:val="20"/>
                <w:highlight w:val="none"/>
                <w:lang w:val="en-US" w:eastAsia="zh-CN"/>
              </w:rPr>
              <w:t>11</w:t>
            </w:r>
            <w:r>
              <w:rPr>
                <w:rFonts w:hint="eastAsia" w:ascii="方正仿宋_GB2312" w:hAnsi="方正仿宋_GB2312" w:eastAsia="方正仿宋_GB2312" w:cs="方正仿宋_GB2312"/>
                <w:sz w:val="20"/>
                <w:szCs w:val="20"/>
                <w:highlight w:val="none"/>
              </w:rPr>
              <w:t>月3</w:t>
            </w:r>
            <w:r>
              <w:rPr>
                <w:rFonts w:hint="eastAsia" w:ascii="方正仿宋_GB2312" w:hAnsi="方正仿宋_GB2312" w:eastAsia="方正仿宋_GB2312" w:cs="方正仿宋_GB2312"/>
                <w:sz w:val="20"/>
                <w:szCs w:val="20"/>
                <w:highlight w:val="none"/>
                <w:lang w:val="en-US" w:eastAsia="zh-CN"/>
              </w:rPr>
              <w:t>0</w:t>
            </w:r>
            <w:r>
              <w:rPr>
                <w:rFonts w:hint="eastAsia" w:ascii="方正仿宋_GB2312" w:hAnsi="方正仿宋_GB2312" w:eastAsia="方正仿宋_GB2312" w:cs="方正仿宋_GB2312"/>
                <w:sz w:val="20"/>
                <w:szCs w:val="20"/>
                <w:highlight w:val="none"/>
              </w:rPr>
              <w:t>日前完成现场调查</w:t>
            </w:r>
            <w:r>
              <w:rPr>
                <w:rFonts w:hint="eastAsia" w:ascii="方正仿宋_GB2312" w:hAnsi="方正仿宋_GB2312" w:eastAsia="方正仿宋_GB2312" w:cs="方正仿宋_GB2312"/>
                <w:sz w:val="20"/>
                <w:szCs w:val="20"/>
                <w:highlight w:val="none"/>
                <w:lang w:val="en-US" w:eastAsia="zh-CN"/>
              </w:rPr>
              <w:t>监测</w:t>
            </w:r>
            <w:r>
              <w:rPr>
                <w:rFonts w:hint="eastAsia" w:ascii="方正仿宋_GB2312" w:hAnsi="方正仿宋_GB2312" w:eastAsia="方正仿宋_GB2312" w:cs="方正仿宋_GB2312"/>
                <w:sz w:val="20"/>
                <w:szCs w:val="20"/>
                <w:highlight w:val="none"/>
              </w:rPr>
              <w:t>并移交相应数据成果至陕西省环境监测中心站进行成果集成，1</w:t>
            </w:r>
            <w:r>
              <w:rPr>
                <w:rFonts w:hint="eastAsia" w:ascii="方正仿宋_GB2312" w:hAnsi="方正仿宋_GB2312" w:eastAsia="方正仿宋_GB2312" w:cs="方正仿宋_GB2312"/>
                <w:sz w:val="20"/>
                <w:szCs w:val="20"/>
                <w:highlight w:val="none"/>
                <w:lang w:val="en-US" w:eastAsia="zh-CN"/>
              </w:rPr>
              <w:t>2</w:t>
            </w:r>
            <w:r>
              <w:rPr>
                <w:rFonts w:hint="eastAsia" w:ascii="方正仿宋_GB2312" w:hAnsi="方正仿宋_GB2312" w:eastAsia="方正仿宋_GB2312" w:cs="方正仿宋_GB2312"/>
                <w:sz w:val="20"/>
                <w:szCs w:val="20"/>
                <w:highlight w:val="none"/>
              </w:rPr>
              <w:t>月3</w:t>
            </w:r>
            <w:r>
              <w:rPr>
                <w:rFonts w:hint="eastAsia" w:ascii="方正仿宋_GB2312" w:hAnsi="方正仿宋_GB2312" w:eastAsia="方正仿宋_GB2312" w:cs="方正仿宋_GB2312"/>
                <w:sz w:val="20"/>
                <w:szCs w:val="20"/>
                <w:highlight w:val="none"/>
                <w:lang w:val="en-US" w:eastAsia="zh-CN"/>
              </w:rPr>
              <w:t>0</w:t>
            </w:r>
            <w:r>
              <w:rPr>
                <w:rFonts w:hint="eastAsia" w:ascii="方正仿宋_GB2312" w:hAnsi="方正仿宋_GB2312" w:eastAsia="方正仿宋_GB2312" w:cs="方正仿宋_GB2312"/>
                <w:sz w:val="20"/>
                <w:szCs w:val="20"/>
                <w:highlight w:val="none"/>
              </w:rPr>
              <w:t>日前完成生态地面监测与分析报告。</w:t>
            </w:r>
          </w:p>
          <w:p w14:paraId="02832BAF">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（2）监测人员手机预装中国环境监测总站提供生态质量样地现场监测APP，按要求填报相关信息并拍摄照片，完成现场调查工作提交平台审核。</w:t>
            </w:r>
          </w:p>
          <w:p w14:paraId="2EDBD742">
            <w:pPr>
              <w:pStyle w:val="6"/>
              <w:rPr>
                <w:rFonts w:hint="eastAsia" w:ascii="方正仿宋_GB2312" w:hAnsi="方正仿宋_GB2312" w:eastAsia="方正仿宋_GB2312" w:cs="方正仿宋_GB2312"/>
                <w:sz w:val="20"/>
                <w:szCs w:val="20"/>
                <w:highlight w:val="none"/>
              </w:rPr>
            </w:pPr>
            <w:bookmarkStart w:id="0" w:name="OLE_LINK3"/>
            <w:r>
              <w:rPr>
                <w:rFonts w:hint="eastAsia" w:ascii="方正仿宋_GB2312" w:hAnsi="方正仿宋_GB2312" w:eastAsia="方正仿宋_GB2312" w:cs="方正仿宋_GB2312"/>
                <w:sz w:val="20"/>
                <w:szCs w:val="20"/>
                <w:highlight w:val="none"/>
              </w:rPr>
              <w:t>（3）</w:t>
            </w:r>
            <w:bookmarkEnd w:id="0"/>
            <w:r>
              <w:rPr>
                <w:rFonts w:hint="eastAsia" w:ascii="方正仿宋_GB2312" w:hAnsi="方正仿宋_GB2312" w:eastAsia="方正仿宋_GB2312" w:cs="方正仿宋_GB2312"/>
                <w:sz w:val="20"/>
                <w:szCs w:val="20"/>
                <w:highlight w:val="none"/>
              </w:rPr>
              <w:t>监测数据命名按照《2026年全国生态质量监测方案》中具体要求执行。</w:t>
            </w:r>
          </w:p>
          <w:p w14:paraId="4AFD0D7C">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（4）按要求填报《</w:t>
            </w:r>
            <w:bookmarkStart w:id="1" w:name="OLE_LINK1"/>
            <w:r>
              <w:rPr>
                <w:rFonts w:hint="eastAsia" w:ascii="方正仿宋_GB2312" w:hAnsi="方正仿宋_GB2312" w:eastAsia="方正仿宋_GB2312" w:cs="方正仿宋_GB2312"/>
                <w:sz w:val="20"/>
                <w:szCs w:val="20"/>
                <w:highlight w:val="none"/>
              </w:rPr>
              <w:t>2026年全国生态质量监测方案</w:t>
            </w:r>
            <w:bookmarkEnd w:id="1"/>
            <w:r>
              <w:rPr>
                <w:rFonts w:hint="eastAsia" w:ascii="方正仿宋_GB2312" w:hAnsi="方正仿宋_GB2312" w:eastAsia="方正仿宋_GB2312" w:cs="方正仿宋_GB2312"/>
                <w:sz w:val="20"/>
                <w:szCs w:val="20"/>
                <w:highlight w:val="none"/>
              </w:rPr>
              <w:t>》中附表。</w:t>
            </w:r>
          </w:p>
          <w:p w14:paraId="1E54BDE1">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（5）按照《2026年全国生态质量监测方案》要求编写相应生态地面监测与分析报告。</w:t>
            </w:r>
          </w:p>
          <w:p w14:paraId="68A00978">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1.8成果要求</w:t>
            </w:r>
          </w:p>
          <w:p w14:paraId="1D018B40">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本项目所形成的数据及报告归采购人所有。未经采购人授权，中标单位无权使用监测数据或将数据和报告</w:t>
            </w:r>
            <w:r>
              <w:rPr>
                <w:rFonts w:hint="eastAsia" w:ascii="方正仿宋_GB2312" w:hAnsi="方正仿宋_GB2312" w:eastAsia="方正仿宋_GB2312" w:cs="方正仿宋_GB2312"/>
                <w:sz w:val="20"/>
                <w:szCs w:val="20"/>
                <w:highlight w:val="none"/>
                <w:lang w:val="en-US" w:eastAsia="zh-CN"/>
              </w:rPr>
              <w:t>提供</w:t>
            </w:r>
            <w:r>
              <w:rPr>
                <w:rFonts w:hint="eastAsia" w:ascii="方正仿宋_GB2312" w:hAnsi="方正仿宋_GB2312" w:eastAsia="方正仿宋_GB2312" w:cs="方正仿宋_GB2312"/>
                <w:sz w:val="20"/>
                <w:szCs w:val="20"/>
                <w:highlight w:val="none"/>
              </w:rPr>
              <w:t>给任何第三方。</w:t>
            </w:r>
          </w:p>
          <w:p w14:paraId="39ADB03D">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成果包括以下方面：</w:t>
            </w:r>
          </w:p>
          <w:p w14:paraId="1119BEE8">
            <w:pPr>
              <w:pStyle w:val="6"/>
              <w:rPr>
                <w:rFonts w:hint="eastAsia" w:ascii="方正仿宋_GB2312" w:hAnsi="方正仿宋_GB2312" w:eastAsia="方正仿宋_GB2312" w:cs="方正仿宋_GB2312"/>
                <w:sz w:val="20"/>
                <w:szCs w:val="20"/>
                <w:highlight w:val="none"/>
              </w:rPr>
            </w:pPr>
            <w:bookmarkStart w:id="2" w:name="OLE_LINK2"/>
            <w:r>
              <w:rPr>
                <w:rFonts w:hint="eastAsia" w:ascii="方正仿宋_GB2312" w:hAnsi="方正仿宋_GB2312" w:eastAsia="方正仿宋_GB2312" w:cs="方正仿宋_GB2312"/>
                <w:sz w:val="20"/>
                <w:szCs w:val="20"/>
                <w:highlight w:val="none"/>
              </w:rPr>
              <w:t>（1）</w:t>
            </w:r>
            <w:bookmarkEnd w:id="2"/>
            <w:r>
              <w:rPr>
                <w:rFonts w:hint="eastAsia" w:ascii="方正仿宋_GB2312" w:hAnsi="方正仿宋_GB2312" w:eastAsia="方正仿宋_GB2312" w:cs="方正仿宋_GB2312"/>
                <w:sz w:val="20"/>
                <w:szCs w:val="20"/>
                <w:highlight w:val="none"/>
              </w:rPr>
              <w:t>形成《2026年度陕西省生态质量样地原生功能群种调查报告》1份；</w:t>
            </w:r>
          </w:p>
          <w:p w14:paraId="0884DED0">
            <w:pPr>
              <w:pStyle w:val="6"/>
              <w:rPr>
                <w:rFonts w:hint="eastAsia" w:ascii="方正仿宋_GB2312" w:hAnsi="方正仿宋_GB2312" w:eastAsia="方正仿宋_GB2312" w:cs="方正仿宋_GB2312"/>
                <w:sz w:val="20"/>
                <w:szCs w:val="20"/>
                <w:highlight w:val="none"/>
                <w:lang w:eastAsia="zh-CN"/>
              </w:rPr>
            </w:pPr>
            <w:r>
              <w:rPr>
                <w:rFonts w:hint="eastAsia" w:ascii="方正仿宋_GB2312" w:hAnsi="方正仿宋_GB2312" w:eastAsia="方正仿宋_GB2312" w:cs="方正仿宋_GB2312"/>
                <w:sz w:val="20"/>
                <w:szCs w:val="20"/>
                <w:highlight w:val="none"/>
              </w:rPr>
              <w:t>（2）形成《2026年度陕西省生态质量样地重点保护生物（高等植物部分）调查报告》1份</w:t>
            </w:r>
            <w:r>
              <w:rPr>
                <w:rFonts w:hint="eastAsia" w:ascii="方正仿宋_GB2312" w:hAnsi="方正仿宋_GB2312" w:eastAsia="方正仿宋_GB2312" w:cs="方正仿宋_GB2312"/>
                <w:sz w:val="20"/>
                <w:szCs w:val="20"/>
                <w:highlight w:val="none"/>
                <w:lang w:eastAsia="zh-CN"/>
              </w:rPr>
              <w:t>；</w:t>
            </w:r>
          </w:p>
          <w:p w14:paraId="7956872A">
            <w:pPr>
              <w:pStyle w:val="6"/>
              <w:rPr>
                <w:rFonts w:hint="eastAsia" w:ascii="方正仿宋_GB2312" w:hAnsi="方正仿宋_GB2312" w:eastAsia="方正仿宋_GB2312" w:cs="方正仿宋_GB2312"/>
                <w:sz w:val="20"/>
                <w:szCs w:val="20"/>
                <w:highlight w:val="none"/>
              </w:rPr>
            </w:pPr>
            <w:bookmarkStart w:id="3" w:name="OLE_LINK4"/>
            <w:r>
              <w:rPr>
                <w:rFonts w:hint="eastAsia" w:ascii="方正仿宋_GB2312" w:hAnsi="方正仿宋_GB2312" w:eastAsia="方正仿宋_GB2312" w:cs="方正仿宋_GB2312"/>
                <w:sz w:val="20"/>
                <w:szCs w:val="20"/>
                <w:highlight w:val="none"/>
              </w:rPr>
              <w:t>（3）</w:t>
            </w:r>
            <w:bookmarkEnd w:id="3"/>
            <w:r>
              <w:rPr>
                <w:rFonts w:hint="eastAsia" w:ascii="方正仿宋_GB2312" w:hAnsi="方正仿宋_GB2312" w:eastAsia="方正仿宋_GB2312" w:cs="方正仿宋_GB2312"/>
                <w:sz w:val="20"/>
                <w:szCs w:val="20"/>
                <w:highlight w:val="none"/>
              </w:rPr>
              <w:t>形成《2026年度陕西省生态质量样地指示生物类群调查报告》1份；</w:t>
            </w:r>
          </w:p>
          <w:p w14:paraId="6C63D406">
            <w:pPr>
              <w:pStyle w:val="6"/>
              <w:rPr>
                <w:rFonts w:hint="eastAsia" w:ascii="方正仿宋_GB2312" w:hAnsi="方正仿宋_GB2312" w:eastAsia="方正仿宋_GB2312" w:cs="方正仿宋_GB2312"/>
                <w:sz w:val="20"/>
                <w:szCs w:val="20"/>
                <w:highlight w:val="none"/>
                <w:lang w:eastAsia="zh-CN"/>
              </w:rPr>
            </w:pPr>
            <w:r>
              <w:rPr>
                <w:rFonts w:hint="eastAsia" w:ascii="方正仿宋_GB2312" w:hAnsi="方正仿宋_GB2312" w:eastAsia="方正仿宋_GB2312" w:cs="方正仿宋_GB2312"/>
                <w:sz w:val="20"/>
                <w:szCs w:val="20"/>
                <w:highlight w:val="none"/>
              </w:rPr>
              <w:t>（4）形成《2026年度陕西省生态质量样地重点保护生物（指示生物部分）调查报告》1份</w:t>
            </w:r>
            <w:r>
              <w:rPr>
                <w:rFonts w:hint="eastAsia" w:ascii="方正仿宋_GB2312" w:hAnsi="方正仿宋_GB2312" w:eastAsia="方正仿宋_GB2312" w:cs="方正仿宋_GB2312"/>
                <w:sz w:val="20"/>
                <w:szCs w:val="20"/>
                <w:highlight w:val="none"/>
                <w:lang w:eastAsia="zh-CN"/>
              </w:rPr>
              <w:t>；</w:t>
            </w:r>
          </w:p>
          <w:p w14:paraId="35B61853">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（5）形成《2026年度陕西省生态质量样地水生生物调查报告》1份；</w:t>
            </w:r>
          </w:p>
          <w:p w14:paraId="771D6297">
            <w:pPr>
              <w:pStyle w:val="6"/>
              <w:rPr>
                <w:rFonts w:hint="eastAsia" w:ascii="方正仿宋_GB2312" w:hAnsi="方正仿宋_GB2312" w:eastAsia="方正仿宋_GB2312" w:cs="方正仿宋_GB2312"/>
                <w:sz w:val="20"/>
                <w:szCs w:val="20"/>
                <w:highlight w:val="none"/>
                <w:lang w:eastAsia="zh-CN"/>
              </w:rPr>
            </w:pPr>
            <w:r>
              <w:rPr>
                <w:rFonts w:hint="eastAsia" w:ascii="方正仿宋_GB2312" w:hAnsi="方正仿宋_GB2312" w:eastAsia="方正仿宋_GB2312" w:cs="方正仿宋_GB2312"/>
                <w:sz w:val="20"/>
                <w:szCs w:val="20"/>
                <w:highlight w:val="none"/>
              </w:rPr>
              <w:t>（6）形成《2026年度陕西省生态质量样地重点保护生物（鱼类部分）调查报告》1份</w:t>
            </w:r>
            <w:r>
              <w:rPr>
                <w:rFonts w:hint="eastAsia" w:ascii="方正仿宋_GB2312" w:hAnsi="方正仿宋_GB2312" w:eastAsia="方正仿宋_GB2312" w:cs="方正仿宋_GB2312"/>
                <w:sz w:val="20"/>
                <w:szCs w:val="20"/>
                <w:highlight w:val="none"/>
                <w:lang w:eastAsia="zh-CN"/>
              </w:rPr>
              <w:t>；</w:t>
            </w:r>
          </w:p>
          <w:p w14:paraId="102262C6">
            <w:pPr>
              <w:pStyle w:val="6"/>
              <w:rPr>
                <w:rFonts w:hint="eastAsia" w:ascii="方正仿宋_GB2312" w:hAnsi="方正仿宋_GB2312" w:eastAsia="方正仿宋_GB2312" w:cs="方正仿宋_GB2312"/>
                <w:sz w:val="20"/>
                <w:szCs w:val="20"/>
                <w:highlight w:val="none"/>
                <w:lang w:eastAsia="zh-CN"/>
              </w:rPr>
            </w:pPr>
            <w:r>
              <w:rPr>
                <w:rFonts w:hint="eastAsia" w:ascii="方正仿宋_GB2312" w:hAnsi="方正仿宋_GB2312" w:eastAsia="方正仿宋_GB2312" w:cs="方正仿宋_GB2312"/>
                <w:sz w:val="20"/>
                <w:szCs w:val="20"/>
                <w:highlight w:val="none"/>
              </w:rPr>
              <w:t>（7）编写《2026年度陕西省生态地面监测与分析报告》1份</w:t>
            </w:r>
            <w:r>
              <w:rPr>
                <w:rFonts w:hint="eastAsia" w:ascii="方正仿宋_GB2312" w:hAnsi="方正仿宋_GB2312" w:eastAsia="方正仿宋_GB2312" w:cs="方正仿宋_GB2312"/>
                <w:sz w:val="20"/>
                <w:szCs w:val="20"/>
                <w:highlight w:val="none"/>
                <w:lang w:eastAsia="zh-CN"/>
              </w:rPr>
              <w:t>。</w:t>
            </w:r>
          </w:p>
          <w:p w14:paraId="0BA89FD9">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1.9组织保障措施</w:t>
            </w:r>
          </w:p>
          <w:p w14:paraId="6DEE85C1">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本项目实施过程中，具体监测点位、内容及工作方式按照《2026年国家生态环境监测方案》、《2026年国家生态质量监测方案》和《2026年全国生态质量样地监测质控方案》相关要求执行</w:t>
            </w:r>
            <w:r>
              <w:rPr>
                <w:rFonts w:hint="eastAsia" w:ascii="方正仿宋_GB2312" w:hAnsi="方正仿宋_GB2312" w:eastAsia="方正仿宋_GB2312" w:cs="方正仿宋_GB2312"/>
                <w:sz w:val="20"/>
                <w:szCs w:val="20"/>
                <w:highlight w:val="none"/>
                <w:lang w:eastAsia="zh-CN"/>
              </w:rPr>
              <w:t>，</w:t>
            </w:r>
            <w:r>
              <w:rPr>
                <w:rFonts w:hint="eastAsia" w:ascii="方正仿宋_GB2312" w:hAnsi="方正仿宋_GB2312" w:eastAsia="方正仿宋_GB2312" w:cs="方正仿宋_GB2312"/>
                <w:sz w:val="20"/>
                <w:szCs w:val="20"/>
                <w:highlight w:val="none"/>
              </w:rPr>
              <w:t>本项目实施前，投标人需组织项目实施方案和质控方案论证会</w:t>
            </w:r>
            <w:r>
              <w:rPr>
                <w:rFonts w:hint="eastAsia" w:ascii="方正仿宋_GB2312" w:hAnsi="方正仿宋_GB2312" w:eastAsia="方正仿宋_GB2312" w:cs="方正仿宋_GB2312"/>
                <w:sz w:val="20"/>
                <w:szCs w:val="20"/>
                <w:highlight w:val="none"/>
                <w:lang w:eastAsia="zh-CN"/>
              </w:rPr>
              <w:t>，</w:t>
            </w:r>
            <w:r>
              <w:rPr>
                <w:rFonts w:hint="eastAsia" w:ascii="方正仿宋_GB2312" w:hAnsi="方正仿宋_GB2312" w:eastAsia="方正仿宋_GB2312" w:cs="方正仿宋_GB2312"/>
                <w:sz w:val="20"/>
                <w:szCs w:val="20"/>
                <w:highlight w:val="none"/>
                <w:lang w:val="en-US" w:eastAsia="zh-CN"/>
              </w:rPr>
              <w:t>并做好相应野外工作安排保障措施</w:t>
            </w:r>
            <w:r>
              <w:rPr>
                <w:rFonts w:hint="eastAsia" w:ascii="方正仿宋_GB2312" w:hAnsi="方正仿宋_GB2312" w:eastAsia="方正仿宋_GB2312" w:cs="方正仿宋_GB2312"/>
                <w:sz w:val="20"/>
                <w:szCs w:val="20"/>
                <w:highlight w:val="none"/>
              </w:rPr>
              <w:t>。实施方案经专家论证同意后开展工作。</w:t>
            </w:r>
          </w:p>
          <w:p w14:paraId="51587D57">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1.10质控要求</w:t>
            </w:r>
          </w:p>
          <w:p w14:paraId="6CCB5223">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质控要求严格按照《全国生态质量监测质控工作方案》执行，按照“谁出数、谁负责”的原则，任务承担单位对所承担任务的质量负责，按国家、</w:t>
            </w:r>
            <w:r>
              <w:rPr>
                <w:rFonts w:hint="eastAsia" w:ascii="方正仿宋_GB2312" w:hAnsi="方正仿宋_GB2312" w:eastAsia="方正仿宋_GB2312" w:cs="方正仿宋_GB2312"/>
                <w:sz w:val="20"/>
                <w:szCs w:val="20"/>
                <w:highlight w:val="none"/>
                <w:lang w:val="en-US" w:eastAsia="zh-CN"/>
              </w:rPr>
              <w:t>省级</w:t>
            </w:r>
            <w:r>
              <w:rPr>
                <w:rFonts w:hint="eastAsia" w:ascii="方正仿宋_GB2312" w:hAnsi="方正仿宋_GB2312" w:eastAsia="方正仿宋_GB2312" w:cs="方正仿宋_GB2312"/>
                <w:sz w:val="20"/>
                <w:szCs w:val="20"/>
                <w:highlight w:val="none"/>
              </w:rPr>
              <w:t>关于</w:t>
            </w:r>
            <w:r>
              <w:rPr>
                <w:rFonts w:hint="eastAsia" w:ascii="方正仿宋_GB2312" w:hAnsi="方正仿宋_GB2312" w:eastAsia="方正仿宋_GB2312" w:cs="方正仿宋_GB2312"/>
                <w:sz w:val="20"/>
                <w:szCs w:val="20"/>
                <w:highlight w:val="none"/>
                <w:lang w:val="en-US" w:eastAsia="zh-CN"/>
              </w:rPr>
              <w:t>生态质量</w:t>
            </w:r>
            <w:r>
              <w:rPr>
                <w:rFonts w:hint="eastAsia" w:ascii="方正仿宋_GB2312" w:hAnsi="方正仿宋_GB2312" w:eastAsia="方正仿宋_GB2312" w:cs="方正仿宋_GB2312"/>
                <w:sz w:val="20"/>
                <w:szCs w:val="20"/>
                <w:highlight w:val="none"/>
              </w:rPr>
              <w:t>样地和生态类型监测与质控工作的要求开展相应准备工作、样地现场监测、数据填报与检查等工作。</w:t>
            </w:r>
          </w:p>
          <w:p w14:paraId="51213437">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监测准备阶段</w:t>
            </w:r>
          </w:p>
          <w:p w14:paraId="01B925BB">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监测任务承担单位结合</w:t>
            </w:r>
            <w:r>
              <w:rPr>
                <w:rFonts w:hint="eastAsia" w:ascii="方正仿宋_GB2312" w:hAnsi="方正仿宋_GB2312" w:eastAsia="方正仿宋_GB2312" w:cs="方正仿宋_GB2312"/>
                <w:sz w:val="20"/>
                <w:szCs w:val="20"/>
                <w:highlight w:val="none"/>
                <w:lang w:val="en-US" w:eastAsia="zh-CN"/>
              </w:rPr>
              <w:t>国家和省级</w:t>
            </w:r>
            <w:r>
              <w:rPr>
                <w:rFonts w:hint="eastAsia" w:ascii="方正仿宋_GB2312" w:hAnsi="方正仿宋_GB2312" w:eastAsia="方正仿宋_GB2312" w:cs="方正仿宋_GB2312"/>
                <w:sz w:val="20"/>
                <w:szCs w:val="20"/>
                <w:highlight w:val="none"/>
              </w:rPr>
              <w:t>有关要求，编制监测与质控方案；对监测队伍开展技术培训；准备样地监测工作所需的设备及材料；配合开展能力评估；提交监测人员基本信息，明确任务分工。</w:t>
            </w:r>
          </w:p>
          <w:p w14:paraId="0586123C">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（2）现场监测阶段</w:t>
            </w:r>
          </w:p>
          <w:p w14:paraId="44C3F654">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样地监测质控执行“单位自查、省级检查、国家抽测”的分级 检查制度，综合运用现场监督、比对抽测等手段开展质控。</w:t>
            </w:r>
          </w:p>
          <w:p w14:paraId="10F72AB3">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 xml:space="preserve">监测任务承担单位在整个监测过程中实时开展自查工作，通过 APP 报送监测数据。现场工作组组长在提交数据前，开展全面自查，包括检查样地经纬度等信息的准确性、数据的完整性等。 </w:t>
            </w:r>
          </w:p>
          <w:p w14:paraId="7390E30A">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lang w:val="en-US" w:eastAsia="zh-CN"/>
              </w:rPr>
              <w:t>省环境监测中心站</w:t>
            </w:r>
            <w:r>
              <w:rPr>
                <w:rFonts w:hint="eastAsia" w:ascii="方正仿宋_GB2312" w:hAnsi="方正仿宋_GB2312" w:eastAsia="方正仿宋_GB2312" w:cs="方正仿宋_GB2312"/>
                <w:sz w:val="20"/>
                <w:szCs w:val="20"/>
                <w:highlight w:val="none"/>
              </w:rPr>
              <w:t>组织对监测任务承担单位不定期开展现场检查，发挥督导作用，提升承担单位监测工作的规范性。可结合实际情况，参考准备阶段外业评估环节开展比对抽测。若样地监测数据差异度低于60分，应分析原因，责成该工作组限期重测；重测仍低于60分，取消其后续监测资格。</w:t>
            </w:r>
          </w:p>
          <w:p w14:paraId="08CF1524">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lang w:val="en-US" w:eastAsia="zh-CN"/>
              </w:rPr>
              <w:t>国家</w:t>
            </w:r>
            <w:r>
              <w:rPr>
                <w:rFonts w:hint="eastAsia" w:ascii="方正仿宋_GB2312" w:hAnsi="方正仿宋_GB2312" w:eastAsia="方正仿宋_GB2312" w:cs="方正仿宋_GB2312"/>
                <w:sz w:val="20"/>
                <w:szCs w:val="20"/>
                <w:highlight w:val="none"/>
              </w:rPr>
              <w:t>总站按不低于全国当年森林、草地、湿地、荒漠监测样地总数10%的比例对</w:t>
            </w:r>
            <w:r>
              <w:rPr>
                <w:rFonts w:hint="eastAsia" w:ascii="方正仿宋_GB2312" w:hAnsi="方正仿宋_GB2312" w:eastAsia="方正仿宋_GB2312" w:cs="方正仿宋_GB2312"/>
                <w:sz w:val="20"/>
                <w:szCs w:val="20"/>
                <w:highlight w:val="none"/>
                <w:lang w:val="en-US" w:eastAsia="zh-CN"/>
              </w:rPr>
              <w:t>我</w:t>
            </w:r>
            <w:r>
              <w:rPr>
                <w:rFonts w:hint="eastAsia" w:ascii="方正仿宋_GB2312" w:hAnsi="方正仿宋_GB2312" w:eastAsia="方正仿宋_GB2312" w:cs="方正仿宋_GB2312"/>
                <w:sz w:val="20"/>
                <w:szCs w:val="20"/>
                <w:highlight w:val="none"/>
              </w:rPr>
              <w:t>省样地数据质量进行抽测评估。原则上抽测工作应与监测团队同步开展野外监测。采用扣分制，样地差异度得分低于60分，质控队伍与该工作组共同分析原因，再比对抽测一个样地；如仍低于60分，该监测任务承担单位将纳入国家生态质量样地监测队伍黑名单，并向</w:t>
            </w:r>
            <w:r>
              <w:rPr>
                <w:rFonts w:hint="eastAsia" w:ascii="方正仿宋_GB2312" w:hAnsi="方正仿宋_GB2312" w:eastAsia="方正仿宋_GB2312" w:cs="方正仿宋_GB2312"/>
                <w:sz w:val="20"/>
                <w:szCs w:val="20"/>
                <w:highlight w:val="none"/>
                <w:lang w:val="en-US" w:eastAsia="zh-CN"/>
              </w:rPr>
              <w:t>省级</w:t>
            </w:r>
            <w:r>
              <w:rPr>
                <w:rFonts w:hint="eastAsia" w:ascii="方正仿宋_GB2312" w:hAnsi="方正仿宋_GB2312" w:eastAsia="方正仿宋_GB2312" w:cs="方正仿宋_GB2312"/>
                <w:sz w:val="20"/>
                <w:szCs w:val="20"/>
                <w:highlight w:val="none"/>
              </w:rPr>
              <w:t>部门通报。该团队承担的所有样地重新开展监测，</w:t>
            </w:r>
            <w:r>
              <w:rPr>
                <w:rFonts w:hint="eastAsia" w:ascii="方正仿宋_GB2312" w:hAnsi="方正仿宋_GB2312" w:eastAsia="方正仿宋_GB2312" w:cs="方正仿宋_GB2312"/>
                <w:sz w:val="20"/>
                <w:szCs w:val="20"/>
                <w:highlight w:val="none"/>
                <w:lang w:val="en-US" w:eastAsia="zh-CN"/>
              </w:rPr>
              <w:t>并</w:t>
            </w:r>
            <w:r>
              <w:rPr>
                <w:rFonts w:hint="eastAsia" w:ascii="方正仿宋_GB2312" w:hAnsi="方正仿宋_GB2312" w:eastAsia="方正仿宋_GB2312" w:cs="方正仿宋_GB2312"/>
                <w:sz w:val="20"/>
                <w:szCs w:val="20"/>
                <w:highlight w:val="none"/>
              </w:rPr>
              <w:t>扣减其承担样地的监测经费。</w:t>
            </w:r>
          </w:p>
          <w:p w14:paraId="51E7CC0B">
            <w:pPr>
              <w:pStyle w:val="6"/>
              <w:rPr>
                <w:rFonts w:hint="eastAsia" w:ascii="方正仿宋_GB2312" w:hAnsi="方正仿宋_GB2312" w:eastAsia="方正仿宋_GB2312" w:cs="方正仿宋_GB2312"/>
                <w:sz w:val="20"/>
                <w:szCs w:val="20"/>
                <w:highlight w:val="none"/>
              </w:rPr>
            </w:pPr>
            <w:bookmarkStart w:id="4" w:name="OLE_LINK5"/>
            <w:r>
              <w:rPr>
                <w:rFonts w:hint="eastAsia" w:ascii="方正仿宋_GB2312" w:hAnsi="方正仿宋_GB2312" w:eastAsia="方正仿宋_GB2312" w:cs="方正仿宋_GB2312"/>
                <w:sz w:val="20"/>
                <w:szCs w:val="20"/>
                <w:highlight w:val="none"/>
              </w:rPr>
              <w:t>（3）</w:t>
            </w:r>
            <w:bookmarkEnd w:id="4"/>
            <w:r>
              <w:rPr>
                <w:rFonts w:hint="eastAsia" w:ascii="方正仿宋_GB2312" w:hAnsi="方正仿宋_GB2312" w:eastAsia="方正仿宋_GB2312" w:cs="方正仿宋_GB2312"/>
                <w:sz w:val="20"/>
                <w:szCs w:val="20"/>
                <w:highlight w:val="none"/>
              </w:rPr>
              <w:t>数据审核阶段</w:t>
            </w:r>
          </w:p>
          <w:p w14:paraId="0D151373">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监测工作完成后，严格开展数据审核，确保数据真实可信。</w:t>
            </w:r>
          </w:p>
          <w:p w14:paraId="2521AD39">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lang w:val="en-US" w:eastAsia="zh-CN"/>
              </w:rPr>
              <w:t>陕西省环境监测中心站</w:t>
            </w:r>
            <w:r>
              <w:rPr>
                <w:rFonts w:hint="eastAsia" w:ascii="方正仿宋_GB2312" w:hAnsi="方正仿宋_GB2312" w:eastAsia="方正仿宋_GB2312" w:cs="方正仿宋_GB2312"/>
                <w:sz w:val="20"/>
                <w:szCs w:val="20"/>
                <w:highlight w:val="none"/>
              </w:rPr>
              <w:t>组织对全省监测数据 进行完整性、逻辑性与合理性审核，审核完成后向监测队伍反馈问题并要求限期修正</w:t>
            </w:r>
            <w:r>
              <w:rPr>
                <w:rFonts w:hint="eastAsia" w:ascii="方正仿宋_GB2312" w:hAnsi="方正仿宋_GB2312" w:eastAsia="方正仿宋_GB2312" w:cs="方正仿宋_GB2312"/>
                <w:sz w:val="20"/>
                <w:szCs w:val="20"/>
                <w:highlight w:val="none"/>
                <w:lang w:eastAsia="zh-CN"/>
              </w:rPr>
              <w:t>。</w:t>
            </w:r>
            <w:r>
              <w:rPr>
                <w:rFonts w:hint="eastAsia" w:ascii="方正仿宋_GB2312" w:hAnsi="方正仿宋_GB2312" w:eastAsia="方正仿宋_GB2312" w:cs="方正仿宋_GB2312"/>
                <w:sz w:val="20"/>
                <w:szCs w:val="20"/>
                <w:highlight w:val="none"/>
              </w:rPr>
              <w:t>国家监测总站通过系统自检结合人工终审的方式对各省数据进行审核。采用倒扣分法进行评估。</w:t>
            </w:r>
          </w:p>
          <w:p w14:paraId="15093122">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1.11质量评估</w:t>
            </w:r>
          </w:p>
          <w:p w14:paraId="05D17944">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 xml:space="preserve">样地监测的质量评估基于准备阶段评估、比对抽测结果、数据审核结果对各省监测工作开展质量评估，综合计算省级质控工作整体得分。 </w:t>
            </w:r>
          </w:p>
        </w:tc>
      </w:tr>
    </w:tbl>
    <w:p w14:paraId="2C581EDA">
      <w:pPr>
        <w:pStyle w:val="6"/>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6872B22B">
      <w:pPr>
        <w:pStyle w:val="6"/>
      </w:pPr>
      <w:r>
        <w:rPr>
          <w:rFonts w:ascii="仿宋_GB2312" w:hAnsi="仿宋_GB2312" w:eastAsia="仿宋_GB2312" w:cs="仿宋_GB2312"/>
        </w:rPr>
        <w:t>标的名称：</w:t>
      </w:r>
      <w:r>
        <w:rPr>
          <w:rFonts w:hint="eastAsia" w:ascii="仿宋_GB2312" w:hAnsi="仿宋_GB2312" w:eastAsia="仿宋_GB2312" w:cs="仿宋_GB2312"/>
        </w:rPr>
        <w:t>环境DNA生物多样性调查监测</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0"/>
        <w:gridCol w:w="1132"/>
        <w:gridCol w:w="6640"/>
      </w:tblGrid>
      <w:tr w14:paraId="7B4295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dxa"/>
          </w:tcPr>
          <w:p w14:paraId="148A9219">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 xml:space="preserve"> 序号</w:t>
            </w:r>
          </w:p>
        </w:tc>
        <w:tc>
          <w:tcPr>
            <w:tcW w:w="1132" w:type="dxa"/>
          </w:tcPr>
          <w:p w14:paraId="1C6C6D54">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 xml:space="preserve"> 参数性质</w:t>
            </w:r>
          </w:p>
        </w:tc>
        <w:tc>
          <w:tcPr>
            <w:tcW w:w="6640" w:type="dxa"/>
            <w:vAlign w:val="center"/>
          </w:tcPr>
          <w:p w14:paraId="74A2E615">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技术参数与性能指标</w:t>
            </w:r>
          </w:p>
        </w:tc>
      </w:tr>
      <w:tr w14:paraId="34F1EE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dxa"/>
          </w:tcPr>
          <w:p w14:paraId="1F681E67">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w:t>
            </w:r>
          </w:p>
        </w:tc>
        <w:tc>
          <w:tcPr>
            <w:tcW w:w="1132" w:type="dxa"/>
          </w:tcPr>
          <w:p w14:paraId="1E383A59">
            <w:pPr>
              <w:pStyle w:val="6"/>
              <w:rPr>
                <w:rFonts w:hint="eastAsia" w:ascii="方正仿宋_GB2312" w:hAnsi="方正仿宋_GB2312" w:eastAsia="方正仿宋_GB2312" w:cs="方正仿宋_GB2312"/>
                <w:sz w:val="20"/>
                <w:szCs w:val="20"/>
                <w:highlight w:val="none"/>
              </w:rPr>
            </w:pPr>
          </w:p>
        </w:tc>
        <w:tc>
          <w:tcPr>
            <w:tcW w:w="6640" w:type="dxa"/>
          </w:tcPr>
          <w:p w14:paraId="463933B9">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一、项目概况</w:t>
            </w:r>
          </w:p>
          <w:tbl>
            <w:tblPr>
              <w:tblStyle w:val="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6"/>
              <w:gridCol w:w="2233"/>
              <w:gridCol w:w="2879"/>
              <w:gridCol w:w="883"/>
            </w:tblGrid>
            <w:tr w14:paraId="63210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276" w:type="pct"/>
                  <w:vAlign w:val="center"/>
                </w:tcPr>
                <w:p w14:paraId="617ED390">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包号</w:t>
                  </w:r>
                </w:p>
              </w:tc>
              <w:tc>
                <w:tcPr>
                  <w:tcW w:w="1758" w:type="pct"/>
                  <w:vAlign w:val="center"/>
                </w:tcPr>
                <w:p w14:paraId="59DD1DDB">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名称</w:t>
                  </w:r>
                </w:p>
              </w:tc>
              <w:tc>
                <w:tcPr>
                  <w:tcW w:w="2262" w:type="pct"/>
                  <w:vAlign w:val="center"/>
                </w:tcPr>
                <w:p w14:paraId="344AF14F">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采购内容</w:t>
                  </w:r>
                </w:p>
              </w:tc>
              <w:tc>
                <w:tcPr>
                  <w:tcW w:w="704" w:type="pct"/>
                  <w:vAlign w:val="center"/>
                </w:tcPr>
                <w:p w14:paraId="0467C1C6">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预算金额</w:t>
                  </w:r>
                </w:p>
                <w:p w14:paraId="6205B09B">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（万元）</w:t>
                  </w:r>
                </w:p>
              </w:tc>
            </w:tr>
            <w:tr w14:paraId="5C443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276" w:type="pct"/>
                  <w:vAlign w:val="center"/>
                </w:tcPr>
                <w:p w14:paraId="1A850120">
                  <w:pPr>
                    <w:pStyle w:val="6"/>
                    <w:rPr>
                      <w:rFonts w:hint="eastAsia" w:ascii="方正仿宋_GB2312" w:hAnsi="方正仿宋_GB2312" w:eastAsia="方正仿宋_GB2312" w:cs="方正仿宋_GB2312"/>
                      <w:sz w:val="20"/>
                      <w:szCs w:val="20"/>
                      <w:highlight w:val="none"/>
                      <w:lang w:eastAsia="zh-CN"/>
                    </w:rPr>
                  </w:pPr>
                  <w:r>
                    <w:rPr>
                      <w:rFonts w:hint="eastAsia" w:ascii="方正仿宋_GB2312" w:hAnsi="方正仿宋_GB2312" w:eastAsia="方正仿宋_GB2312" w:cs="方正仿宋_GB2312"/>
                      <w:sz w:val="20"/>
                      <w:szCs w:val="20"/>
                      <w:highlight w:val="none"/>
                      <w:lang w:val="en-US" w:eastAsia="zh-CN"/>
                    </w:rPr>
                    <w:t>2</w:t>
                  </w:r>
                </w:p>
              </w:tc>
              <w:tc>
                <w:tcPr>
                  <w:tcW w:w="1758" w:type="pct"/>
                  <w:vAlign w:val="center"/>
                </w:tcPr>
                <w:p w14:paraId="1007886F">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环境DNA生物多样性监测</w:t>
                  </w:r>
                </w:p>
              </w:tc>
              <w:tc>
                <w:tcPr>
                  <w:tcW w:w="2262" w:type="pct"/>
                  <w:vAlign w:val="center"/>
                </w:tcPr>
                <w:p w14:paraId="02AED505">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开展2次陕西省环境DNA生物多样性调查工作</w:t>
                  </w:r>
                  <w:r>
                    <w:rPr>
                      <w:rFonts w:hint="eastAsia" w:ascii="方正仿宋_GB2312" w:hAnsi="方正仿宋_GB2312" w:eastAsia="方正仿宋_GB2312" w:cs="方正仿宋_GB2312"/>
                      <w:sz w:val="20"/>
                      <w:szCs w:val="20"/>
                      <w:highlight w:val="none"/>
                      <w:lang w:eastAsia="zh-CN"/>
                    </w:rPr>
                    <w:t>，开发陕西地区标志性物种的靶向定量监测方法</w:t>
                  </w:r>
                  <w:r>
                    <w:rPr>
                      <w:rFonts w:hint="eastAsia" w:ascii="方正仿宋_GB2312" w:hAnsi="方正仿宋_GB2312" w:eastAsia="方正仿宋_GB2312" w:cs="方正仿宋_GB2312"/>
                      <w:sz w:val="20"/>
                      <w:szCs w:val="20"/>
                      <w:highlight w:val="none"/>
                      <w:lang w:val="en-US" w:eastAsia="zh-CN"/>
                    </w:rPr>
                    <w:t>1</w:t>
                  </w:r>
                  <w:r>
                    <w:rPr>
                      <w:rFonts w:hint="eastAsia" w:ascii="方正仿宋_GB2312" w:hAnsi="方正仿宋_GB2312" w:eastAsia="方正仿宋_GB2312" w:cs="方正仿宋_GB2312"/>
                      <w:sz w:val="20"/>
                      <w:szCs w:val="20"/>
                      <w:highlight w:val="none"/>
                      <w:lang w:eastAsia="zh-CN"/>
                    </w:rPr>
                    <w:t>套</w:t>
                  </w:r>
                  <w:r>
                    <w:rPr>
                      <w:rFonts w:hint="eastAsia" w:ascii="方正仿宋_GB2312" w:hAnsi="方正仿宋_GB2312" w:eastAsia="方正仿宋_GB2312" w:cs="方正仿宋_GB2312"/>
                      <w:sz w:val="20"/>
                      <w:szCs w:val="20"/>
                      <w:highlight w:val="none"/>
                      <w:lang w:val="en-US" w:eastAsia="zh-CN"/>
                    </w:rPr>
                    <w:t>。</w:t>
                  </w:r>
                </w:p>
              </w:tc>
              <w:tc>
                <w:tcPr>
                  <w:tcW w:w="704" w:type="pct"/>
                  <w:vAlign w:val="center"/>
                </w:tcPr>
                <w:p w14:paraId="6978AF37">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190</w:t>
                  </w:r>
                </w:p>
              </w:tc>
            </w:tr>
          </w:tbl>
          <w:p w14:paraId="14EDDA65">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二、技术要求</w:t>
            </w:r>
          </w:p>
          <w:p w14:paraId="23DE9422">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1、监测点位选取</w:t>
            </w:r>
          </w:p>
          <w:p w14:paraId="6C9A6118">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采样点位每次不少于200个，其布设需按照我国现行环境DNA国家、行业、地方或团体标准（T/CSES 80-2023、T/CSES 81-2023、T/CSES 82-2023等），同时参考《地表水环境DNA样品采集技术规范》，酌情增加采样点位。点位布设应保证遵循连续性、一致性、代表性和可行性、安全性原则，综合研究断面的水文特征、生境状况、水环境质量、生物群落特征差异等信息确定采样位点。</w:t>
            </w:r>
          </w:p>
          <w:p w14:paraId="190923D7">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采样点位布设以《地表水环境质量监测技术规范》要求为主要基础，由于该标准主要目的为监测水质指标，因此，在本项目点位布设过程中，同时参考《地表水环境DNA样品采集技术规范》，酌情增加采样点位，以保证数据的准确性、科学性与代表性。综合研究断面的水文特征、生境状况、水环境质量、生物群落特征差异等信息确定采样位点。按照连续性、一致性、代表性及可行性设置原则，根据河面宽度设置采样垂线，在每条采样垂线依照水深进行分层取水，然后混合不同点位的水样。</w:t>
            </w:r>
          </w:p>
          <w:p w14:paraId="33C93CA1">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采样垂线数的设置</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4"/>
              <w:gridCol w:w="1752"/>
              <w:gridCol w:w="3235"/>
            </w:tblGrid>
            <w:tr w14:paraId="03E4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10" w:type="pct"/>
                  <w:shd w:val="clear" w:color="auto" w:fill="BEBEBE"/>
                  <w:vAlign w:val="center"/>
                </w:tcPr>
                <w:p w14:paraId="656AAD02">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水面宽(km)</w:t>
                  </w:r>
                </w:p>
              </w:tc>
              <w:tc>
                <w:tcPr>
                  <w:tcW w:w="1366" w:type="pct"/>
                  <w:shd w:val="clear" w:color="auto" w:fill="BEBEBE"/>
                  <w:vAlign w:val="center"/>
                </w:tcPr>
                <w:p w14:paraId="24636235">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垂线数</w:t>
                  </w:r>
                </w:p>
              </w:tc>
              <w:tc>
                <w:tcPr>
                  <w:tcW w:w="2522" w:type="pct"/>
                  <w:shd w:val="clear" w:color="auto" w:fill="BEBEBE"/>
                  <w:vAlign w:val="center"/>
                </w:tcPr>
                <w:p w14:paraId="09F2A98E">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说明</w:t>
                  </w:r>
                </w:p>
              </w:tc>
            </w:tr>
            <w:tr w14:paraId="0148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1110" w:type="pct"/>
                  <w:vAlign w:val="center"/>
                </w:tcPr>
                <w:p w14:paraId="3E427F18">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 0.05</w:t>
                  </w:r>
                </w:p>
              </w:tc>
              <w:tc>
                <w:tcPr>
                  <w:tcW w:w="1366" w:type="pct"/>
                  <w:vAlign w:val="center"/>
                </w:tcPr>
                <w:p w14:paraId="008EAED5">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1（中泓线）</w:t>
                  </w:r>
                </w:p>
              </w:tc>
              <w:tc>
                <w:tcPr>
                  <w:tcW w:w="2522" w:type="pct"/>
                  <w:vMerge w:val="restart"/>
                  <w:vAlign w:val="center"/>
                </w:tcPr>
                <w:p w14:paraId="201BFABE">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 垂线布设应避开污染带，要测污染带应另加垂线；</w:t>
                  </w:r>
                </w:p>
                <w:p w14:paraId="0E63B760">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 确能证明该断面水质均匀时，可仅设中泓垂线；</w:t>
                  </w:r>
                </w:p>
                <w:p w14:paraId="602C26E4">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3. 凡在该断面要计算污染物通量时，必须按本表设置垂线。</w:t>
                  </w:r>
                </w:p>
              </w:tc>
            </w:tr>
            <w:tr w14:paraId="34785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110" w:type="pct"/>
                  <w:vAlign w:val="center"/>
                </w:tcPr>
                <w:p w14:paraId="005E8250">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(0.05,0.1]</w:t>
                  </w:r>
                </w:p>
              </w:tc>
              <w:tc>
                <w:tcPr>
                  <w:tcW w:w="1366" w:type="pct"/>
                  <w:vAlign w:val="center"/>
                </w:tcPr>
                <w:p w14:paraId="0D94E37E">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2（左、右有明显水流处）</w:t>
                  </w:r>
                </w:p>
              </w:tc>
              <w:tc>
                <w:tcPr>
                  <w:tcW w:w="2522" w:type="pct"/>
                  <w:vMerge w:val="continue"/>
                  <w:vAlign w:val="center"/>
                </w:tcPr>
                <w:p w14:paraId="4BD9916B">
                  <w:pPr>
                    <w:pStyle w:val="6"/>
                    <w:spacing w:after="0" w:line="240" w:lineRule="auto"/>
                    <w:rPr>
                      <w:rFonts w:hint="eastAsia" w:ascii="方正仿宋_GB2312" w:hAnsi="方正仿宋_GB2312" w:eastAsia="方正仿宋_GB2312" w:cs="方正仿宋_GB2312"/>
                      <w:sz w:val="20"/>
                      <w:szCs w:val="20"/>
                      <w:highlight w:val="none"/>
                    </w:rPr>
                  </w:pPr>
                </w:p>
              </w:tc>
            </w:tr>
            <w:tr w14:paraId="47792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0" w:type="pct"/>
                  <w:vAlign w:val="center"/>
                </w:tcPr>
                <w:p w14:paraId="17137CD7">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＞0.1</w:t>
                  </w:r>
                </w:p>
              </w:tc>
              <w:tc>
                <w:tcPr>
                  <w:tcW w:w="1366" w:type="pct"/>
                  <w:vAlign w:val="center"/>
                </w:tcPr>
                <w:p w14:paraId="64C9BF6F">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3（左、中、右）</w:t>
                  </w:r>
                </w:p>
              </w:tc>
              <w:tc>
                <w:tcPr>
                  <w:tcW w:w="2522" w:type="pct"/>
                  <w:vMerge w:val="continue"/>
                  <w:vAlign w:val="center"/>
                </w:tcPr>
                <w:p w14:paraId="6ECD04F3">
                  <w:pPr>
                    <w:pStyle w:val="6"/>
                    <w:spacing w:after="0" w:line="240" w:lineRule="auto"/>
                    <w:rPr>
                      <w:rFonts w:hint="eastAsia" w:ascii="方正仿宋_GB2312" w:hAnsi="方正仿宋_GB2312" w:eastAsia="方正仿宋_GB2312" w:cs="方正仿宋_GB2312"/>
                      <w:sz w:val="20"/>
                      <w:szCs w:val="20"/>
                      <w:highlight w:val="none"/>
                    </w:rPr>
                  </w:pPr>
                </w:p>
              </w:tc>
            </w:tr>
          </w:tbl>
          <w:p w14:paraId="4786DF5D">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采样垂线上采样点的设置</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2"/>
              <w:gridCol w:w="1535"/>
              <w:gridCol w:w="4127"/>
            </w:tblGrid>
            <w:tr w14:paraId="4F6B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shd w:val="clear" w:color="auto" w:fill="BEBEBE"/>
                  <w:vAlign w:val="center"/>
                </w:tcPr>
                <w:p w14:paraId="619CF87D">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水深(m)</w:t>
                  </w:r>
                </w:p>
              </w:tc>
              <w:tc>
                <w:tcPr>
                  <w:tcW w:w="0" w:type="auto"/>
                  <w:shd w:val="clear" w:color="auto" w:fill="BEBEBE"/>
                  <w:vAlign w:val="center"/>
                </w:tcPr>
                <w:p w14:paraId="008FBB56">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采样点数</w:t>
                  </w:r>
                </w:p>
              </w:tc>
              <w:tc>
                <w:tcPr>
                  <w:tcW w:w="0" w:type="auto"/>
                  <w:shd w:val="clear" w:color="auto" w:fill="BEBEBE"/>
                  <w:vAlign w:val="center"/>
                </w:tcPr>
                <w:p w14:paraId="2F5DD346">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说明</w:t>
                  </w:r>
                </w:p>
              </w:tc>
            </w:tr>
            <w:tr w14:paraId="49EC4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0" w:type="auto"/>
                  <w:vAlign w:val="center"/>
                </w:tcPr>
                <w:p w14:paraId="7EEC65AF">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 1</w:t>
                  </w:r>
                </w:p>
              </w:tc>
              <w:tc>
                <w:tcPr>
                  <w:tcW w:w="0" w:type="auto"/>
                  <w:vAlign w:val="center"/>
                </w:tcPr>
                <w:p w14:paraId="12BDB560">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上层1点</w:t>
                  </w:r>
                </w:p>
              </w:tc>
              <w:tc>
                <w:tcPr>
                  <w:tcW w:w="0" w:type="auto"/>
                  <w:vMerge w:val="restart"/>
                  <w:vAlign w:val="center"/>
                </w:tcPr>
                <w:p w14:paraId="5A91856C">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 底层指河底以上0.5m处；</w:t>
                  </w:r>
                </w:p>
                <w:p w14:paraId="0054EC99">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 中层指1/2 水深处；</w:t>
                  </w:r>
                </w:p>
                <w:p w14:paraId="268E8DC8">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3. 封冻时在冰下0.5m 处采样，水深不到0.5m 处时，在水深1/2 处采样；</w:t>
                  </w:r>
                </w:p>
                <w:p w14:paraId="651B5AB7">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 凡在该断面要计算污染物通量时，必须按本表设置采点。</w:t>
                  </w:r>
                </w:p>
              </w:tc>
            </w:tr>
            <w:tr w14:paraId="65CAD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0" w:type="auto"/>
                  <w:vAlign w:val="center"/>
                </w:tcPr>
                <w:p w14:paraId="7C383A08">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(1,5]</w:t>
                  </w:r>
                </w:p>
              </w:tc>
              <w:tc>
                <w:tcPr>
                  <w:tcW w:w="0" w:type="auto"/>
                  <w:vAlign w:val="center"/>
                </w:tcPr>
                <w:p w14:paraId="76C28712">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上层、下层2点</w:t>
                  </w:r>
                </w:p>
              </w:tc>
              <w:tc>
                <w:tcPr>
                  <w:tcW w:w="0" w:type="auto"/>
                  <w:vMerge w:val="continue"/>
                  <w:vAlign w:val="center"/>
                </w:tcPr>
                <w:p w14:paraId="0C6C4A4C">
                  <w:pPr>
                    <w:pStyle w:val="6"/>
                    <w:spacing w:after="0" w:line="240" w:lineRule="auto"/>
                    <w:rPr>
                      <w:rFonts w:hint="eastAsia" w:ascii="方正仿宋_GB2312" w:hAnsi="方正仿宋_GB2312" w:eastAsia="方正仿宋_GB2312" w:cs="方正仿宋_GB2312"/>
                      <w:sz w:val="20"/>
                      <w:szCs w:val="20"/>
                      <w:highlight w:val="none"/>
                    </w:rPr>
                  </w:pPr>
                </w:p>
              </w:tc>
            </w:tr>
            <w:tr w14:paraId="4B583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0" w:type="auto"/>
                  <w:vAlign w:val="center"/>
                </w:tcPr>
                <w:p w14:paraId="6D21CD07">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＞5</w:t>
                  </w:r>
                </w:p>
              </w:tc>
              <w:tc>
                <w:tcPr>
                  <w:tcW w:w="0" w:type="auto"/>
                  <w:vAlign w:val="center"/>
                </w:tcPr>
                <w:p w14:paraId="627DD334">
                  <w:pPr>
                    <w:pStyle w:val="6"/>
                    <w:spacing w:after="0" w:line="240" w:lineRule="auto"/>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上层、中层、下层3点</w:t>
                  </w:r>
                </w:p>
              </w:tc>
              <w:tc>
                <w:tcPr>
                  <w:tcW w:w="0" w:type="auto"/>
                  <w:vMerge w:val="continue"/>
                  <w:vAlign w:val="center"/>
                </w:tcPr>
                <w:p w14:paraId="0D65018C">
                  <w:pPr>
                    <w:pStyle w:val="6"/>
                    <w:spacing w:after="0" w:line="240" w:lineRule="auto"/>
                    <w:rPr>
                      <w:rFonts w:hint="eastAsia" w:ascii="方正仿宋_GB2312" w:hAnsi="方正仿宋_GB2312" w:eastAsia="方正仿宋_GB2312" w:cs="方正仿宋_GB2312"/>
                      <w:sz w:val="20"/>
                      <w:szCs w:val="20"/>
                      <w:highlight w:val="none"/>
                    </w:rPr>
                  </w:pPr>
                </w:p>
              </w:tc>
            </w:tr>
          </w:tbl>
          <w:p w14:paraId="3258044C">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2、样品采集、运输和保存要求</w:t>
            </w:r>
          </w:p>
          <w:p w14:paraId="345D986B">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2.1样品采集</w:t>
            </w:r>
          </w:p>
          <w:p w14:paraId="6330296F">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按照《淡水生物监测 环境DNA宏条形码法》(T/CSES 81-2023)及相关规范进行环境DNA 样品采集并做好现场采样记录。</w:t>
            </w:r>
          </w:p>
          <w:p w14:paraId="21E66935">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每个点位至少采集3个平行样；采样滤器需保证为一次性耗材，具备独立操作条件，过滤过程避免样品交叉污染，孔径不大于3μm,过滤体积不少于5L，过滤时间不超过20 min；同一批次样品采集时同步采集空白水样；所有耗材保证需为一次性，避免污染。</w:t>
            </w:r>
          </w:p>
          <w:p w14:paraId="51543D72">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2.2样品保存及运输</w:t>
            </w:r>
          </w:p>
          <w:p w14:paraId="3DAE64D5">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环境DNA样品需满足常温运输条件，48小时内运送至实验室完成DNA提取。</w:t>
            </w:r>
          </w:p>
          <w:p w14:paraId="4F3A739C">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2.3样品采集表填写</w:t>
            </w:r>
          </w:p>
          <w:p w14:paraId="1C647E80">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采样时通过样品记录小程序填写样品电子信息，同时现场记录纸质信息，包括采样点位编号、点位名称、点位经纬度、采样体积、样品类型、采样日期、采样人员、设备状况等信息。</w:t>
            </w:r>
          </w:p>
          <w:p w14:paraId="3FFE8DCD">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样品交接时填写样品接收登记表，包含样品接收日期、处理编号、样品数量、接收人、交接人等信息，将样品交接给测试部人员。</w:t>
            </w:r>
          </w:p>
          <w:p w14:paraId="05E4E11A">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前处理时填写样品前处理信息表，包含原始编号、处理编号、采样点经纬度、采样方法、采样日期、前处理人员、前处理日期、采样体积等信息。</w:t>
            </w:r>
          </w:p>
          <w:p w14:paraId="667FA0BA">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3、质量控制要求</w:t>
            </w:r>
          </w:p>
          <w:p w14:paraId="3BBFB862">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样品实验室检测部分主要包括样品实验室前处理、DNA提取、PCR扩增、文库构建以及高通量测序5大部分，每部分将参照《GB/T 30989-2014 高通量基因测序技术规程》、《GB/T 40226-2021 环境微生物宏基因组检测高通量测序法》《基于环境DNA的淡水生物评价技术指南》（T/CSES 82—2023）、《淡水生物监测 环境DNA 宏条形码法（T/CSES 81—2023）、《淡水生物DNA条形码构建技术规程》（T/CSES 80—2023）要求开展 DNA 提取、PCR 扩增、文库构建和测序。</w:t>
            </w:r>
          </w:p>
          <w:p w14:paraId="7B79E00A">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3.1为了保证实验过程的可溯源性，同一批样本DNA提取采用同一 DNA提取试剂盒，避免系统误差。</w:t>
            </w:r>
          </w:p>
          <w:p w14:paraId="03639979">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3.2样品环境DNA提取过程中，需设置阳性对照、阴性对照。</w:t>
            </w:r>
          </w:p>
          <w:p w14:paraId="7F56C8D3">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 xml:space="preserve">3.3PCR扩增：（1）需设置PCR反应实验技术重复，每个样品3-6个实验技术重复；（2）PCR反应过程需设置阳性对照和阴性对照，通过凝胶电泳检测PCR反应结果，阳性对照目的条带单一、明亮，阴性对照无目的条带扩增。 </w:t>
            </w:r>
          </w:p>
          <w:p w14:paraId="7F4A4022">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3.4按照GB/T 30989和GB/T 35537的规定进行高通量测序。每个样本的有效序列数应不低于30,000条。</w:t>
            </w:r>
          </w:p>
          <w:p w14:paraId="085D55D2">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4、数据分析要求</w:t>
            </w:r>
          </w:p>
          <w:p w14:paraId="420DF978">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使用专业的环境DNA大数据分析系统开展数据分析，要求如下：</w:t>
            </w:r>
          </w:p>
          <w:p w14:paraId="7EE98416">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4.1一般要求：同一批实验数据，生物信息学分析流程及关键参数应保持一致。</w:t>
            </w:r>
          </w:p>
          <w:p w14:paraId="445CBA83">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4.2序列质量控制要求：碱基识别质量&gt;Q20，序列长度大于预期长度的70%。</w:t>
            </w:r>
          </w:p>
          <w:p w14:paraId="3FEC8DB7">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4.3分子分类单元构建及质量控制要求：使用OTU或ASV方法进行序列聚类，OTU方法聚类阈值≥97%。</w:t>
            </w:r>
          </w:p>
          <w:p w14:paraId="4BDF1F0C">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4.4分子分类单元过滤要求：过滤低丰度、假阳性、污染序列、嵌合体序列等。</w:t>
            </w:r>
          </w:p>
          <w:p w14:paraId="147DC823">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4.5物种注释要求：应综合考虑选用的条形码片段、参考数据库的完整性及数据用途。</w:t>
            </w:r>
          </w:p>
          <w:p w14:paraId="40566F5D">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4.6检出判定要求：分子分类单元在某一点位的生物重复样本中检出率不低于2/3。</w:t>
            </w:r>
          </w:p>
          <w:p w14:paraId="7859FAEA">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4.7生物统计表要求：每个样本的生物多样性统计表应包含分子分类单元（如ASVs或OTUs）名称、序列、物种注释信息、序列数等信息。</w:t>
            </w:r>
          </w:p>
          <w:p w14:paraId="1C6C913E">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4.8按进度要求提供①实验原始记录；②原始序列数据和过滤后的可用序列数据；③具有相对丰度和分类学信息的 OTU/ASV表和数据分析过程文件等资料。</w:t>
            </w:r>
          </w:p>
          <w:p w14:paraId="6D4587E8">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4.9及时提供数据分析报告。包括报告和原始序列、生物信息分析软件、比对注释数据库文件、数据分析参数和流程等技术文档。</w:t>
            </w:r>
          </w:p>
          <w:p w14:paraId="3491DF80">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5、标志物种靶向监测技术开发</w:t>
            </w:r>
          </w:p>
          <w:p w14:paraId="04AB0C2B">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5.1样品要求</w:t>
            </w:r>
          </w:p>
          <w:p w14:paraId="15E81091">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环境DNA样品，包括水环境DNA样品、空气DNA样品、土壤DNA或粪便样品。</w:t>
            </w:r>
          </w:p>
          <w:p w14:paraId="27965FB5">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5.2引物设计及筛选要求</w:t>
            </w:r>
          </w:p>
          <w:p w14:paraId="6B821162">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基于线粒体基因组设计引物，每个物种需设计不少于3对引物，设计过程需包含近缘物种基因比对步骤，设计原则遵循标准荧光定量PCR物种特异性引物设计原则；引物筛选需根据反应条件、反应体系等确认引物。</w:t>
            </w:r>
          </w:p>
          <w:p w14:paraId="09DA08BB">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5.3qPCR性能验证</w:t>
            </w:r>
          </w:p>
          <w:p w14:paraId="3E30449C">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qPCR性能验证需包括但不限于准确性、精密度、检出限验证，方法准确性需≥90%。</w:t>
            </w:r>
          </w:p>
          <w:p w14:paraId="4FA021C6">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5.4成果要求</w:t>
            </w:r>
          </w:p>
          <w:p w14:paraId="7551C9F7">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项目实施完成后将在专题报告的基础上，取得基础数据、技术规范、科学传播和监测能力等方面成果，具体成果如下：</w:t>
            </w:r>
          </w:p>
          <w:p w14:paraId="57834C3F">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1）形成陕西2026年度环境DNA水生生物调查报告；</w:t>
            </w:r>
          </w:p>
          <w:p w14:paraId="6D15F715">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2）获得可长期保存的陕西水域环境DNA样品及基因库；</w:t>
            </w:r>
          </w:p>
          <w:p w14:paraId="7CF78A94">
            <w:pPr>
              <w:pStyle w:val="6"/>
              <w:rPr>
                <w:rFonts w:hint="eastAsia" w:ascii="方正仿宋_GB2312" w:hAnsi="方正仿宋_GB2312" w:eastAsia="方正仿宋_GB2312" w:cs="方正仿宋_GB2312"/>
                <w:sz w:val="20"/>
                <w:szCs w:val="20"/>
                <w:highlight w:val="none"/>
                <w:lang w:eastAsia="zh-CN"/>
              </w:rPr>
            </w:pPr>
            <w:r>
              <w:rPr>
                <w:rFonts w:hint="eastAsia" w:ascii="方正仿宋_GB2312" w:hAnsi="方正仿宋_GB2312" w:eastAsia="方正仿宋_GB2312" w:cs="方正仿宋_GB2312"/>
                <w:sz w:val="20"/>
                <w:szCs w:val="20"/>
                <w:highlight w:val="none"/>
              </w:rPr>
              <w:t>3）形成陕西</w:t>
            </w:r>
            <w:r>
              <w:rPr>
                <w:rFonts w:hint="eastAsia" w:ascii="方正仿宋_GB2312" w:hAnsi="方正仿宋_GB2312" w:eastAsia="方正仿宋_GB2312" w:cs="方正仿宋_GB2312"/>
                <w:sz w:val="20"/>
                <w:szCs w:val="20"/>
                <w:highlight w:val="none"/>
                <w:lang w:val="en-US" w:eastAsia="zh-CN"/>
              </w:rPr>
              <w:t>近年</w:t>
            </w:r>
            <w:r>
              <w:rPr>
                <w:rFonts w:hint="eastAsia" w:ascii="方正仿宋_GB2312" w:hAnsi="方正仿宋_GB2312" w:eastAsia="方正仿宋_GB2312" w:cs="方正仿宋_GB2312"/>
                <w:sz w:val="20"/>
                <w:szCs w:val="20"/>
                <w:highlight w:val="none"/>
              </w:rPr>
              <w:t>水生生物环境DNA调查综合报告1份</w:t>
            </w:r>
            <w:r>
              <w:rPr>
                <w:rFonts w:hint="eastAsia" w:ascii="方正仿宋_GB2312" w:hAnsi="方正仿宋_GB2312" w:eastAsia="方正仿宋_GB2312" w:cs="方正仿宋_GB2312"/>
                <w:sz w:val="20"/>
                <w:szCs w:val="20"/>
                <w:highlight w:val="none"/>
                <w:lang w:eastAsia="zh-CN"/>
              </w:rPr>
              <w:t>；</w:t>
            </w:r>
          </w:p>
          <w:p w14:paraId="00B03DF0">
            <w:pPr>
              <w:pStyle w:val="6"/>
              <w:rPr>
                <w:rFonts w:hint="eastAsia" w:ascii="方正仿宋_GB2312" w:hAnsi="方正仿宋_GB2312" w:eastAsia="方正仿宋_GB2312" w:cs="方正仿宋_GB2312"/>
                <w:sz w:val="20"/>
                <w:szCs w:val="20"/>
                <w:highlight w:val="none"/>
                <w:lang w:eastAsia="zh-CN"/>
              </w:rPr>
            </w:pPr>
            <w:r>
              <w:rPr>
                <w:rFonts w:hint="eastAsia" w:ascii="方正仿宋_GB2312" w:hAnsi="方正仿宋_GB2312" w:eastAsia="方正仿宋_GB2312" w:cs="方正仿宋_GB2312"/>
                <w:sz w:val="20"/>
                <w:szCs w:val="20"/>
                <w:highlight w:val="none"/>
                <w:lang w:val="en-US" w:eastAsia="zh-CN"/>
              </w:rPr>
              <w:t>4）</w:t>
            </w:r>
            <w:r>
              <w:rPr>
                <w:rFonts w:hint="eastAsia" w:ascii="方正仿宋_GB2312" w:hAnsi="方正仿宋_GB2312" w:eastAsia="方正仿宋_GB2312" w:cs="方正仿宋_GB2312"/>
                <w:sz w:val="20"/>
                <w:szCs w:val="20"/>
                <w:highlight w:val="none"/>
                <w:lang w:eastAsia="zh-CN"/>
              </w:rPr>
              <w:t>形成陕西标志</w:t>
            </w:r>
            <w:r>
              <w:rPr>
                <w:rFonts w:hint="eastAsia" w:ascii="方正仿宋_GB2312" w:hAnsi="方正仿宋_GB2312" w:eastAsia="方正仿宋_GB2312" w:cs="方正仿宋_GB2312"/>
                <w:sz w:val="20"/>
                <w:szCs w:val="20"/>
                <w:highlight w:val="none"/>
                <w:lang w:val="en-US" w:eastAsia="zh-CN"/>
              </w:rPr>
              <w:t>性</w:t>
            </w:r>
            <w:r>
              <w:rPr>
                <w:rFonts w:hint="eastAsia" w:ascii="方正仿宋_GB2312" w:hAnsi="方正仿宋_GB2312" w:eastAsia="方正仿宋_GB2312" w:cs="方正仿宋_GB2312"/>
                <w:sz w:val="20"/>
                <w:szCs w:val="20"/>
                <w:highlight w:val="none"/>
                <w:lang w:eastAsia="zh-CN"/>
              </w:rPr>
              <w:t>物种靶向监测方法</w:t>
            </w:r>
            <w:r>
              <w:rPr>
                <w:rFonts w:hint="eastAsia" w:ascii="方正仿宋_GB2312" w:hAnsi="方正仿宋_GB2312" w:eastAsia="方正仿宋_GB2312" w:cs="方正仿宋_GB2312"/>
                <w:sz w:val="20"/>
                <w:szCs w:val="20"/>
                <w:highlight w:val="none"/>
                <w:lang w:val="en-US" w:eastAsia="zh-CN"/>
              </w:rPr>
              <w:t>1</w:t>
            </w:r>
            <w:r>
              <w:rPr>
                <w:rFonts w:hint="eastAsia" w:ascii="方正仿宋_GB2312" w:hAnsi="方正仿宋_GB2312" w:eastAsia="方正仿宋_GB2312" w:cs="方正仿宋_GB2312"/>
                <w:sz w:val="20"/>
                <w:szCs w:val="20"/>
                <w:highlight w:val="none"/>
                <w:lang w:eastAsia="zh-CN"/>
              </w:rPr>
              <w:t>套及以上。</w:t>
            </w:r>
          </w:p>
          <w:p w14:paraId="4C341517">
            <w:pPr>
              <w:pStyle w:val="6"/>
              <w:rPr>
                <w:rFonts w:hint="eastAsia" w:ascii="方正仿宋_GB2312" w:hAnsi="方正仿宋_GB2312" w:eastAsia="方正仿宋_GB2312" w:cs="方正仿宋_GB2312"/>
                <w:sz w:val="20"/>
                <w:szCs w:val="20"/>
                <w:highlight w:val="none"/>
                <w:lang w:val="en-US" w:eastAsia="zh-CN"/>
              </w:rPr>
            </w:pPr>
            <w:r>
              <w:rPr>
                <w:rFonts w:hint="eastAsia" w:ascii="方正仿宋_GB2312" w:hAnsi="方正仿宋_GB2312" w:eastAsia="方正仿宋_GB2312" w:cs="方正仿宋_GB2312"/>
                <w:sz w:val="20"/>
                <w:szCs w:val="20"/>
                <w:highlight w:val="none"/>
                <w:lang w:val="en-US" w:eastAsia="zh-CN"/>
              </w:rPr>
              <w:t>5.5组织保障措施</w:t>
            </w:r>
          </w:p>
          <w:p w14:paraId="3C715DDC">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本项目实施前，投标人需</w:t>
            </w:r>
            <w:r>
              <w:rPr>
                <w:rFonts w:hint="eastAsia" w:ascii="方正仿宋_GB2312" w:hAnsi="方正仿宋_GB2312" w:eastAsia="方正仿宋_GB2312" w:cs="方正仿宋_GB2312"/>
                <w:sz w:val="20"/>
                <w:szCs w:val="20"/>
                <w:highlight w:val="none"/>
                <w:lang w:val="en-US" w:eastAsia="zh-CN"/>
              </w:rPr>
              <w:t>按照</w:t>
            </w:r>
            <w:r>
              <w:rPr>
                <w:rFonts w:hint="eastAsia" w:ascii="方正仿宋_GB2312" w:hAnsi="方正仿宋_GB2312" w:eastAsia="方正仿宋_GB2312" w:cs="方正仿宋_GB2312"/>
                <w:sz w:val="20"/>
                <w:szCs w:val="20"/>
                <w:highlight w:val="none"/>
              </w:rPr>
              <w:t>《地表水环境质量监测技术规范》</w:t>
            </w:r>
            <w:r>
              <w:rPr>
                <w:rFonts w:hint="eastAsia" w:ascii="方正仿宋_GB2312" w:hAnsi="方正仿宋_GB2312" w:eastAsia="方正仿宋_GB2312" w:cs="方正仿宋_GB2312"/>
                <w:sz w:val="20"/>
                <w:szCs w:val="20"/>
                <w:highlight w:val="none"/>
                <w:lang w:eastAsia="zh-CN"/>
              </w:rPr>
              <w:t>、</w:t>
            </w:r>
            <w:r>
              <w:rPr>
                <w:rFonts w:hint="eastAsia" w:ascii="方正仿宋_GB2312" w:hAnsi="方正仿宋_GB2312" w:eastAsia="方正仿宋_GB2312" w:cs="方正仿宋_GB2312"/>
                <w:sz w:val="20"/>
                <w:szCs w:val="20"/>
                <w:highlight w:val="none"/>
              </w:rPr>
              <w:t>《地表水环境DNA样品采集技术规范》</w:t>
            </w:r>
            <w:r>
              <w:rPr>
                <w:rFonts w:hint="eastAsia" w:ascii="方正仿宋_GB2312" w:hAnsi="方正仿宋_GB2312" w:eastAsia="方正仿宋_GB2312" w:cs="方正仿宋_GB2312"/>
                <w:sz w:val="20"/>
                <w:szCs w:val="20"/>
                <w:highlight w:val="none"/>
                <w:lang w:val="en-US" w:eastAsia="zh-CN"/>
              </w:rPr>
              <w:t>等相关技术规范要求，制定点位布设方案和</w:t>
            </w:r>
            <w:r>
              <w:rPr>
                <w:rFonts w:hint="eastAsia" w:ascii="方正仿宋_GB2312" w:hAnsi="方正仿宋_GB2312" w:eastAsia="方正仿宋_GB2312" w:cs="方正仿宋_GB2312"/>
                <w:sz w:val="20"/>
                <w:szCs w:val="20"/>
                <w:highlight w:val="none"/>
              </w:rPr>
              <w:t>项目实施方案</w:t>
            </w:r>
            <w:r>
              <w:rPr>
                <w:rFonts w:hint="eastAsia" w:ascii="方正仿宋_GB2312" w:hAnsi="方正仿宋_GB2312" w:eastAsia="方正仿宋_GB2312" w:cs="方正仿宋_GB2312"/>
                <w:sz w:val="20"/>
                <w:szCs w:val="20"/>
                <w:highlight w:val="none"/>
                <w:lang w:eastAsia="zh-CN"/>
              </w:rPr>
              <w:t>和相应野外安全保障措施，</w:t>
            </w:r>
            <w:r>
              <w:rPr>
                <w:rFonts w:hint="eastAsia" w:ascii="方正仿宋_GB2312" w:hAnsi="方正仿宋_GB2312" w:eastAsia="方正仿宋_GB2312" w:cs="方正仿宋_GB2312"/>
                <w:sz w:val="20"/>
                <w:szCs w:val="20"/>
                <w:highlight w:val="none"/>
              </w:rPr>
              <w:t>经专家论证同意后开展工作。</w:t>
            </w:r>
          </w:p>
          <w:p w14:paraId="37926917">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5.</w:t>
            </w:r>
            <w:r>
              <w:rPr>
                <w:rFonts w:hint="eastAsia" w:ascii="方正仿宋_GB2312" w:hAnsi="方正仿宋_GB2312" w:eastAsia="方正仿宋_GB2312" w:cs="方正仿宋_GB2312"/>
                <w:sz w:val="20"/>
                <w:szCs w:val="20"/>
                <w:highlight w:val="none"/>
                <w:lang w:val="en-US" w:eastAsia="zh-CN"/>
              </w:rPr>
              <w:t>6</w:t>
            </w:r>
            <w:r>
              <w:rPr>
                <w:rFonts w:hint="eastAsia" w:ascii="方正仿宋_GB2312" w:hAnsi="方正仿宋_GB2312" w:eastAsia="方正仿宋_GB2312" w:cs="方正仿宋_GB2312"/>
                <w:sz w:val="20"/>
                <w:szCs w:val="20"/>
                <w:highlight w:val="none"/>
              </w:rPr>
              <w:t>其他要求</w:t>
            </w:r>
          </w:p>
          <w:p w14:paraId="482A04D0">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1）</w:t>
            </w:r>
            <w:r>
              <w:rPr>
                <w:rFonts w:hint="eastAsia" w:ascii="方正仿宋_GB2312" w:hAnsi="方正仿宋_GB2312" w:eastAsia="方正仿宋_GB2312" w:cs="方正仿宋_GB2312"/>
                <w:sz w:val="20"/>
                <w:szCs w:val="20"/>
                <w:highlight w:val="none"/>
                <w:lang w:val="en-US" w:eastAsia="zh-CN"/>
              </w:rPr>
              <w:t>服务</w:t>
            </w:r>
            <w:r>
              <w:rPr>
                <w:rFonts w:hint="eastAsia" w:ascii="方正仿宋_GB2312" w:hAnsi="方正仿宋_GB2312" w:eastAsia="方正仿宋_GB2312" w:cs="方正仿宋_GB2312"/>
                <w:sz w:val="20"/>
                <w:szCs w:val="20"/>
                <w:highlight w:val="none"/>
              </w:rPr>
              <w:t>期限：</w:t>
            </w:r>
            <w:bookmarkStart w:id="5" w:name="_Hlk166002641"/>
            <w:r>
              <w:rPr>
                <w:rFonts w:hint="eastAsia" w:ascii="方正仿宋_GB2312" w:hAnsi="方正仿宋_GB2312" w:eastAsia="方正仿宋_GB2312" w:cs="方正仿宋_GB2312"/>
                <w:sz w:val="20"/>
                <w:szCs w:val="20"/>
                <w:highlight w:val="none"/>
              </w:rPr>
              <w:t>签订合同之日起</w:t>
            </w:r>
            <w:bookmarkEnd w:id="5"/>
            <w:r>
              <w:rPr>
                <w:rFonts w:hint="eastAsia" w:ascii="方正仿宋_GB2312" w:hAnsi="方正仿宋_GB2312" w:eastAsia="方正仿宋_GB2312" w:cs="方正仿宋_GB2312"/>
                <w:sz w:val="20"/>
                <w:szCs w:val="20"/>
                <w:highlight w:val="none"/>
                <w:lang w:val="en-US" w:eastAsia="zh-CN"/>
              </w:rPr>
              <w:t>10个月之内</w:t>
            </w:r>
            <w:r>
              <w:rPr>
                <w:rFonts w:hint="eastAsia" w:ascii="方正仿宋_GB2312" w:hAnsi="方正仿宋_GB2312" w:eastAsia="方正仿宋_GB2312" w:cs="方正仿宋_GB2312"/>
                <w:sz w:val="20"/>
                <w:szCs w:val="20"/>
                <w:highlight w:val="none"/>
              </w:rPr>
              <w:t>。</w:t>
            </w:r>
          </w:p>
          <w:p w14:paraId="55343AA4">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2）</w:t>
            </w:r>
            <w:r>
              <w:rPr>
                <w:rFonts w:hint="eastAsia" w:ascii="方正仿宋_GB2312" w:hAnsi="方正仿宋_GB2312" w:eastAsia="方正仿宋_GB2312" w:cs="方正仿宋_GB2312"/>
                <w:sz w:val="20"/>
                <w:szCs w:val="20"/>
                <w:highlight w:val="none"/>
                <w:lang w:val="en-US" w:eastAsia="zh-CN"/>
              </w:rPr>
              <w:t>服务</w:t>
            </w:r>
            <w:r>
              <w:rPr>
                <w:rFonts w:hint="eastAsia" w:ascii="方正仿宋_GB2312" w:hAnsi="方正仿宋_GB2312" w:eastAsia="方正仿宋_GB2312" w:cs="方正仿宋_GB2312"/>
                <w:sz w:val="20"/>
                <w:szCs w:val="20"/>
                <w:highlight w:val="none"/>
              </w:rPr>
              <w:t>地点：采购人指定地点。</w:t>
            </w:r>
          </w:p>
          <w:p w14:paraId="2F0A63B3">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3）验收标准采购人按照招标文件要求、投标人投标文件及相关规范进行验收。</w:t>
            </w:r>
          </w:p>
          <w:p w14:paraId="7B1ECA73">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4）履约验收：按照《财政部关于进一步加强政府采购需求和履约验收管理的指导意 见》 (财库〔2016〕205 号) 以及《政府采购需求管理办法》 (财库〔2021〕22 号) 的要求进行验收。</w:t>
            </w:r>
          </w:p>
          <w:p w14:paraId="0F5322FD">
            <w:pPr>
              <w:pStyle w:val="6"/>
              <w:rPr>
                <w:rFonts w:hint="eastAsia" w:ascii="方正仿宋_GB2312" w:hAnsi="方正仿宋_GB2312" w:eastAsia="方正仿宋_GB2312" w:cs="方正仿宋_GB2312"/>
                <w:sz w:val="20"/>
                <w:szCs w:val="20"/>
                <w:highlight w:val="none"/>
              </w:rPr>
            </w:pPr>
            <w:r>
              <w:rPr>
                <w:rFonts w:hint="eastAsia" w:ascii="方正仿宋_GB2312" w:hAnsi="方正仿宋_GB2312" w:eastAsia="方正仿宋_GB2312" w:cs="方正仿宋_GB2312"/>
                <w:sz w:val="20"/>
                <w:szCs w:val="20"/>
                <w:highlight w:val="none"/>
              </w:rPr>
              <w:t>5）本项目所形成的数据及报告归采购人所有。未经采购人授权，中标单位无权使用监测数据或将数据和报告</w:t>
            </w:r>
            <w:r>
              <w:rPr>
                <w:rFonts w:hint="eastAsia" w:ascii="方正仿宋_GB2312" w:hAnsi="方正仿宋_GB2312" w:eastAsia="方正仿宋_GB2312" w:cs="方正仿宋_GB2312"/>
                <w:sz w:val="20"/>
                <w:szCs w:val="20"/>
                <w:highlight w:val="none"/>
                <w:lang w:val="en-US" w:eastAsia="zh-CN"/>
              </w:rPr>
              <w:t>提供</w:t>
            </w:r>
            <w:r>
              <w:rPr>
                <w:rFonts w:hint="eastAsia" w:ascii="方正仿宋_GB2312" w:hAnsi="方正仿宋_GB2312" w:eastAsia="方正仿宋_GB2312" w:cs="方正仿宋_GB2312"/>
                <w:sz w:val="20"/>
                <w:szCs w:val="20"/>
                <w:highlight w:val="none"/>
              </w:rPr>
              <w:t>给任何第三方。</w:t>
            </w:r>
          </w:p>
        </w:tc>
      </w:tr>
    </w:tbl>
    <w:p w14:paraId="42802C86">
      <w:pPr>
        <w:pStyle w:val="6"/>
      </w:pPr>
      <w:r>
        <w:rPr>
          <w:rFonts w:ascii="仿宋_GB2312" w:hAnsi="仿宋_GB2312" w:eastAsia="仿宋_GB2312" w:cs="仿宋_GB2312"/>
        </w:rPr>
        <w:t>采购包</w:t>
      </w:r>
      <w:r>
        <w:rPr>
          <w:rFonts w:hint="eastAsia" w:ascii="仿宋_GB2312" w:hAnsi="仿宋_GB2312" w:eastAsia="仿宋_GB2312" w:cs="仿宋_GB2312"/>
          <w:lang w:val="en-US" w:eastAsia="zh-CN"/>
        </w:rPr>
        <w:t>3</w:t>
      </w:r>
      <w:r>
        <w:rPr>
          <w:rFonts w:ascii="仿宋_GB2312" w:hAnsi="仿宋_GB2312" w:eastAsia="仿宋_GB2312" w:cs="仿宋_GB2312"/>
        </w:rPr>
        <w:t>：</w:t>
      </w:r>
    </w:p>
    <w:p w14:paraId="24AD1EF8">
      <w:pPr>
        <w:pStyle w:val="6"/>
        <w:rPr>
          <w:rFonts w:ascii="仿宋_GB2312" w:hAnsi="仿宋_GB2312" w:eastAsia="仿宋_GB2312" w:cs="仿宋_GB2312"/>
        </w:rPr>
      </w:pPr>
      <w:r>
        <w:rPr>
          <w:rFonts w:ascii="仿宋_GB2312" w:hAnsi="仿宋_GB2312" w:eastAsia="仿宋_GB2312" w:cs="仿宋_GB2312"/>
        </w:rPr>
        <w:t>标的名称：</w:t>
      </w:r>
      <w:r>
        <w:rPr>
          <w:rFonts w:hint="eastAsia" w:ascii="仿宋_GB2312" w:hAnsi="仿宋_GB2312" w:eastAsia="仿宋_GB2312" w:cs="仿宋_GB2312"/>
        </w:rPr>
        <w:t>农业面源地面综合监测区运维</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0"/>
        <w:gridCol w:w="1132"/>
        <w:gridCol w:w="6640"/>
      </w:tblGrid>
      <w:tr w14:paraId="16E0EE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750" w:type="dxa"/>
          </w:tcPr>
          <w:p w14:paraId="2CE7B7D0">
            <w:pPr>
              <w:pStyle w:val="6"/>
              <w:rPr>
                <w:rFonts w:hint="eastAsia" w:ascii="仿宋_GB2312" w:hAnsi="仿宋_GB2312" w:eastAsia="仿宋_GB2312" w:cs="仿宋_GB2312"/>
              </w:rPr>
            </w:pPr>
            <w:r>
              <w:rPr>
                <w:rFonts w:hint="eastAsia" w:ascii="仿宋_GB2312" w:hAnsi="仿宋_GB2312" w:eastAsia="仿宋_GB2312" w:cs="仿宋_GB2312"/>
              </w:rPr>
              <w:t xml:space="preserve"> 序号</w:t>
            </w:r>
          </w:p>
        </w:tc>
        <w:tc>
          <w:tcPr>
            <w:tcW w:w="1132" w:type="dxa"/>
          </w:tcPr>
          <w:p w14:paraId="43DD1BE9">
            <w:pPr>
              <w:pStyle w:val="6"/>
              <w:rPr>
                <w:rFonts w:hint="eastAsia" w:ascii="仿宋_GB2312" w:hAnsi="仿宋_GB2312" w:eastAsia="仿宋_GB2312" w:cs="仿宋_GB2312"/>
              </w:rPr>
            </w:pPr>
            <w:r>
              <w:rPr>
                <w:rFonts w:hint="eastAsia" w:ascii="仿宋_GB2312" w:hAnsi="仿宋_GB2312" w:eastAsia="仿宋_GB2312" w:cs="仿宋_GB2312"/>
              </w:rPr>
              <w:t xml:space="preserve"> 参数性质</w:t>
            </w:r>
          </w:p>
        </w:tc>
        <w:tc>
          <w:tcPr>
            <w:tcW w:w="6640" w:type="dxa"/>
            <w:vAlign w:val="center"/>
          </w:tcPr>
          <w:p w14:paraId="0D347CBC">
            <w:pPr>
              <w:pStyle w:val="6"/>
              <w:rPr>
                <w:rFonts w:hint="eastAsia" w:ascii="仿宋_GB2312" w:hAnsi="仿宋_GB2312" w:eastAsia="仿宋_GB2312" w:cs="仿宋_GB2312"/>
              </w:rPr>
            </w:pPr>
            <w:r>
              <w:rPr>
                <w:rFonts w:hint="eastAsia" w:ascii="仿宋_GB2312" w:hAnsi="仿宋_GB2312" w:eastAsia="仿宋_GB2312" w:cs="仿宋_GB2312"/>
              </w:rPr>
              <w:t>技术参数与性能指标</w:t>
            </w:r>
          </w:p>
        </w:tc>
      </w:tr>
      <w:tr w14:paraId="715F29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0" w:type="dxa"/>
          </w:tcPr>
          <w:p w14:paraId="1F091CAB">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1132" w:type="dxa"/>
          </w:tcPr>
          <w:p w14:paraId="0FF69FE7">
            <w:pPr>
              <w:pStyle w:val="6"/>
              <w:rPr>
                <w:rFonts w:hint="eastAsia" w:ascii="仿宋_GB2312" w:hAnsi="仿宋_GB2312" w:eastAsia="仿宋_GB2312" w:cs="仿宋_GB2312"/>
              </w:rPr>
            </w:pPr>
          </w:p>
        </w:tc>
        <w:tc>
          <w:tcPr>
            <w:tcW w:w="6640" w:type="dxa"/>
          </w:tcPr>
          <w:p w14:paraId="1278E3BA">
            <w:pPr>
              <w:pStyle w:val="6"/>
              <w:rPr>
                <w:rFonts w:hint="eastAsia" w:ascii="仿宋_GB2312" w:hAnsi="仿宋_GB2312" w:eastAsia="仿宋_GB2312" w:cs="仿宋_GB2312"/>
              </w:rPr>
            </w:pPr>
            <w:r>
              <w:rPr>
                <w:rFonts w:hint="eastAsia" w:ascii="仿宋_GB2312" w:hAnsi="仿宋_GB2312" w:eastAsia="仿宋_GB2312" w:cs="仿宋_GB2312"/>
              </w:rPr>
              <w:t>一、项目概况</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9"/>
              <w:gridCol w:w="1869"/>
              <w:gridCol w:w="3202"/>
              <w:gridCol w:w="824"/>
            </w:tblGrid>
            <w:tr w14:paraId="7E312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0" w:type="auto"/>
                  <w:vAlign w:val="center"/>
                </w:tcPr>
                <w:p w14:paraId="25ADED24">
                  <w:pPr>
                    <w:pStyle w:val="6"/>
                    <w:rPr>
                      <w:rFonts w:hint="eastAsia" w:ascii="仿宋_GB2312" w:hAnsi="仿宋_GB2312" w:eastAsia="仿宋_GB2312" w:cs="仿宋_GB2312"/>
                    </w:rPr>
                  </w:pPr>
                  <w:r>
                    <w:rPr>
                      <w:rFonts w:hint="eastAsia" w:ascii="仿宋_GB2312" w:hAnsi="仿宋_GB2312" w:eastAsia="仿宋_GB2312" w:cs="仿宋_GB2312"/>
                    </w:rPr>
                    <w:t>包号</w:t>
                  </w:r>
                </w:p>
              </w:tc>
              <w:tc>
                <w:tcPr>
                  <w:tcW w:w="0" w:type="auto"/>
                  <w:vAlign w:val="center"/>
                </w:tcPr>
                <w:p w14:paraId="23FD52E0">
                  <w:pPr>
                    <w:pStyle w:val="6"/>
                    <w:rPr>
                      <w:rFonts w:hint="eastAsia" w:ascii="仿宋_GB2312" w:hAnsi="仿宋_GB2312" w:eastAsia="仿宋_GB2312" w:cs="仿宋_GB2312"/>
                    </w:rPr>
                  </w:pPr>
                  <w:r>
                    <w:rPr>
                      <w:rFonts w:hint="eastAsia" w:ascii="仿宋_GB2312" w:hAnsi="仿宋_GB2312" w:eastAsia="仿宋_GB2312" w:cs="仿宋_GB2312"/>
                    </w:rPr>
                    <w:t>名称</w:t>
                  </w:r>
                </w:p>
              </w:tc>
              <w:tc>
                <w:tcPr>
                  <w:tcW w:w="0" w:type="auto"/>
                  <w:vAlign w:val="center"/>
                </w:tcPr>
                <w:p w14:paraId="64A69C75">
                  <w:pPr>
                    <w:pStyle w:val="6"/>
                    <w:rPr>
                      <w:rFonts w:hint="eastAsia" w:ascii="仿宋_GB2312" w:hAnsi="仿宋_GB2312" w:eastAsia="仿宋_GB2312" w:cs="仿宋_GB2312"/>
                    </w:rPr>
                  </w:pPr>
                  <w:r>
                    <w:rPr>
                      <w:rFonts w:hint="eastAsia" w:ascii="仿宋_GB2312" w:hAnsi="仿宋_GB2312" w:eastAsia="仿宋_GB2312" w:cs="仿宋_GB2312"/>
                    </w:rPr>
                    <w:t>采购内容</w:t>
                  </w:r>
                </w:p>
              </w:tc>
              <w:tc>
                <w:tcPr>
                  <w:tcW w:w="0" w:type="auto"/>
                  <w:vAlign w:val="center"/>
                </w:tcPr>
                <w:p w14:paraId="5A2BBC21">
                  <w:pPr>
                    <w:pStyle w:val="6"/>
                    <w:rPr>
                      <w:rFonts w:hint="eastAsia" w:ascii="仿宋_GB2312" w:hAnsi="仿宋_GB2312" w:eastAsia="仿宋_GB2312" w:cs="仿宋_GB2312"/>
                    </w:rPr>
                  </w:pPr>
                  <w:r>
                    <w:rPr>
                      <w:rFonts w:hint="eastAsia" w:ascii="仿宋_GB2312" w:hAnsi="仿宋_GB2312" w:eastAsia="仿宋_GB2312" w:cs="仿宋_GB2312"/>
                    </w:rPr>
                    <w:t>预算金额</w:t>
                  </w:r>
                </w:p>
                <w:p w14:paraId="43985477">
                  <w:pPr>
                    <w:pStyle w:val="6"/>
                    <w:rPr>
                      <w:rFonts w:hint="eastAsia" w:ascii="仿宋_GB2312" w:hAnsi="仿宋_GB2312" w:eastAsia="仿宋_GB2312" w:cs="仿宋_GB2312"/>
                    </w:rPr>
                  </w:pPr>
                  <w:r>
                    <w:rPr>
                      <w:rFonts w:hint="eastAsia" w:ascii="仿宋_GB2312" w:hAnsi="仿宋_GB2312" w:eastAsia="仿宋_GB2312" w:cs="仿宋_GB2312"/>
                    </w:rPr>
                    <w:t>（万元）</w:t>
                  </w:r>
                </w:p>
              </w:tc>
            </w:tr>
            <w:tr w14:paraId="4A8EB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0" w:type="auto"/>
                  <w:vAlign w:val="center"/>
                </w:tcPr>
                <w:p w14:paraId="4DF7C329">
                  <w:pPr>
                    <w:pStyle w:val="6"/>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w:t>
                  </w:r>
                </w:p>
              </w:tc>
              <w:tc>
                <w:tcPr>
                  <w:tcW w:w="0" w:type="auto"/>
                  <w:vAlign w:val="center"/>
                </w:tcPr>
                <w:p w14:paraId="00F13E08">
                  <w:pPr>
                    <w:pStyle w:val="6"/>
                    <w:rPr>
                      <w:rFonts w:hint="eastAsia" w:ascii="仿宋_GB2312" w:hAnsi="仿宋_GB2312" w:eastAsia="仿宋_GB2312" w:cs="仿宋_GB2312"/>
                    </w:rPr>
                  </w:pPr>
                  <w:r>
                    <w:rPr>
                      <w:rFonts w:hint="eastAsia" w:ascii="仿宋_GB2312" w:hAnsi="仿宋_GB2312" w:eastAsia="仿宋_GB2312" w:cs="仿宋_GB2312"/>
                    </w:rPr>
                    <w:t>农业面源地面综合监测区运行维护</w:t>
                  </w:r>
                </w:p>
              </w:tc>
              <w:tc>
                <w:tcPr>
                  <w:tcW w:w="0" w:type="auto"/>
                  <w:vAlign w:val="center"/>
                </w:tcPr>
                <w:p w14:paraId="5968ECAA">
                  <w:pPr>
                    <w:pStyle w:val="6"/>
                    <w:rPr>
                      <w:rFonts w:hint="eastAsia" w:ascii="仿宋_GB2312" w:hAnsi="仿宋_GB2312" w:eastAsia="仿宋_GB2312" w:cs="仿宋_GB2312"/>
                    </w:rPr>
                  </w:pPr>
                  <w:r>
                    <w:rPr>
                      <w:rFonts w:hint="eastAsia" w:ascii="仿宋_GB2312" w:hAnsi="仿宋_GB2312" w:eastAsia="仿宋_GB2312" w:cs="仿宋_GB2312"/>
                    </w:rPr>
                    <w:t>完成</w:t>
                  </w:r>
                  <w:r>
                    <w:rPr>
                      <w:rFonts w:hint="eastAsia" w:ascii="仿宋_GB2312" w:hAnsi="仿宋_GB2312" w:eastAsia="仿宋_GB2312" w:cs="仿宋_GB2312"/>
                      <w:lang w:val="en-US" w:eastAsia="zh-CN"/>
                    </w:rPr>
                    <w:t>6</w:t>
                  </w:r>
                  <w:r>
                    <w:rPr>
                      <w:rFonts w:hint="eastAsia" w:ascii="仿宋_GB2312" w:hAnsi="仿宋_GB2312" w:eastAsia="仿宋_GB2312" w:cs="仿宋_GB2312"/>
                    </w:rPr>
                    <w:t>个农业面源地面综合监测区运行维护（一年期限）。</w:t>
                  </w:r>
                </w:p>
              </w:tc>
              <w:tc>
                <w:tcPr>
                  <w:tcW w:w="0" w:type="auto"/>
                  <w:vAlign w:val="center"/>
                </w:tcPr>
                <w:p w14:paraId="48E4E4B5">
                  <w:pPr>
                    <w:pStyle w:val="6"/>
                    <w:rPr>
                      <w:rFonts w:hint="eastAsia" w:ascii="仿宋_GB2312" w:hAnsi="仿宋_GB2312" w:eastAsia="仿宋_GB2312" w:cs="仿宋_GB2312"/>
                    </w:rPr>
                  </w:pPr>
                  <w:r>
                    <w:rPr>
                      <w:rFonts w:hint="eastAsia" w:ascii="仿宋_GB2312" w:hAnsi="仿宋_GB2312" w:eastAsia="仿宋_GB2312" w:cs="仿宋_GB2312"/>
                    </w:rPr>
                    <w:t>125</w:t>
                  </w:r>
                </w:p>
              </w:tc>
            </w:tr>
          </w:tbl>
          <w:p w14:paraId="78ABF118">
            <w:pPr>
              <w:pStyle w:val="6"/>
              <w:rPr>
                <w:rFonts w:hint="eastAsia" w:ascii="仿宋_GB2312" w:hAnsi="仿宋_GB2312" w:eastAsia="仿宋_GB2312" w:cs="仿宋_GB2312"/>
              </w:rPr>
            </w:pPr>
            <w:r>
              <w:rPr>
                <w:rFonts w:hint="eastAsia" w:ascii="仿宋_GB2312" w:hAnsi="仿宋_GB2312" w:eastAsia="仿宋_GB2312" w:cs="仿宋_GB2312"/>
              </w:rPr>
              <w:t>二、技术要求</w:t>
            </w:r>
          </w:p>
          <w:tbl>
            <w:tblPr>
              <w:tblStyle w:val="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1"/>
              <w:gridCol w:w="5262"/>
            </w:tblGrid>
            <w:tr w14:paraId="4F1B9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97" w:type="pct"/>
                  <w:vAlign w:val="center"/>
                </w:tcPr>
                <w:p w14:paraId="011FF643">
                  <w:pPr>
                    <w:pStyle w:val="6"/>
                    <w:spacing w:after="0" w:line="240" w:lineRule="auto"/>
                    <w:jc w:val="center"/>
                    <w:rPr>
                      <w:rFonts w:hint="eastAsia" w:ascii="仿宋_GB2312" w:hAnsi="仿宋_GB2312" w:eastAsia="仿宋_GB2312" w:cs="仿宋_GB2312"/>
                    </w:rPr>
                  </w:pPr>
                  <w:r>
                    <w:rPr>
                      <w:rFonts w:hint="eastAsia" w:ascii="仿宋_GB2312" w:hAnsi="仿宋_GB2312" w:eastAsia="仿宋_GB2312" w:cs="仿宋_GB2312"/>
                    </w:rPr>
                    <w:t>序号</w:t>
                  </w:r>
                </w:p>
              </w:tc>
              <w:tc>
                <w:tcPr>
                  <w:tcW w:w="4102" w:type="pct"/>
                  <w:vAlign w:val="center"/>
                </w:tcPr>
                <w:p w14:paraId="138F196F">
                  <w:pPr>
                    <w:pStyle w:val="6"/>
                    <w:spacing w:after="0" w:line="240" w:lineRule="auto"/>
                    <w:jc w:val="center"/>
                    <w:rPr>
                      <w:rFonts w:hint="eastAsia" w:ascii="仿宋_GB2312" w:hAnsi="仿宋_GB2312" w:eastAsia="仿宋_GB2312" w:cs="仿宋_GB2312"/>
                    </w:rPr>
                  </w:pPr>
                  <w:r>
                    <w:rPr>
                      <w:rFonts w:hint="eastAsia" w:ascii="仿宋_GB2312" w:hAnsi="仿宋_GB2312" w:eastAsia="仿宋_GB2312" w:cs="仿宋_GB2312"/>
                    </w:rPr>
                    <w:t>名称</w:t>
                  </w:r>
                </w:p>
              </w:tc>
            </w:tr>
            <w:tr w14:paraId="60AB2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97" w:type="pct"/>
                  <w:vAlign w:val="center"/>
                </w:tcPr>
                <w:p w14:paraId="4910B96F">
                  <w:pPr>
                    <w:pStyle w:val="6"/>
                    <w:spacing w:after="0" w:line="240" w:lineRule="auto"/>
                    <w:jc w:val="center"/>
                    <w:rPr>
                      <w:rFonts w:hint="eastAsia" w:ascii="仿宋_GB2312" w:hAnsi="仿宋_GB2312" w:eastAsia="仿宋_GB2312" w:cs="仿宋_GB2312"/>
                    </w:rPr>
                  </w:pPr>
                  <w:r>
                    <w:rPr>
                      <w:rFonts w:hint="eastAsia" w:ascii="仿宋_GB2312" w:hAnsi="仿宋_GB2312" w:eastAsia="仿宋_GB2312" w:cs="仿宋_GB2312"/>
                    </w:rPr>
                    <w:t>1</w:t>
                  </w:r>
                </w:p>
              </w:tc>
              <w:tc>
                <w:tcPr>
                  <w:tcW w:w="4102" w:type="pct"/>
                  <w:vAlign w:val="center"/>
                </w:tcPr>
                <w:p w14:paraId="57C33289">
                  <w:pPr>
                    <w:pStyle w:val="6"/>
                    <w:spacing w:after="0" w:line="240" w:lineRule="auto"/>
                    <w:jc w:val="center"/>
                    <w:rPr>
                      <w:rFonts w:hint="eastAsia" w:ascii="仿宋_GB2312" w:hAnsi="仿宋_GB2312" w:eastAsia="仿宋_GB2312" w:cs="仿宋_GB2312"/>
                    </w:rPr>
                  </w:pPr>
                  <w:r>
                    <w:rPr>
                      <w:rFonts w:hint="eastAsia" w:ascii="仿宋_GB2312" w:hAnsi="仿宋_GB2312" w:eastAsia="仿宋_GB2312" w:cs="仿宋_GB2312"/>
                    </w:rPr>
                    <w:t>商洛洛南农业面源综合监测区</w:t>
                  </w:r>
                </w:p>
              </w:tc>
            </w:tr>
            <w:tr w14:paraId="1C1F6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97" w:type="pct"/>
                  <w:vAlign w:val="center"/>
                </w:tcPr>
                <w:p w14:paraId="143312F6">
                  <w:pPr>
                    <w:pStyle w:val="6"/>
                    <w:spacing w:after="0" w:line="240" w:lineRule="auto"/>
                    <w:jc w:val="center"/>
                    <w:rPr>
                      <w:rFonts w:hint="eastAsia" w:ascii="仿宋_GB2312" w:hAnsi="仿宋_GB2312" w:eastAsia="仿宋_GB2312" w:cs="仿宋_GB2312"/>
                    </w:rPr>
                  </w:pPr>
                  <w:r>
                    <w:rPr>
                      <w:rFonts w:hint="eastAsia" w:ascii="仿宋_GB2312" w:hAnsi="仿宋_GB2312" w:eastAsia="仿宋_GB2312" w:cs="仿宋_GB2312"/>
                    </w:rPr>
                    <w:t>2</w:t>
                  </w:r>
                </w:p>
              </w:tc>
              <w:tc>
                <w:tcPr>
                  <w:tcW w:w="4102" w:type="pct"/>
                  <w:vAlign w:val="center"/>
                </w:tcPr>
                <w:p w14:paraId="7A0E8877">
                  <w:pPr>
                    <w:pStyle w:val="6"/>
                    <w:spacing w:after="0" w:line="240" w:lineRule="auto"/>
                    <w:jc w:val="center"/>
                    <w:rPr>
                      <w:rFonts w:hint="eastAsia" w:ascii="仿宋_GB2312" w:hAnsi="仿宋_GB2312" w:eastAsia="仿宋_GB2312" w:cs="仿宋_GB2312"/>
                    </w:rPr>
                  </w:pPr>
                  <w:r>
                    <w:rPr>
                      <w:rFonts w:hint="eastAsia" w:ascii="仿宋_GB2312" w:hAnsi="仿宋_GB2312" w:eastAsia="仿宋_GB2312" w:cs="仿宋_GB2312"/>
                    </w:rPr>
                    <w:t>安康紫阳农业面源综合监测区</w:t>
                  </w:r>
                </w:p>
              </w:tc>
            </w:tr>
            <w:tr w14:paraId="6B658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97" w:type="pct"/>
                  <w:vAlign w:val="center"/>
                </w:tcPr>
                <w:p w14:paraId="3100922A">
                  <w:pPr>
                    <w:pStyle w:val="6"/>
                    <w:spacing w:after="0" w:line="240" w:lineRule="auto"/>
                    <w:jc w:val="center"/>
                    <w:rPr>
                      <w:rFonts w:hint="eastAsia" w:ascii="仿宋_GB2312" w:hAnsi="仿宋_GB2312" w:eastAsia="仿宋_GB2312" w:cs="仿宋_GB2312"/>
                    </w:rPr>
                  </w:pPr>
                  <w:r>
                    <w:rPr>
                      <w:rFonts w:hint="eastAsia" w:ascii="仿宋_GB2312" w:hAnsi="仿宋_GB2312" w:eastAsia="仿宋_GB2312" w:cs="仿宋_GB2312"/>
                    </w:rPr>
                    <w:t>3</w:t>
                  </w:r>
                </w:p>
              </w:tc>
              <w:tc>
                <w:tcPr>
                  <w:tcW w:w="4102" w:type="pct"/>
                  <w:vAlign w:val="center"/>
                </w:tcPr>
                <w:p w14:paraId="16037187">
                  <w:pPr>
                    <w:pStyle w:val="6"/>
                    <w:spacing w:after="0" w:line="240" w:lineRule="auto"/>
                    <w:jc w:val="center"/>
                    <w:rPr>
                      <w:rFonts w:hint="eastAsia" w:ascii="仿宋_GB2312" w:hAnsi="仿宋_GB2312" w:eastAsia="仿宋_GB2312" w:cs="仿宋_GB2312"/>
                    </w:rPr>
                  </w:pPr>
                  <w:r>
                    <w:rPr>
                      <w:rFonts w:hint="eastAsia" w:ascii="仿宋_GB2312" w:hAnsi="仿宋_GB2312" w:eastAsia="仿宋_GB2312" w:cs="仿宋_GB2312"/>
                    </w:rPr>
                    <w:t>咸阳三原农业面源综合监测区</w:t>
                  </w:r>
                </w:p>
              </w:tc>
            </w:tr>
            <w:tr w14:paraId="18DBE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97" w:type="pct"/>
                  <w:vAlign w:val="center"/>
                </w:tcPr>
                <w:p w14:paraId="6204F3E0">
                  <w:pPr>
                    <w:pStyle w:val="6"/>
                    <w:spacing w:after="0" w:line="240" w:lineRule="auto"/>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w:t>
                  </w:r>
                </w:p>
              </w:tc>
              <w:tc>
                <w:tcPr>
                  <w:tcW w:w="4102" w:type="pct"/>
                  <w:vAlign w:val="center"/>
                </w:tcPr>
                <w:p w14:paraId="3F527E4E">
                  <w:pPr>
                    <w:pStyle w:val="6"/>
                    <w:spacing w:after="0" w:line="240" w:lineRule="auto"/>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汉中城固农业面源综合监测区</w:t>
                  </w:r>
                </w:p>
              </w:tc>
            </w:tr>
            <w:tr w14:paraId="282A9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97" w:type="pct"/>
                  <w:vAlign w:val="center"/>
                </w:tcPr>
                <w:p w14:paraId="2CE823BA">
                  <w:pPr>
                    <w:pStyle w:val="6"/>
                    <w:spacing w:after="0" w:line="240" w:lineRule="auto"/>
                    <w:jc w:val="center"/>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5</w:t>
                  </w:r>
                </w:p>
              </w:tc>
              <w:tc>
                <w:tcPr>
                  <w:tcW w:w="4102" w:type="pct"/>
                  <w:vAlign w:val="center"/>
                </w:tcPr>
                <w:p w14:paraId="16A1F36D">
                  <w:pPr>
                    <w:pStyle w:val="6"/>
                    <w:spacing w:after="0" w:line="240" w:lineRule="auto"/>
                    <w:jc w:val="center"/>
                    <w:rPr>
                      <w:rFonts w:hint="eastAsia" w:ascii="仿宋_GB2312" w:hAnsi="仿宋_GB2312" w:eastAsia="仿宋_GB2312" w:cs="仿宋_GB2312"/>
                    </w:rPr>
                  </w:pPr>
                  <w:r>
                    <w:rPr>
                      <w:rFonts w:hint="eastAsia" w:ascii="仿宋_GB2312" w:hAnsi="仿宋_GB2312" w:eastAsia="仿宋_GB2312" w:cs="仿宋_GB2312"/>
                    </w:rPr>
                    <w:t>宝鸡陈仓农业面源综合监测区</w:t>
                  </w:r>
                </w:p>
              </w:tc>
            </w:tr>
            <w:tr w14:paraId="65317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897" w:type="pct"/>
                  <w:vAlign w:val="center"/>
                </w:tcPr>
                <w:p w14:paraId="265B60C8">
                  <w:pPr>
                    <w:pStyle w:val="6"/>
                    <w:spacing w:after="0" w:line="240" w:lineRule="auto"/>
                    <w:jc w:val="center"/>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6</w:t>
                  </w:r>
                </w:p>
              </w:tc>
              <w:tc>
                <w:tcPr>
                  <w:tcW w:w="4102" w:type="pct"/>
                  <w:vAlign w:val="center"/>
                </w:tcPr>
                <w:p w14:paraId="57E0F2FE">
                  <w:pPr>
                    <w:pStyle w:val="6"/>
                    <w:spacing w:after="0" w:line="240" w:lineRule="auto"/>
                    <w:jc w:val="center"/>
                    <w:rPr>
                      <w:rFonts w:hint="eastAsia" w:ascii="仿宋_GB2312" w:hAnsi="仿宋_GB2312" w:eastAsia="仿宋_GB2312" w:cs="仿宋_GB2312"/>
                    </w:rPr>
                  </w:pPr>
                  <w:r>
                    <w:rPr>
                      <w:rFonts w:hint="eastAsia" w:ascii="仿宋_GB2312" w:hAnsi="仿宋_GB2312" w:eastAsia="仿宋_GB2312" w:cs="仿宋_GB2312"/>
                    </w:rPr>
                    <w:t>渭南大荔农业面源综合监测区</w:t>
                  </w:r>
                </w:p>
              </w:tc>
            </w:tr>
          </w:tbl>
          <w:p w14:paraId="55512B65">
            <w:pPr>
              <w:pStyle w:val="6"/>
              <w:rPr>
                <w:rFonts w:hint="eastAsia" w:ascii="仿宋_GB2312" w:hAnsi="仿宋_GB2312" w:eastAsia="仿宋_GB2312" w:cs="仿宋_GB2312"/>
              </w:rPr>
            </w:pPr>
            <w:r>
              <w:rPr>
                <w:rFonts w:hint="eastAsia" w:ascii="仿宋_GB2312" w:hAnsi="仿宋_GB2312" w:eastAsia="仿宋_GB2312" w:cs="仿宋_GB2312"/>
              </w:rPr>
              <w:t>1、运维服务</w:t>
            </w:r>
          </w:p>
          <w:p w14:paraId="1EDE8057">
            <w:pPr>
              <w:pStyle w:val="6"/>
              <w:rPr>
                <w:rFonts w:hint="eastAsia" w:ascii="仿宋_GB2312" w:hAnsi="仿宋_GB2312" w:eastAsia="仿宋_GB2312" w:cs="仿宋_GB2312"/>
              </w:rPr>
            </w:pPr>
            <w:r>
              <w:rPr>
                <w:rFonts w:hint="eastAsia" w:ascii="仿宋_GB2312" w:hAnsi="仿宋_GB2312" w:eastAsia="仿宋_GB2312" w:cs="仿宋_GB2312"/>
              </w:rPr>
              <w:t>自动站的基本监测项目包括常规五参数（水温、pH值、溶解氧、电导率、浊度）、氨氮、总磷、总氮、化学需氧量、硝酸盐氮、磷酸盐、流量、流速、水位、悬移质泥沙含量等。具体以</w:t>
            </w:r>
            <w:r>
              <w:rPr>
                <w:rFonts w:hint="eastAsia" w:ascii="仿宋_GB2312" w:hAnsi="仿宋_GB2312" w:eastAsia="仿宋_GB2312" w:cs="仿宋_GB2312"/>
                <w:lang w:val="en-US" w:eastAsia="zh-CN"/>
              </w:rPr>
              <w:t>农业面源综合监测区</w:t>
            </w:r>
            <w:r>
              <w:rPr>
                <w:rFonts w:hint="eastAsia" w:ascii="仿宋_GB2312" w:hAnsi="仿宋_GB2312" w:eastAsia="仿宋_GB2312" w:cs="仿宋_GB2312"/>
              </w:rPr>
              <w:t>自动监测站实际配置的参数为准。</w:t>
            </w:r>
          </w:p>
          <w:p w14:paraId="2226B013">
            <w:pPr>
              <w:pStyle w:val="6"/>
              <w:rPr>
                <w:rFonts w:hint="eastAsia" w:ascii="仿宋_GB2312" w:hAnsi="仿宋_GB2312" w:eastAsia="仿宋_GB2312" w:cs="仿宋_GB2312"/>
              </w:rPr>
            </w:pPr>
            <w:r>
              <w:rPr>
                <w:rFonts w:hint="eastAsia" w:ascii="仿宋_GB2312" w:hAnsi="仿宋_GB2312" w:eastAsia="仿宋_GB2312" w:cs="仿宋_GB2312"/>
              </w:rPr>
              <w:t>运维服务期为合同签订后12个月。</w:t>
            </w:r>
          </w:p>
          <w:p w14:paraId="7B55D824">
            <w:pPr>
              <w:pStyle w:val="6"/>
              <w:rPr>
                <w:rFonts w:hint="eastAsia" w:ascii="仿宋_GB2312" w:hAnsi="仿宋_GB2312" w:eastAsia="仿宋_GB2312" w:cs="仿宋_GB2312"/>
              </w:rPr>
            </w:pPr>
            <w:r>
              <w:rPr>
                <w:rFonts w:hint="eastAsia" w:ascii="仿宋_GB2312" w:hAnsi="仿宋_GB2312" w:eastAsia="仿宋_GB2312" w:cs="仿宋_GB2312"/>
              </w:rPr>
              <w:t>2、项目运维内容</w:t>
            </w:r>
          </w:p>
          <w:p w14:paraId="74FB93FE">
            <w:pPr>
              <w:pStyle w:val="6"/>
              <w:rPr>
                <w:rFonts w:hint="eastAsia" w:ascii="仿宋_GB2312" w:hAnsi="仿宋_GB2312" w:eastAsia="仿宋_GB2312" w:cs="仿宋_GB2312"/>
              </w:rPr>
            </w:pPr>
            <w:r>
              <w:rPr>
                <w:rFonts w:hint="eastAsia" w:ascii="仿宋_GB2312" w:hAnsi="仿宋_GB2312" w:eastAsia="仿宋_GB2312" w:cs="仿宋_GB2312"/>
              </w:rPr>
              <w:t>本项目运维服务需按照相关规范、文件及质量控制要求，全面负责</w:t>
            </w:r>
            <w:r>
              <w:rPr>
                <w:rFonts w:hint="eastAsia" w:ascii="仿宋_GB2312" w:hAnsi="仿宋_GB2312" w:eastAsia="仿宋_GB2312" w:cs="仿宋_GB2312"/>
                <w:lang w:val="en-US" w:eastAsia="zh-CN"/>
              </w:rPr>
              <w:t>农业面源综合监测区</w:t>
            </w:r>
            <w:r>
              <w:rPr>
                <w:rFonts w:hint="eastAsia" w:ascii="仿宋_GB2312" w:hAnsi="仿宋_GB2312" w:eastAsia="仿宋_GB2312" w:cs="仿宋_GB2312"/>
              </w:rPr>
              <w:t>（站房、采水、所有仪器设备等）的日常运行维护，保证</w:t>
            </w:r>
            <w:r>
              <w:rPr>
                <w:rFonts w:hint="eastAsia" w:ascii="仿宋_GB2312" w:hAnsi="仿宋_GB2312" w:eastAsia="仿宋_GB2312" w:cs="仿宋_GB2312"/>
                <w:lang w:val="en-US" w:eastAsia="zh-CN"/>
              </w:rPr>
              <w:t>综合监测区</w:t>
            </w:r>
            <w:r>
              <w:rPr>
                <w:rFonts w:hint="eastAsia" w:ascii="仿宋_GB2312" w:hAnsi="仿宋_GB2312" w:eastAsia="仿宋_GB2312" w:cs="仿宋_GB2312"/>
              </w:rPr>
              <w:t>正常稳定运行。包括采水、供水、供电、通讯、采暖、试剂耗材、仪器设备维修、设施设备的年检保养和自动站安全保障并正常联网</w:t>
            </w:r>
            <w:r>
              <w:rPr>
                <w:rFonts w:hint="eastAsia" w:ascii="仿宋_GB2312" w:hAnsi="仿宋_GB2312" w:eastAsia="仿宋_GB2312" w:cs="仿宋_GB2312"/>
                <w:lang w:val="en-US" w:eastAsia="zh-CN"/>
              </w:rPr>
              <w:t>上传数据</w:t>
            </w:r>
            <w:r>
              <w:rPr>
                <w:rFonts w:hint="eastAsia" w:ascii="仿宋_GB2312" w:hAnsi="仿宋_GB2312" w:eastAsia="仿宋_GB2312" w:cs="仿宋_GB2312"/>
              </w:rPr>
              <w:t>。</w:t>
            </w:r>
          </w:p>
          <w:p w14:paraId="6AAA8F3E">
            <w:pPr>
              <w:pStyle w:val="6"/>
              <w:rPr>
                <w:rFonts w:hint="eastAsia" w:ascii="仿宋_GB2312" w:hAnsi="仿宋_GB2312" w:eastAsia="仿宋_GB2312" w:cs="仿宋_GB2312"/>
              </w:rPr>
            </w:pPr>
            <w:r>
              <w:rPr>
                <w:rFonts w:hint="eastAsia" w:ascii="仿宋_GB2312" w:hAnsi="仿宋_GB2312" w:eastAsia="仿宋_GB2312" w:cs="仿宋_GB2312"/>
              </w:rPr>
              <w:t>3、运维技术要求</w:t>
            </w:r>
          </w:p>
          <w:p w14:paraId="5BE4605F">
            <w:pPr>
              <w:pStyle w:val="6"/>
              <w:rPr>
                <w:rFonts w:hint="eastAsia" w:ascii="仿宋_GB2312" w:hAnsi="仿宋_GB2312" w:eastAsia="仿宋_GB2312" w:cs="仿宋_GB2312"/>
              </w:rPr>
            </w:pPr>
            <w:r>
              <w:rPr>
                <w:rFonts w:hint="eastAsia" w:ascii="仿宋_GB2312" w:hAnsi="仿宋_GB2312" w:eastAsia="仿宋_GB2312" w:cs="仿宋_GB2312"/>
              </w:rPr>
              <w:t>3.1 自动站运维工作参照按照《关于印发&lt;国家地表水水质自动监测站运行维护管理实施细则（试行）&gt;等文件的通知》（总站水字[2019]649），以及生态环境部、中国环境监测总站（以下简称总站）印发的其它相关文件和陕西省生态环境保护厅办公室《关于印发陕西省水质自动监测站第三方运维工作规范与考核办法（试行）的通知》（陕环发办[2017]5号）的要求执行。如文件中有矛盾之处，以后发布的文件为准，采购人保留对文件的解释权。</w:t>
            </w:r>
          </w:p>
          <w:p w14:paraId="037D67EF">
            <w:pPr>
              <w:pStyle w:val="6"/>
              <w:rPr>
                <w:rFonts w:hint="eastAsia" w:ascii="仿宋_GB2312" w:hAnsi="仿宋_GB2312" w:eastAsia="仿宋_GB2312" w:cs="仿宋_GB2312"/>
              </w:rPr>
            </w:pPr>
            <w:r>
              <w:rPr>
                <w:rFonts w:hint="eastAsia" w:ascii="仿宋_GB2312" w:hAnsi="仿宋_GB2312" w:eastAsia="仿宋_GB2312" w:cs="仿宋_GB2312"/>
              </w:rPr>
              <w:t>3.2 当采购人依据国家有关规定和技术规范要求出台新的自动站运维要求时，以新要求为准。</w:t>
            </w:r>
          </w:p>
          <w:p w14:paraId="692B1BDA">
            <w:pPr>
              <w:pStyle w:val="6"/>
              <w:rPr>
                <w:rFonts w:hint="eastAsia" w:ascii="仿宋_GB2312" w:hAnsi="仿宋_GB2312" w:eastAsia="仿宋_GB2312" w:cs="仿宋_GB2312"/>
              </w:rPr>
            </w:pPr>
            <w:r>
              <w:rPr>
                <w:rFonts w:hint="eastAsia" w:ascii="仿宋_GB2312" w:hAnsi="仿宋_GB2312" w:eastAsia="仿宋_GB2312" w:cs="仿宋_GB2312"/>
              </w:rPr>
              <w:t>3.3签订合同后15天内，中标单位按照相关技术规范和运维合同要求，有针对性的编制运维交接方案，方案内容包括但不限于时间及人员安排、职责分工、交接内容、交接流程。经采购人审核确认后，交接双方按照运维交接方案有序开展运维交接工作。</w:t>
            </w:r>
          </w:p>
          <w:p w14:paraId="56B5B623">
            <w:pPr>
              <w:pStyle w:val="6"/>
              <w:rPr>
                <w:rFonts w:hint="eastAsia" w:ascii="仿宋_GB2312" w:hAnsi="仿宋_GB2312" w:eastAsia="仿宋_GB2312" w:cs="仿宋_GB2312"/>
              </w:rPr>
            </w:pPr>
            <w:r>
              <w:rPr>
                <w:rFonts w:hint="eastAsia" w:ascii="仿宋_GB2312" w:hAnsi="仿宋_GB2312" w:eastAsia="仿宋_GB2312" w:cs="仿宋_GB2312"/>
              </w:rPr>
              <w:t>3.4中标单位应有针对性的制定运维计划，根据每个自动站现场实际情况，合理安排自动站日常运维工作，对运维保障存在不确定性的自动站，提前制定补测计划，按相关要求完成样品补充监测工作。</w:t>
            </w:r>
          </w:p>
          <w:p w14:paraId="2083FAD1">
            <w:pPr>
              <w:pStyle w:val="6"/>
              <w:rPr>
                <w:rFonts w:hint="eastAsia" w:ascii="仿宋_GB2312" w:hAnsi="仿宋_GB2312" w:eastAsia="仿宋_GB2312" w:cs="仿宋_GB2312"/>
              </w:rPr>
            </w:pPr>
            <w:r>
              <w:rPr>
                <w:rFonts w:hint="eastAsia" w:ascii="仿宋_GB2312" w:hAnsi="仿宋_GB2312" w:eastAsia="仿宋_GB2312" w:cs="仿宋_GB2312"/>
              </w:rPr>
              <w:t>3.5 中标单位每月编制运维报告并按时提交采购人，汇报运维计划执行情况以及运维工作开展情况。包含但不限于采水口清理，采配水管路清洗、仪器定期清洗和保养、试剂更换、耗材更换、仪器校准、关键参数及流程日志检查、废液收集和处理、站房和辅助设施维护，以及应急运维工作开展情况，预防人为干扰监测行为调查等自动站相关运行维护工作情况。</w:t>
            </w:r>
          </w:p>
          <w:p w14:paraId="39CB08A4">
            <w:pPr>
              <w:pStyle w:val="6"/>
              <w:rPr>
                <w:rFonts w:hint="eastAsia" w:ascii="仿宋_GB2312" w:hAnsi="仿宋_GB2312" w:eastAsia="仿宋_GB2312" w:cs="仿宋_GB2312"/>
              </w:rPr>
            </w:pPr>
            <w:r>
              <w:rPr>
                <w:rFonts w:hint="eastAsia" w:ascii="仿宋_GB2312" w:hAnsi="仿宋_GB2312" w:eastAsia="仿宋_GB2312" w:cs="仿宋_GB2312"/>
              </w:rPr>
              <w:t>3.6 中标单位应制定质控计划，根据自动站运行情况，制定质控工作内容，对停运补测自动站，合理调整质控计划。按相关技术规范要求完成自动站各项质控工作。</w:t>
            </w:r>
          </w:p>
          <w:p w14:paraId="315F00CA">
            <w:pPr>
              <w:pStyle w:val="6"/>
              <w:rPr>
                <w:rFonts w:hint="eastAsia" w:ascii="仿宋_GB2312" w:hAnsi="仿宋_GB2312" w:eastAsia="仿宋_GB2312" w:cs="仿宋_GB2312"/>
              </w:rPr>
            </w:pPr>
            <w:r>
              <w:rPr>
                <w:rFonts w:hint="eastAsia" w:ascii="仿宋_GB2312" w:hAnsi="仿宋_GB2312" w:eastAsia="仿宋_GB2312" w:cs="仿宋_GB2312"/>
              </w:rPr>
              <w:t>3.7 中标单位编写质控报告并按时提交采购人，包含但不限于日质控、周核查、多点线性核查、集成干预检查、加标回收测试、实际水样比对等质控措施开展情况，以及采购人安排的其他质控措施完成情况。</w:t>
            </w:r>
          </w:p>
          <w:p w14:paraId="7F9734C5">
            <w:pPr>
              <w:pStyle w:val="6"/>
              <w:rPr>
                <w:rFonts w:hint="eastAsia" w:ascii="仿宋_GB2312" w:hAnsi="仿宋_GB2312" w:eastAsia="仿宋_GB2312" w:cs="仿宋_GB2312"/>
              </w:rPr>
            </w:pPr>
            <w:r>
              <w:rPr>
                <w:rFonts w:hint="eastAsia" w:ascii="仿宋_GB2312" w:hAnsi="仿宋_GB2312" w:eastAsia="仿宋_GB2312" w:cs="仿宋_GB2312"/>
              </w:rPr>
              <w:t>3.8中标单位针对技术需求并结合自动站的现场水质和配置的仪器状况编写数据审核方案，并提交采购人审核。方案内容包含但不限于职责分工、数据审核规则、内部数据审核制度、数据复核以及运维相关视频、日志、关键参数日常审核。</w:t>
            </w:r>
          </w:p>
          <w:p w14:paraId="2575A166">
            <w:pPr>
              <w:pStyle w:val="6"/>
              <w:rPr>
                <w:rFonts w:hint="eastAsia" w:ascii="仿宋_GB2312" w:hAnsi="仿宋_GB2312" w:eastAsia="仿宋_GB2312" w:cs="仿宋_GB2312"/>
              </w:rPr>
            </w:pPr>
            <w:r>
              <w:rPr>
                <w:rFonts w:hint="eastAsia" w:ascii="仿宋_GB2312" w:hAnsi="仿宋_GB2312" w:eastAsia="仿宋_GB2312" w:cs="仿宋_GB2312"/>
              </w:rPr>
              <w:t>3.9 中标单位应制定自动站应急维护方案。按时处理和修复水质自动站仪器、系统故障；及时响应、核实自动站异常数据，配合相关部门做好污染应急监测工作；配合采购人完成自然灾害、疫情等突发情况期间的应急维护工作；运维期间需委托有资质的单位对防雷设施进行检测并出具检验报告；根据采购人安排，配合水站现场参观、调研、检查等工作。</w:t>
            </w:r>
          </w:p>
          <w:p w14:paraId="46318CFA">
            <w:pPr>
              <w:pStyle w:val="6"/>
              <w:rPr>
                <w:rFonts w:hint="eastAsia" w:ascii="仿宋_GB2312" w:hAnsi="仿宋_GB2312" w:eastAsia="仿宋_GB2312" w:cs="仿宋_GB2312"/>
              </w:rPr>
            </w:pPr>
            <w:r>
              <w:rPr>
                <w:rFonts w:hint="eastAsia" w:ascii="仿宋_GB2312" w:hAnsi="仿宋_GB2312" w:eastAsia="仿宋_GB2312" w:cs="仿宋_GB2312"/>
              </w:rPr>
              <w:t>3.10 中标单位在中标后3个月内结合现场实际情况，制定并实施</w:t>
            </w:r>
            <w:bookmarkStart w:id="6" w:name="_Hlk62244001"/>
            <w:r>
              <w:rPr>
                <w:rFonts w:hint="eastAsia" w:ascii="仿宋_GB2312" w:hAnsi="仿宋_GB2312" w:eastAsia="仿宋_GB2312" w:cs="仿宋_GB2312"/>
              </w:rPr>
              <w:t>“一站一策”</w:t>
            </w:r>
            <w:bookmarkEnd w:id="6"/>
            <w:r>
              <w:rPr>
                <w:rFonts w:hint="eastAsia" w:ascii="仿宋_GB2312" w:hAnsi="仿宋_GB2312" w:eastAsia="仿宋_GB2312" w:cs="仿宋_GB2312"/>
              </w:rPr>
              <w:t>技术方案，选择合适的预处理条件，以及仪器、系统关键参数，确保监测数据的“准确性”和“代表性”。通过现场调查研究，不断完善自动站运维档案。</w:t>
            </w:r>
          </w:p>
          <w:p w14:paraId="6649C24E">
            <w:pPr>
              <w:pStyle w:val="6"/>
              <w:rPr>
                <w:rFonts w:hint="eastAsia" w:ascii="仿宋_GB2312" w:hAnsi="仿宋_GB2312" w:eastAsia="仿宋_GB2312" w:cs="仿宋_GB2312"/>
              </w:rPr>
            </w:pPr>
            <w:r>
              <w:rPr>
                <w:rFonts w:hint="eastAsia" w:ascii="仿宋_GB2312" w:hAnsi="仿宋_GB2312" w:eastAsia="仿宋_GB2312" w:cs="仿宋_GB2312"/>
              </w:rPr>
              <w:t>“一站一策”技术方案：根据水站现场气候、水文、水体特性，为消除环境干扰因素对自动监测的影响，选择合适的预处理措施，通过多次比对实验进行验证，验证预处理系统、分析仪器性能对当前水体的适用范围，并确定仪器、系统关键参数设置并进行备案，确保监测数据的“准确性”和“代表性”。</w:t>
            </w:r>
          </w:p>
          <w:p w14:paraId="5277A9C9">
            <w:pPr>
              <w:pStyle w:val="6"/>
              <w:rPr>
                <w:rFonts w:hint="eastAsia" w:ascii="仿宋_GB2312" w:hAnsi="仿宋_GB2312" w:eastAsia="仿宋_GB2312" w:cs="仿宋_GB2312"/>
              </w:rPr>
            </w:pPr>
            <w:r>
              <w:rPr>
                <w:rFonts w:hint="eastAsia" w:ascii="仿宋_GB2312" w:hAnsi="仿宋_GB2312" w:eastAsia="仿宋_GB2312" w:cs="仿宋_GB2312"/>
              </w:rPr>
              <w:t>3.11 自动站因故申请停运期间，或自动监测数据因高浊度、高盐度等其它外部因素干扰不具备代表性、不满足评价需求时，中标单位应根据相关规范要求进行补测，并保证补测流程的规范性、质控措施的完整性以及补测数据的可溯源性。</w:t>
            </w:r>
          </w:p>
          <w:p w14:paraId="7A9D6B8A">
            <w:pPr>
              <w:pStyle w:val="6"/>
              <w:rPr>
                <w:rFonts w:hint="eastAsia" w:ascii="仿宋_GB2312" w:hAnsi="仿宋_GB2312" w:eastAsia="仿宋_GB2312" w:cs="仿宋_GB2312"/>
              </w:rPr>
            </w:pPr>
            <w:r>
              <w:rPr>
                <w:rFonts w:hint="eastAsia" w:ascii="仿宋_GB2312" w:hAnsi="仿宋_GB2312" w:eastAsia="仿宋_GB2312" w:cs="仿宋_GB2312"/>
              </w:rPr>
              <w:t>4、质量控制与质量保证</w:t>
            </w:r>
          </w:p>
          <w:p w14:paraId="746234EE">
            <w:pPr>
              <w:pStyle w:val="6"/>
              <w:rPr>
                <w:rFonts w:hint="eastAsia" w:ascii="仿宋_GB2312" w:hAnsi="仿宋_GB2312" w:eastAsia="仿宋_GB2312" w:cs="仿宋_GB2312"/>
              </w:rPr>
            </w:pPr>
            <w:r>
              <w:rPr>
                <w:rFonts w:hint="eastAsia" w:ascii="仿宋_GB2312" w:hAnsi="仿宋_GB2312" w:eastAsia="仿宋_GB2312" w:cs="仿宋_GB2312"/>
              </w:rPr>
              <w:t>4.1自动站常规五参数须完成在线周核查，其余参数须自动或远程进行零点/跨度核查、标液核查、加标回收测试；能够在线完成集成干预检查、多点线性核查等质控措施，且将考核结果、流程日志、关键参数上传至平台。</w:t>
            </w:r>
          </w:p>
          <w:p w14:paraId="1622DFA7">
            <w:pPr>
              <w:pStyle w:val="6"/>
              <w:rPr>
                <w:rFonts w:hint="eastAsia" w:ascii="仿宋_GB2312" w:hAnsi="仿宋_GB2312" w:eastAsia="仿宋_GB2312" w:cs="仿宋_GB2312"/>
              </w:rPr>
            </w:pPr>
            <w:r>
              <w:rPr>
                <w:rFonts w:hint="eastAsia" w:ascii="仿宋_GB2312" w:hAnsi="仿宋_GB2312" w:eastAsia="仿宋_GB2312" w:cs="仿宋_GB2312"/>
              </w:rPr>
              <w:t xml:space="preserve">4.2 特征指标每月开展多点线性核查，其它特征参数仪器根据规范要求每月或每季度开展标样核查、零点核查或实际水样比对等质控措施。 </w:t>
            </w:r>
          </w:p>
          <w:p w14:paraId="46C4C004">
            <w:pPr>
              <w:pStyle w:val="6"/>
              <w:rPr>
                <w:rFonts w:hint="eastAsia" w:ascii="仿宋_GB2312" w:hAnsi="仿宋_GB2312" w:eastAsia="仿宋_GB2312" w:cs="仿宋_GB2312"/>
              </w:rPr>
            </w:pPr>
            <w:r>
              <w:rPr>
                <w:rFonts w:hint="eastAsia" w:ascii="仿宋_GB2312" w:hAnsi="仿宋_GB2312" w:eastAsia="仿宋_GB2312" w:cs="仿宋_GB2312"/>
              </w:rPr>
              <w:t>5、运维服务要求</w:t>
            </w:r>
          </w:p>
          <w:p w14:paraId="22E7FC4F">
            <w:pPr>
              <w:pStyle w:val="6"/>
              <w:jc w:val="center"/>
              <w:rPr>
                <w:rFonts w:hint="eastAsia" w:ascii="仿宋_GB2312" w:hAnsi="仿宋_GB2312" w:eastAsia="仿宋_GB2312" w:cs="仿宋_GB2312"/>
                <w:b/>
                <w:bCs/>
              </w:rPr>
            </w:pPr>
            <w:r>
              <w:rPr>
                <w:rFonts w:hint="eastAsia" w:ascii="仿宋_GB2312" w:hAnsi="仿宋_GB2312" w:eastAsia="仿宋_GB2312" w:cs="仿宋_GB2312"/>
                <w:b/>
                <w:bCs/>
              </w:rPr>
              <w:t>表5-1 运维服务基本要求一览表</w:t>
            </w:r>
          </w:p>
          <w:tbl>
            <w:tblPr>
              <w:tblStyle w:val="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1"/>
              <w:gridCol w:w="1816"/>
              <w:gridCol w:w="2162"/>
              <w:gridCol w:w="1812"/>
            </w:tblGrid>
            <w:tr w14:paraId="6D232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tcPr>
                <w:p w14:paraId="66C41B8E">
                  <w:pPr>
                    <w:pStyle w:val="6"/>
                    <w:rPr>
                      <w:rFonts w:hint="eastAsia" w:ascii="仿宋_GB2312" w:hAnsi="仿宋_GB2312" w:eastAsia="仿宋_GB2312" w:cs="仿宋_GB2312"/>
                    </w:rPr>
                  </w:pPr>
                  <w:r>
                    <w:rPr>
                      <w:rFonts w:hint="eastAsia" w:ascii="仿宋_GB2312" w:hAnsi="仿宋_GB2312" w:eastAsia="仿宋_GB2312" w:cs="仿宋_GB2312"/>
                    </w:rPr>
                    <w:t>项目</w:t>
                  </w:r>
                </w:p>
              </w:tc>
              <w:tc>
                <w:tcPr>
                  <w:tcW w:w="1416" w:type="pct"/>
                </w:tcPr>
                <w:p w14:paraId="501E9529">
                  <w:pPr>
                    <w:pStyle w:val="6"/>
                    <w:rPr>
                      <w:rFonts w:hint="eastAsia" w:ascii="仿宋_GB2312" w:hAnsi="仿宋_GB2312" w:eastAsia="仿宋_GB2312" w:cs="仿宋_GB2312"/>
                    </w:rPr>
                  </w:pPr>
                  <w:r>
                    <w:rPr>
                      <w:rFonts w:hint="eastAsia" w:ascii="仿宋_GB2312" w:hAnsi="仿宋_GB2312" w:eastAsia="仿宋_GB2312" w:cs="仿宋_GB2312"/>
                    </w:rPr>
                    <w:t>分类</w:t>
                  </w:r>
                </w:p>
              </w:tc>
              <w:tc>
                <w:tcPr>
                  <w:tcW w:w="1686" w:type="pct"/>
                </w:tcPr>
                <w:p w14:paraId="0789C505">
                  <w:pPr>
                    <w:pStyle w:val="6"/>
                    <w:rPr>
                      <w:rFonts w:hint="eastAsia" w:ascii="仿宋_GB2312" w:hAnsi="仿宋_GB2312" w:eastAsia="仿宋_GB2312" w:cs="仿宋_GB2312"/>
                    </w:rPr>
                  </w:pPr>
                  <w:r>
                    <w:rPr>
                      <w:rFonts w:hint="eastAsia" w:ascii="仿宋_GB2312" w:hAnsi="仿宋_GB2312" w:eastAsia="仿宋_GB2312" w:cs="仿宋_GB2312"/>
                    </w:rPr>
                    <w:t>数量/比例</w:t>
                  </w:r>
                </w:p>
              </w:tc>
              <w:tc>
                <w:tcPr>
                  <w:tcW w:w="1413" w:type="pct"/>
                </w:tcPr>
                <w:p w14:paraId="032FC36C">
                  <w:pPr>
                    <w:pStyle w:val="6"/>
                    <w:rPr>
                      <w:rFonts w:hint="eastAsia" w:ascii="仿宋_GB2312" w:hAnsi="仿宋_GB2312" w:eastAsia="仿宋_GB2312" w:cs="仿宋_GB2312"/>
                    </w:rPr>
                  </w:pPr>
                  <w:r>
                    <w:rPr>
                      <w:rFonts w:hint="eastAsia" w:ascii="仿宋_GB2312" w:hAnsi="仿宋_GB2312" w:eastAsia="仿宋_GB2312" w:cs="仿宋_GB2312"/>
                    </w:rPr>
                    <w:t>备注</w:t>
                  </w:r>
                </w:p>
              </w:tc>
            </w:tr>
            <w:tr w14:paraId="3B672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restart"/>
                </w:tcPr>
                <w:p w14:paraId="33D0093F">
                  <w:pPr>
                    <w:pStyle w:val="6"/>
                    <w:rPr>
                      <w:rFonts w:hint="eastAsia" w:ascii="仿宋_GB2312" w:hAnsi="仿宋_GB2312" w:eastAsia="仿宋_GB2312" w:cs="仿宋_GB2312"/>
                    </w:rPr>
                  </w:pPr>
                  <w:r>
                    <w:rPr>
                      <w:rFonts w:hint="eastAsia" w:ascii="仿宋_GB2312" w:hAnsi="仿宋_GB2312" w:eastAsia="仿宋_GB2312" w:cs="仿宋_GB2312"/>
                    </w:rPr>
                    <w:t>技术人员</w:t>
                  </w:r>
                </w:p>
              </w:tc>
              <w:tc>
                <w:tcPr>
                  <w:tcW w:w="1416" w:type="pct"/>
                </w:tcPr>
                <w:p w14:paraId="5069C336">
                  <w:pPr>
                    <w:pStyle w:val="6"/>
                    <w:rPr>
                      <w:rFonts w:hint="eastAsia" w:ascii="仿宋_GB2312" w:hAnsi="仿宋_GB2312" w:eastAsia="仿宋_GB2312" w:cs="仿宋_GB2312"/>
                    </w:rPr>
                  </w:pPr>
                  <w:r>
                    <w:rPr>
                      <w:rFonts w:hint="eastAsia" w:ascii="仿宋_GB2312" w:hAnsi="仿宋_GB2312" w:eastAsia="仿宋_GB2312" w:cs="仿宋_GB2312"/>
                    </w:rPr>
                    <w:t>项目负责人</w:t>
                  </w:r>
                </w:p>
              </w:tc>
              <w:tc>
                <w:tcPr>
                  <w:tcW w:w="1686" w:type="pct"/>
                </w:tcPr>
                <w:p w14:paraId="0133E3A2">
                  <w:pPr>
                    <w:pStyle w:val="6"/>
                    <w:rPr>
                      <w:rFonts w:hint="eastAsia" w:ascii="仿宋_GB2312" w:hAnsi="仿宋_GB2312" w:eastAsia="仿宋_GB2312" w:cs="仿宋_GB2312"/>
                    </w:rPr>
                  </w:pPr>
                  <w:r>
                    <w:rPr>
                      <w:rFonts w:hint="eastAsia" w:ascii="仿宋_GB2312" w:hAnsi="仿宋_GB2312" w:eastAsia="仿宋_GB2312" w:cs="仿宋_GB2312"/>
                    </w:rPr>
                    <w:t>1名</w:t>
                  </w:r>
                </w:p>
              </w:tc>
              <w:tc>
                <w:tcPr>
                  <w:tcW w:w="1413" w:type="pct"/>
                </w:tcPr>
                <w:p w14:paraId="10EE823F">
                  <w:pPr>
                    <w:pStyle w:val="6"/>
                    <w:rPr>
                      <w:rFonts w:hint="eastAsia" w:ascii="仿宋_GB2312" w:hAnsi="仿宋_GB2312" w:eastAsia="仿宋_GB2312" w:cs="仿宋_GB2312"/>
                    </w:rPr>
                  </w:pPr>
                  <w:r>
                    <w:rPr>
                      <w:rFonts w:hint="eastAsia" w:ascii="仿宋_GB2312" w:hAnsi="仿宋_GB2312" w:eastAsia="仿宋_GB2312" w:cs="仿宋_GB2312"/>
                    </w:rPr>
                    <w:t>本项目中不可兼职</w:t>
                  </w:r>
                </w:p>
              </w:tc>
            </w:tr>
            <w:tr w14:paraId="621B5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continue"/>
                </w:tcPr>
                <w:p w14:paraId="07B12AF2">
                  <w:pPr>
                    <w:pStyle w:val="6"/>
                    <w:rPr>
                      <w:rFonts w:hint="eastAsia" w:ascii="仿宋_GB2312" w:hAnsi="仿宋_GB2312" w:eastAsia="仿宋_GB2312" w:cs="仿宋_GB2312"/>
                    </w:rPr>
                  </w:pPr>
                </w:p>
              </w:tc>
              <w:tc>
                <w:tcPr>
                  <w:tcW w:w="1416" w:type="pct"/>
                </w:tcPr>
                <w:p w14:paraId="770A9BD9">
                  <w:pPr>
                    <w:pStyle w:val="6"/>
                    <w:rPr>
                      <w:rFonts w:hint="eastAsia" w:ascii="仿宋_GB2312" w:hAnsi="仿宋_GB2312" w:eastAsia="仿宋_GB2312" w:cs="仿宋_GB2312"/>
                    </w:rPr>
                  </w:pPr>
                  <w:r>
                    <w:rPr>
                      <w:rFonts w:hint="eastAsia" w:ascii="仿宋_GB2312" w:hAnsi="仿宋_GB2312" w:eastAsia="仿宋_GB2312" w:cs="仿宋_GB2312"/>
                    </w:rPr>
                    <w:t>技术负责人</w:t>
                  </w:r>
                </w:p>
              </w:tc>
              <w:tc>
                <w:tcPr>
                  <w:tcW w:w="1686" w:type="pct"/>
                </w:tcPr>
                <w:p w14:paraId="5790C8F6">
                  <w:pPr>
                    <w:pStyle w:val="6"/>
                    <w:rPr>
                      <w:rFonts w:hint="eastAsia" w:ascii="仿宋_GB2312" w:hAnsi="仿宋_GB2312" w:eastAsia="仿宋_GB2312" w:cs="仿宋_GB2312"/>
                    </w:rPr>
                  </w:pPr>
                  <w:r>
                    <w:rPr>
                      <w:rFonts w:hint="eastAsia" w:ascii="仿宋_GB2312" w:hAnsi="仿宋_GB2312" w:eastAsia="仿宋_GB2312" w:cs="仿宋_GB2312"/>
                    </w:rPr>
                    <w:t>1名</w:t>
                  </w:r>
                </w:p>
              </w:tc>
              <w:tc>
                <w:tcPr>
                  <w:tcW w:w="1413" w:type="pct"/>
                </w:tcPr>
                <w:p w14:paraId="70FF4B2F">
                  <w:pPr>
                    <w:pStyle w:val="6"/>
                    <w:rPr>
                      <w:rFonts w:hint="eastAsia" w:ascii="仿宋_GB2312" w:hAnsi="仿宋_GB2312" w:eastAsia="仿宋_GB2312" w:cs="仿宋_GB2312"/>
                    </w:rPr>
                  </w:pPr>
                  <w:r>
                    <w:rPr>
                      <w:rFonts w:hint="eastAsia" w:ascii="仿宋_GB2312" w:hAnsi="仿宋_GB2312" w:eastAsia="仿宋_GB2312" w:cs="仿宋_GB2312"/>
                    </w:rPr>
                    <w:t>本项目中不可兼职</w:t>
                  </w:r>
                </w:p>
              </w:tc>
            </w:tr>
            <w:tr w14:paraId="191EA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continue"/>
                </w:tcPr>
                <w:p w14:paraId="15CB191D">
                  <w:pPr>
                    <w:pStyle w:val="6"/>
                    <w:rPr>
                      <w:rFonts w:hint="eastAsia" w:ascii="仿宋_GB2312" w:hAnsi="仿宋_GB2312" w:eastAsia="仿宋_GB2312" w:cs="仿宋_GB2312"/>
                    </w:rPr>
                  </w:pPr>
                </w:p>
              </w:tc>
              <w:tc>
                <w:tcPr>
                  <w:tcW w:w="1416" w:type="pct"/>
                </w:tcPr>
                <w:p w14:paraId="105263A0">
                  <w:pPr>
                    <w:pStyle w:val="6"/>
                    <w:rPr>
                      <w:rFonts w:hint="eastAsia" w:ascii="仿宋_GB2312" w:hAnsi="仿宋_GB2312" w:eastAsia="仿宋_GB2312" w:cs="仿宋_GB2312"/>
                    </w:rPr>
                  </w:pPr>
                  <w:r>
                    <w:rPr>
                      <w:rFonts w:hint="eastAsia" w:ascii="仿宋_GB2312" w:hAnsi="仿宋_GB2312" w:eastAsia="仿宋_GB2312" w:cs="仿宋_GB2312"/>
                    </w:rPr>
                    <w:t>质量负责人</w:t>
                  </w:r>
                </w:p>
              </w:tc>
              <w:tc>
                <w:tcPr>
                  <w:tcW w:w="1686" w:type="pct"/>
                </w:tcPr>
                <w:p w14:paraId="356E8054">
                  <w:pPr>
                    <w:pStyle w:val="6"/>
                    <w:rPr>
                      <w:rFonts w:hint="eastAsia" w:ascii="仿宋_GB2312" w:hAnsi="仿宋_GB2312" w:eastAsia="仿宋_GB2312" w:cs="仿宋_GB2312"/>
                    </w:rPr>
                  </w:pPr>
                  <w:r>
                    <w:rPr>
                      <w:rFonts w:hint="eastAsia" w:ascii="仿宋_GB2312" w:hAnsi="仿宋_GB2312" w:eastAsia="仿宋_GB2312" w:cs="仿宋_GB2312"/>
                    </w:rPr>
                    <w:t>1名</w:t>
                  </w:r>
                </w:p>
              </w:tc>
              <w:tc>
                <w:tcPr>
                  <w:tcW w:w="1413" w:type="pct"/>
                </w:tcPr>
                <w:p w14:paraId="0601CA54">
                  <w:pPr>
                    <w:pStyle w:val="6"/>
                    <w:rPr>
                      <w:rFonts w:hint="eastAsia" w:ascii="仿宋_GB2312" w:hAnsi="仿宋_GB2312" w:eastAsia="仿宋_GB2312" w:cs="仿宋_GB2312"/>
                    </w:rPr>
                  </w:pPr>
                  <w:r>
                    <w:rPr>
                      <w:rFonts w:hint="eastAsia" w:ascii="仿宋_GB2312" w:hAnsi="仿宋_GB2312" w:eastAsia="仿宋_GB2312" w:cs="仿宋_GB2312"/>
                    </w:rPr>
                    <w:t>本项目中不可兼职</w:t>
                  </w:r>
                </w:p>
              </w:tc>
            </w:tr>
            <w:tr w14:paraId="5BFE7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continue"/>
                </w:tcPr>
                <w:p w14:paraId="2FB42A05">
                  <w:pPr>
                    <w:pStyle w:val="6"/>
                    <w:rPr>
                      <w:rFonts w:hint="eastAsia" w:ascii="仿宋_GB2312" w:hAnsi="仿宋_GB2312" w:eastAsia="仿宋_GB2312" w:cs="仿宋_GB2312"/>
                    </w:rPr>
                  </w:pPr>
                </w:p>
              </w:tc>
              <w:tc>
                <w:tcPr>
                  <w:tcW w:w="1416" w:type="pct"/>
                </w:tcPr>
                <w:p w14:paraId="58B8D6F1">
                  <w:pPr>
                    <w:pStyle w:val="6"/>
                    <w:rPr>
                      <w:rFonts w:hint="eastAsia" w:ascii="仿宋_GB2312" w:hAnsi="仿宋_GB2312" w:eastAsia="仿宋_GB2312" w:cs="仿宋_GB2312"/>
                    </w:rPr>
                  </w:pPr>
                  <w:r>
                    <w:rPr>
                      <w:rFonts w:hint="eastAsia" w:ascii="仿宋_GB2312" w:hAnsi="仿宋_GB2312" w:eastAsia="仿宋_GB2312" w:cs="仿宋_GB2312"/>
                    </w:rPr>
                    <w:t>数据审核负责人</w:t>
                  </w:r>
                </w:p>
              </w:tc>
              <w:tc>
                <w:tcPr>
                  <w:tcW w:w="1686" w:type="pct"/>
                </w:tcPr>
                <w:p w14:paraId="1F0969E4">
                  <w:pPr>
                    <w:pStyle w:val="6"/>
                    <w:rPr>
                      <w:rFonts w:hint="eastAsia" w:ascii="仿宋_GB2312" w:hAnsi="仿宋_GB2312" w:eastAsia="仿宋_GB2312" w:cs="仿宋_GB2312"/>
                    </w:rPr>
                  </w:pPr>
                  <w:r>
                    <w:rPr>
                      <w:rFonts w:hint="eastAsia" w:ascii="仿宋_GB2312" w:hAnsi="仿宋_GB2312" w:eastAsia="仿宋_GB2312" w:cs="仿宋_GB2312"/>
                    </w:rPr>
                    <w:t>1名</w:t>
                  </w:r>
                </w:p>
              </w:tc>
              <w:tc>
                <w:tcPr>
                  <w:tcW w:w="1413" w:type="pct"/>
                </w:tcPr>
                <w:p w14:paraId="71028CA8">
                  <w:pPr>
                    <w:pStyle w:val="6"/>
                    <w:rPr>
                      <w:rFonts w:hint="eastAsia" w:ascii="仿宋_GB2312" w:hAnsi="仿宋_GB2312" w:eastAsia="仿宋_GB2312" w:cs="仿宋_GB2312"/>
                    </w:rPr>
                  </w:pPr>
                  <w:r>
                    <w:rPr>
                      <w:rFonts w:hint="eastAsia" w:ascii="仿宋_GB2312" w:hAnsi="仿宋_GB2312" w:eastAsia="仿宋_GB2312" w:cs="仿宋_GB2312"/>
                    </w:rPr>
                    <w:t>　</w:t>
                  </w:r>
                </w:p>
              </w:tc>
            </w:tr>
            <w:tr w14:paraId="71116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continue"/>
                </w:tcPr>
                <w:p w14:paraId="4F74160E">
                  <w:pPr>
                    <w:pStyle w:val="6"/>
                    <w:rPr>
                      <w:rFonts w:hint="eastAsia" w:ascii="仿宋_GB2312" w:hAnsi="仿宋_GB2312" w:eastAsia="仿宋_GB2312" w:cs="仿宋_GB2312"/>
                    </w:rPr>
                  </w:pPr>
                </w:p>
              </w:tc>
              <w:tc>
                <w:tcPr>
                  <w:tcW w:w="1416" w:type="pct"/>
                </w:tcPr>
                <w:p w14:paraId="3897B607">
                  <w:pPr>
                    <w:pStyle w:val="6"/>
                    <w:rPr>
                      <w:rFonts w:hint="eastAsia" w:ascii="仿宋_GB2312" w:hAnsi="仿宋_GB2312" w:eastAsia="仿宋_GB2312" w:cs="仿宋_GB2312"/>
                    </w:rPr>
                  </w:pPr>
                  <w:r>
                    <w:rPr>
                      <w:rFonts w:hint="eastAsia" w:ascii="仿宋_GB2312" w:hAnsi="仿宋_GB2312" w:eastAsia="仿宋_GB2312" w:cs="仿宋_GB2312"/>
                    </w:rPr>
                    <w:t>报告编制负责人</w:t>
                  </w:r>
                </w:p>
              </w:tc>
              <w:tc>
                <w:tcPr>
                  <w:tcW w:w="1686" w:type="pct"/>
                </w:tcPr>
                <w:p w14:paraId="66E1C60E">
                  <w:pPr>
                    <w:pStyle w:val="6"/>
                    <w:rPr>
                      <w:rFonts w:hint="eastAsia" w:ascii="仿宋_GB2312" w:hAnsi="仿宋_GB2312" w:eastAsia="仿宋_GB2312" w:cs="仿宋_GB2312"/>
                    </w:rPr>
                  </w:pPr>
                  <w:r>
                    <w:rPr>
                      <w:rFonts w:hint="eastAsia" w:ascii="仿宋_GB2312" w:hAnsi="仿宋_GB2312" w:eastAsia="仿宋_GB2312" w:cs="仿宋_GB2312"/>
                    </w:rPr>
                    <w:t>1名</w:t>
                  </w:r>
                </w:p>
              </w:tc>
              <w:tc>
                <w:tcPr>
                  <w:tcW w:w="1413" w:type="pct"/>
                </w:tcPr>
                <w:p w14:paraId="615FA081">
                  <w:pPr>
                    <w:pStyle w:val="6"/>
                    <w:rPr>
                      <w:rFonts w:hint="eastAsia" w:ascii="仿宋_GB2312" w:hAnsi="仿宋_GB2312" w:eastAsia="仿宋_GB2312" w:cs="仿宋_GB2312"/>
                    </w:rPr>
                  </w:pPr>
                  <w:r>
                    <w:rPr>
                      <w:rFonts w:hint="eastAsia" w:ascii="仿宋_GB2312" w:hAnsi="仿宋_GB2312" w:eastAsia="仿宋_GB2312" w:cs="仿宋_GB2312"/>
                    </w:rPr>
                    <w:t>　</w:t>
                  </w:r>
                </w:p>
              </w:tc>
            </w:tr>
            <w:tr w14:paraId="71FCA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continue"/>
                </w:tcPr>
                <w:p w14:paraId="3C97568F">
                  <w:pPr>
                    <w:pStyle w:val="6"/>
                    <w:rPr>
                      <w:rFonts w:hint="eastAsia" w:ascii="仿宋_GB2312" w:hAnsi="仿宋_GB2312" w:eastAsia="仿宋_GB2312" w:cs="仿宋_GB2312"/>
                    </w:rPr>
                  </w:pPr>
                </w:p>
              </w:tc>
              <w:tc>
                <w:tcPr>
                  <w:tcW w:w="1416" w:type="pct"/>
                </w:tcPr>
                <w:p w14:paraId="21D19BF1">
                  <w:pPr>
                    <w:pStyle w:val="6"/>
                    <w:rPr>
                      <w:rFonts w:hint="eastAsia" w:ascii="仿宋_GB2312" w:hAnsi="仿宋_GB2312" w:eastAsia="仿宋_GB2312" w:cs="仿宋_GB2312"/>
                    </w:rPr>
                  </w:pPr>
                  <w:r>
                    <w:rPr>
                      <w:rFonts w:hint="eastAsia" w:ascii="仿宋_GB2312" w:hAnsi="仿宋_GB2312" w:eastAsia="仿宋_GB2312" w:cs="仿宋_GB2312"/>
                    </w:rPr>
                    <w:t>片区负责人</w:t>
                  </w:r>
                </w:p>
              </w:tc>
              <w:tc>
                <w:tcPr>
                  <w:tcW w:w="1686" w:type="pct"/>
                </w:tcPr>
                <w:p w14:paraId="3D135AD0">
                  <w:pPr>
                    <w:pStyle w:val="6"/>
                    <w:rPr>
                      <w:rFonts w:hint="eastAsia" w:ascii="仿宋_GB2312" w:hAnsi="仿宋_GB2312" w:eastAsia="仿宋_GB2312" w:cs="仿宋_GB2312"/>
                    </w:rPr>
                  </w:pPr>
                  <w:r>
                    <w:rPr>
                      <w:rFonts w:hint="eastAsia" w:ascii="仿宋_GB2312" w:hAnsi="仿宋_GB2312" w:eastAsia="仿宋_GB2312" w:cs="仿宋_GB2312"/>
                    </w:rPr>
                    <w:t>每个驻地办事处1名</w:t>
                  </w:r>
                </w:p>
              </w:tc>
              <w:tc>
                <w:tcPr>
                  <w:tcW w:w="1413" w:type="pct"/>
                </w:tcPr>
                <w:p w14:paraId="52C3F5E6">
                  <w:pPr>
                    <w:pStyle w:val="6"/>
                    <w:rPr>
                      <w:rFonts w:hint="eastAsia" w:ascii="仿宋_GB2312" w:hAnsi="仿宋_GB2312" w:eastAsia="仿宋_GB2312" w:cs="仿宋_GB2312"/>
                    </w:rPr>
                  </w:pPr>
                </w:p>
              </w:tc>
            </w:tr>
            <w:tr w14:paraId="31681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continue"/>
                </w:tcPr>
                <w:p w14:paraId="1D7A19BC">
                  <w:pPr>
                    <w:pStyle w:val="6"/>
                    <w:rPr>
                      <w:rFonts w:hint="eastAsia" w:ascii="仿宋_GB2312" w:hAnsi="仿宋_GB2312" w:eastAsia="仿宋_GB2312" w:cs="仿宋_GB2312"/>
                    </w:rPr>
                  </w:pPr>
                </w:p>
              </w:tc>
              <w:tc>
                <w:tcPr>
                  <w:tcW w:w="1416" w:type="pct"/>
                </w:tcPr>
                <w:p w14:paraId="42AEAB8C">
                  <w:pPr>
                    <w:pStyle w:val="6"/>
                    <w:rPr>
                      <w:rFonts w:hint="eastAsia" w:ascii="仿宋_GB2312" w:hAnsi="仿宋_GB2312" w:eastAsia="仿宋_GB2312" w:cs="仿宋_GB2312"/>
                    </w:rPr>
                  </w:pPr>
                  <w:r>
                    <w:rPr>
                      <w:rFonts w:hint="eastAsia" w:ascii="仿宋_GB2312" w:hAnsi="仿宋_GB2312" w:eastAsia="仿宋_GB2312" w:cs="仿宋_GB2312"/>
                    </w:rPr>
                    <w:t>驻站人员</w:t>
                  </w:r>
                </w:p>
              </w:tc>
              <w:tc>
                <w:tcPr>
                  <w:tcW w:w="1686" w:type="pct"/>
                </w:tcPr>
                <w:p w14:paraId="4F06342F">
                  <w:pPr>
                    <w:pStyle w:val="6"/>
                    <w:rPr>
                      <w:rFonts w:hint="eastAsia" w:ascii="仿宋_GB2312" w:hAnsi="仿宋_GB2312" w:eastAsia="仿宋_GB2312" w:cs="仿宋_GB2312"/>
                    </w:rPr>
                  </w:pPr>
                  <w:r>
                    <w:rPr>
                      <w:rFonts w:hint="eastAsia" w:ascii="仿宋_GB2312" w:hAnsi="仿宋_GB2312" w:eastAsia="仿宋_GB2312" w:cs="仿宋_GB2312"/>
                    </w:rPr>
                    <w:t>1名</w:t>
                  </w:r>
                </w:p>
              </w:tc>
              <w:tc>
                <w:tcPr>
                  <w:tcW w:w="1413" w:type="pct"/>
                </w:tcPr>
                <w:p w14:paraId="2090B8F2">
                  <w:pPr>
                    <w:pStyle w:val="6"/>
                    <w:rPr>
                      <w:rFonts w:hint="eastAsia" w:ascii="仿宋_GB2312" w:hAnsi="仿宋_GB2312" w:eastAsia="仿宋_GB2312" w:cs="仿宋_GB2312"/>
                    </w:rPr>
                  </w:pPr>
                  <w:r>
                    <w:rPr>
                      <w:rFonts w:hint="eastAsia" w:ascii="仿宋_GB2312" w:hAnsi="仿宋_GB2312" w:eastAsia="仿宋_GB2312" w:cs="仿宋_GB2312"/>
                    </w:rPr>
                    <w:t>专职驻场</w:t>
                  </w:r>
                </w:p>
              </w:tc>
            </w:tr>
            <w:tr w14:paraId="4CB10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continue"/>
                </w:tcPr>
                <w:p w14:paraId="4B3C6909">
                  <w:pPr>
                    <w:pStyle w:val="6"/>
                    <w:rPr>
                      <w:rFonts w:hint="eastAsia" w:ascii="仿宋_GB2312" w:hAnsi="仿宋_GB2312" w:eastAsia="仿宋_GB2312" w:cs="仿宋_GB2312"/>
                    </w:rPr>
                  </w:pPr>
                </w:p>
              </w:tc>
              <w:tc>
                <w:tcPr>
                  <w:tcW w:w="1416" w:type="pct"/>
                </w:tcPr>
                <w:p w14:paraId="5B274BC7">
                  <w:pPr>
                    <w:pStyle w:val="6"/>
                    <w:rPr>
                      <w:rFonts w:hint="eastAsia" w:ascii="仿宋_GB2312" w:hAnsi="仿宋_GB2312" w:eastAsia="仿宋_GB2312" w:cs="仿宋_GB2312"/>
                    </w:rPr>
                  </w:pPr>
                  <w:r>
                    <w:rPr>
                      <w:rFonts w:hint="eastAsia" w:ascii="仿宋_GB2312" w:hAnsi="仿宋_GB2312" w:eastAsia="仿宋_GB2312" w:cs="仿宋_GB2312"/>
                    </w:rPr>
                    <w:t>现场运维人员</w:t>
                  </w:r>
                </w:p>
              </w:tc>
              <w:tc>
                <w:tcPr>
                  <w:tcW w:w="1686" w:type="pct"/>
                </w:tcPr>
                <w:p w14:paraId="3B74957E">
                  <w:pPr>
                    <w:pStyle w:val="6"/>
                    <w:rPr>
                      <w:rFonts w:hint="eastAsia" w:ascii="仿宋_GB2312" w:hAnsi="仿宋_GB2312" w:eastAsia="仿宋_GB2312" w:cs="仿宋_GB2312"/>
                    </w:rPr>
                  </w:pPr>
                  <w:r>
                    <w:rPr>
                      <w:rFonts w:hint="eastAsia" w:ascii="仿宋_GB2312" w:hAnsi="仿宋_GB2312" w:eastAsia="仿宋_GB2312" w:cs="仿宋_GB2312"/>
                    </w:rPr>
                    <w:t>每2个水站不少于1名</w:t>
                  </w:r>
                </w:p>
              </w:tc>
              <w:tc>
                <w:tcPr>
                  <w:tcW w:w="1413" w:type="pct"/>
                </w:tcPr>
                <w:p w14:paraId="34041400">
                  <w:pPr>
                    <w:pStyle w:val="6"/>
                    <w:rPr>
                      <w:rFonts w:hint="eastAsia" w:ascii="仿宋_GB2312" w:hAnsi="仿宋_GB2312" w:eastAsia="仿宋_GB2312" w:cs="仿宋_GB2312"/>
                    </w:rPr>
                  </w:pPr>
                  <w:r>
                    <w:rPr>
                      <w:rFonts w:hint="eastAsia" w:ascii="仿宋_GB2312" w:hAnsi="仿宋_GB2312" w:eastAsia="仿宋_GB2312" w:cs="仿宋_GB2312"/>
                    </w:rPr>
                    <w:t>　</w:t>
                  </w:r>
                </w:p>
              </w:tc>
            </w:tr>
            <w:tr w14:paraId="20B34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tcPr>
                <w:p w14:paraId="47C4DBB0">
                  <w:pPr>
                    <w:pStyle w:val="6"/>
                    <w:rPr>
                      <w:rFonts w:hint="eastAsia" w:ascii="仿宋_GB2312" w:hAnsi="仿宋_GB2312" w:eastAsia="仿宋_GB2312" w:cs="仿宋_GB2312"/>
                    </w:rPr>
                  </w:pPr>
                  <w:r>
                    <w:rPr>
                      <w:rFonts w:hint="eastAsia" w:ascii="仿宋_GB2312" w:hAnsi="仿宋_GB2312" w:eastAsia="仿宋_GB2312" w:cs="仿宋_GB2312"/>
                    </w:rPr>
                    <w:t>车辆</w:t>
                  </w:r>
                </w:p>
              </w:tc>
              <w:tc>
                <w:tcPr>
                  <w:tcW w:w="1416" w:type="pct"/>
                </w:tcPr>
                <w:p w14:paraId="19D0121A">
                  <w:pPr>
                    <w:pStyle w:val="6"/>
                    <w:rPr>
                      <w:rFonts w:hint="eastAsia" w:ascii="仿宋_GB2312" w:hAnsi="仿宋_GB2312" w:eastAsia="仿宋_GB2312" w:cs="仿宋_GB2312"/>
                    </w:rPr>
                  </w:pPr>
                  <w:r>
                    <w:rPr>
                      <w:rFonts w:hint="eastAsia" w:ascii="仿宋_GB2312" w:hAnsi="仿宋_GB2312" w:eastAsia="仿宋_GB2312" w:cs="仿宋_GB2312"/>
                    </w:rPr>
                    <w:t>运维车辆</w:t>
                  </w:r>
                </w:p>
              </w:tc>
              <w:tc>
                <w:tcPr>
                  <w:tcW w:w="1686" w:type="pct"/>
                </w:tcPr>
                <w:p w14:paraId="26A88C53">
                  <w:pPr>
                    <w:pStyle w:val="6"/>
                    <w:rPr>
                      <w:rFonts w:hint="eastAsia" w:ascii="仿宋_GB2312" w:hAnsi="仿宋_GB2312" w:eastAsia="仿宋_GB2312" w:cs="仿宋_GB2312"/>
                    </w:rPr>
                  </w:pPr>
                  <w:r>
                    <w:rPr>
                      <w:rFonts w:hint="eastAsia" w:ascii="仿宋_GB2312" w:hAnsi="仿宋_GB2312" w:eastAsia="仿宋_GB2312" w:cs="仿宋_GB2312"/>
                    </w:rPr>
                    <w:t>每4个水站不少于1辆</w:t>
                  </w:r>
                </w:p>
              </w:tc>
              <w:tc>
                <w:tcPr>
                  <w:tcW w:w="1413" w:type="pct"/>
                </w:tcPr>
                <w:p w14:paraId="1530087B">
                  <w:pPr>
                    <w:pStyle w:val="6"/>
                    <w:rPr>
                      <w:rFonts w:hint="eastAsia" w:ascii="仿宋_GB2312" w:hAnsi="仿宋_GB2312" w:eastAsia="仿宋_GB2312" w:cs="仿宋_GB2312"/>
                    </w:rPr>
                  </w:pPr>
                  <w:r>
                    <w:rPr>
                      <w:rFonts w:hint="eastAsia" w:ascii="仿宋_GB2312" w:hAnsi="仿宋_GB2312" w:eastAsia="仿宋_GB2312" w:cs="仿宋_GB2312"/>
                    </w:rPr>
                    <w:t>　</w:t>
                  </w:r>
                </w:p>
              </w:tc>
            </w:tr>
            <w:tr w14:paraId="580FF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restart"/>
                </w:tcPr>
                <w:p w14:paraId="59527929">
                  <w:pPr>
                    <w:pStyle w:val="6"/>
                    <w:rPr>
                      <w:rFonts w:hint="eastAsia" w:ascii="仿宋_GB2312" w:hAnsi="仿宋_GB2312" w:eastAsia="仿宋_GB2312" w:cs="仿宋_GB2312"/>
                    </w:rPr>
                  </w:pPr>
                  <w:r>
                    <w:rPr>
                      <w:rFonts w:hint="eastAsia" w:ascii="仿宋_GB2312" w:hAnsi="仿宋_GB2312" w:eastAsia="仿宋_GB2312" w:cs="仿宋_GB2312"/>
                    </w:rPr>
                    <w:t>辅助监测</w:t>
                  </w:r>
                </w:p>
              </w:tc>
              <w:tc>
                <w:tcPr>
                  <w:tcW w:w="1416" w:type="pct"/>
                </w:tcPr>
                <w:p w14:paraId="02836124">
                  <w:pPr>
                    <w:pStyle w:val="6"/>
                    <w:rPr>
                      <w:rFonts w:hint="eastAsia" w:ascii="仿宋_GB2312" w:hAnsi="仿宋_GB2312" w:eastAsia="仿宋_GB2312" w:cs="仿宋_GB2312"/>
                    </w:rPr>
                  </w:pPr>
                  <w:r>
                    <w:rPr>
                      <w:rFonts w:hint="eastAsia" w:ascii="仿宋_GB2312" w:hAnsi="仿宋_GB2312" w:eastAsia="仿宋_GB2312" w:cs="仿宋_GB2312"/>
                    </w:rPr>
                    <w:t>移动监测车</w:t>
                  </w:r>
                </w:p>
              </w:tc>
              <w:tc>
                <w:tcPr>
                  <w:tcW w:w="1686" w:type="pct"/>
                </w:tcPr>
                <w:p w14:paraId="46A2978B">
                  <w:pPr>
                    <w:pStyle w:val="6"/>
                    <w:rPr>
                      <w:rFonts w:hint="eastAsia" w:ascii="仿宋_GB2312" w:hAnsi="仿宋_GB2312" w:eastAsia="仿宋_GB2312" w:cs="仿宋_GB2312"/>
                    </w:rPr>
                  </w:pPr>
                  <w:r>
                    <w:rPr>
                      <w:rFonts w:hint="eastAsia" w:ascii="仿宋_GB2312" w:hAnsi="仿宋_GB2312" w:eastAsia="仿宋_GB2312" w:cs="仿宋_GB2312"/>
                    </w:rPr>
                    <w:t>1辆</w:t>
                  </w:r>
                </w:p>
              </w:tc>
              <w:tc>
                <w:tcPr>
                  <w:tcW w:w="1413" w:type="pct"/>
                </w:tcPr>
                <w:p w14:paraId="60A27B45">
                  <w:pPr>
                    <w:pStyle w:val="6"/>
                    <w:rPr>
                      <w:rFonts w:hint="eastAsia" w:ascii="仿宋_GB2312" w:hAnsi="仿宋_GB2312" w:eastAsia="仿宋_GB2312" w:cs="仿宋_GB2312"/>
                    </w:rPr>
                  </w:pPr>
                </w:p>
              </w:tc>
            </w:tr>
            <w:tr w14:paraId="17731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continue"/>
                </w:tcPr>
                <w:p w14:paraId="7EFFB258">
                  <w:pPr>
                    <w:pStyle w:val="6"/>
                    <w:rPr>
                      <w:rFonts w:hint="eastAsia" w:ascii="仿宋_GB2312" w:hAnsi="仿宋_GB2312" w:eastAsia="仿宋_GB2312" w:cs="仿宋_GB2312"/>
                    </w:rPr>
                  </w:pPr>
                </w:p>
              </w:tc>
              <w:tc>
                <w:tcPr>
                  <w:tcW w:w="1416" w:type="pct"/>
                </w:tcPr>
                <w:p w14:paraId="191085A2">
                  <w:pPr>
                    <w:pStyle w:val="6"/>
                    <w:rPr>
                      <w:rFonts w:hint="eastAsia" w:ascii="仿宋_GB2312" w:hAnsi="仿宋_GB2312" w:eastAsia="仿宋_GB2312" w:cs="仿宋_GB2312"/>
                    </w:rPr>
                  </w:pPr>
                  <w:r>
                    <w:rPr>
                      <w:rFonts w:hint="eastAsia" w:ascii="仿宋_GB2312" w:hAnsi="仿宋_GB2312" w:eastAsia="仿宋_GB2312" w:cs="仿宋_GB2312"/>
                    </w:rPr>
                    <w:t>CMA认证检测机构</w:t>
                  </w:r>
                </w:p>
              </w:tc>
              <w:tc>
                <w:tcPr>
                  <w:tcW w:w="1686" w:type="pct"/>
                </w:tcPr>
                <w:p w14:paraId="66B08D30">
                  <w:pPr>
                    <w:pStyle w:val="6"/>
                    <w:rPr>
                      <w:rFonts w:hint="eastAsia" w:ascii="仿宋_GB2312" w:hAnsi="仿宋_GB2312" w:eastAsia="仿宋_GB2312" w:cs="仿宋_GB2312"/>
                    </w:rPr>
                  </w:pPr>
                  <w:r>
                    <w:rPr>
                      <w:rFonts w:hint="eastAsia" w:ascii="仿宋_GB2312" w:hAnsi="仿宋_GB2312" w:eastAsia="仿宋_GB2312" w:cs="仿宋_GB2312"/>
                    </w:rPr>
                    <w:t>至少1个</w:t>
                  </w:r>
                </w:p>
              </w:tc>
              <w:tc>
                <w:tcPr>
                  <w:tcW w:w="1413" w:type="pct"/>
                </w:tcPr>
                <w:p w14:paraId="7FBB0349">
                  <w:pPr>
                    <w:pStyle w:val="6"/>
                    <w:rPr>
                      <w:rFonts w:hint="eastAsia" w:ascii="仿宋_GB2312" w:hAnsi="仿宋_GB2312" w:eastAsia="仿宋_GB2312" w:cs="仿宋_GB2312"/>
                    </w:rPr>
                  </w:pPr>
                  <w:r>
                    <w:rPr>
                      <w:rFonts w:hint="eastAsia" w:ascii="仿宋_GB2312" w:hAnsi="仿宋_GB2312" w:eastAsia="仿宋_GB2312" w:cs="仿宋_GB2312"/>
                    </w:rPr>
                    <w:t>投标人或其直接持股超过50%的公司具有</w:t>
                  </w:r>
                </w:p>
              </w:tc>
            </w:tr>
            <w:tr w14:paraId="7A476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continue"/>
                </w:tcPr>
                <w:p w14:paraId="58CC897B">
                  <w:pPr>
                    <w:pStyle w:val="6"/>
                    <w:rPr>
                      <w:rFonts w:hint="eastAsia" w:ascii="仿宋_GB2312" w:hAnsi="仿宋_GB2312" w:eastAsia="仿宋_GB2312" w:cs="仿宋_GB2312"/>
                    </w:rPr>
                  </w:pPr>
                </w:p>
              </w:tc>
              <w:tc>
                <w:tcPr>
                  <w:tcW w:w="1416" w:type="pct"/>
                </w:tcPr>
                <w:p w14:paraId="2DDEB61F">
                  <w:pPr>
                    <w:pStyle w:val="6"/>
                    <w:rPr>
                      <w:rFonts w:hint="eastAsia" w:ascii="仿宋_GB2312" w:hAnsi="仿宋_GB2312" w:eastAsia="仿宋_GB2312" w:cs="仿宋_GB2312"/>
                    </w:rPr>
                  </w:pPr>
                  <w:r>
                    <w:rPr>
                      <w:rFonts w:hint="eastAsia" w:ascii="仿宋_GB2312" w:hAnsi="仿宋_GB2312" w:eastAsia="仿宋_GB2312" w:cs="仿宋_GB2312"/>
                    </w:rPr>
                    <w:t>便携五参数仪器</w:t>
                  </w:r>
                </w:p>
              </w:tc>
              <w:tc>
                <w:tcPr>
                  <w:tcW w:w="1686" w:type="pct"/>
                </w:tcPr>
                <w:p w14:paraId="260459BA">
                  <w:pPr>
                    <w:pStyle w:val="6"/>
                    <w:rPr>
                      <w:rFonts w:hint="eastAsia" w:ascii="仿宋_GB2312" w:hAnsi="仿宋_GB2312" w:eastAsia="仿宋_GB2312" w:cs="仿宋_GB2312"/>
                    </w:rPr>
                  </w:pPr>
                  <w:r>
                    <w:rPr>
                      <w:rFonts w:hint="eastAsia" w:ascii="仿宋_GB2312" w:hAnsi="仿宋_GB2312" w:eastAsia="仿宋_GB2312" w:cs="仿宋_GB2312"/>
                    </w:rPr>
                    <w:t>每2个水站至少1套</w:t>
                  </w:r>
                </w:p>
              </w:tc>
              <w:tc>
                <w:tcPr>
                  <w:tcW w:w="1413" w:type="pct"/>
                </w:tcPr>
                <w:p w14:paraId="422974B5">
                  <w:pPr>
                    <w:pStyle w:val="6"/>
                    <w:rPr>
                      <w:rFonts w:hint="eastAsia" w:ascii="仿宋_GB2312" w:hAnsi="仿宋_GB2312" w:eastAsia="仿宋_GB2312" w:cs="仿宋_GB2312"/>
                    </w:rPr>
                  </w:pPr>
                  <w:r>
                    <w:rPr>
                      <w:rFonts w:hint="eastAsia" w:ascii="仿宋_GB2312" w:hAnsi="仿宋_GB2312" w:eastAsia="仿宋_GB2312" w:cs="仿宋_GB2312"/>
                    </w:rPr>
                    <w:t>　</w:t>
                  </w:r>
                </w:p>
              </w:tc>
            </w:tr>
            <w:tr w14:paraId="34BBD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continue"/>
                </w:tcPr>
                <w:p w14:paraId="1E35CD9E">
                  <w:pPr>
                    <w:pStyle w:val="6"/>
                    <w:rPr>
                      <w:rFonts w:hint="eastAsia" w:ascii="仿宋_GB2312" w:hAnsi="仿宋_GB2312" w:eastAsia="仿宋_GB2312" w:cs="仿宋_GB2312"/>
                    </w:rPr>
                  </w:pPr>
                </w:p>
              </w:tc>
              <w:tc>
                <w:tcPr>
                  <w:tcW w:w="1416" w:type="pct"/>
                </w:tcPr>
                <w:p w14:paraId="784AC9EE">
                  <w:pPr>
                    <w:pStyle w:val="6"/>
                    <w:rPr>
                      <w:rFonts w:hint="eastAsia" w:ascii="仿宋_GB2312" w:hAnsi="仿宋_GB2312" w:eastAsia="仿宋_GB2312" w:cs="仿宋_GB2312"/>
                    </w:rPr>
                  </w:pPr>
                  <w:r>
                    <w:rPr>
                      <w:rFonts w:hint="eastAsia" w:ascii="仿宋_GB2312" w:hAnsi="仿宋_GB2312" w:eastAsia="仿宋_GB2312" w:cs="仿宋_GB2312"/>
                    </w:rPr>
                    <w:t>执法记录仪</w:t>
                  </w:r>
                </w:p>
              </w:tc>
              <w:tc>
                <w:tcPr>
                  <w:tcW w:w="1686" w:type="pct"/>
                </w:tcPr>
                <w:p w14:paraId="02FF4B32">
                  <w:pPr>
                    <w:pStyle w:val="6"/>
                    <w:rPr>
                      <w:rFonts w:hint="eastAsia" w:ascii="仿宋_GB2312" w:hAnsi="仿宋_GB2312" w:eastAsia="仿宋_GB2312" w:cs="仿宋_GB2312"/>
                    </w:rPr>
                  </w:pPr>
                  <w:r>
                    <w:rPr>
                      <w:rFonts w:hint="eastAsia" w:ascii="仿宋_GB2312" w:hAnsi="仿宋_GB2312" w:eastAsia="仿宋_GB2312" w:cs="仿宋_GB2312"/>
                    </w:rPr>
                    <w:t>每个现场运维人员至少配备1台</w:t>
                  </w:r>
                </w:p>
              </w:tc>
              <w:tc>
                <w:tcPr>
                  <w:tcW w:w="1413" w:type="pct"/>
                </w:tcPr>
                <w:p w14:paraId="7D9177B4">
                  <w:pPr>
                    <w:pStyle w:val="6"/>
                    <w:rPr>
                      <w:rFonts w:hint="eastAsia" w:ascii="仿宋_GB2312" w:hAnsi="仿宋_GB2312" w:eastAsia="仿宋_GB2312" w:cs="仿宋_GB2312"/>
                    </w:rPr>
                  </w:pPr>
                </w:p>
              </w:tc>
            </w:tr>
            <w:tr w14:paraId="6185D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restart"/>
                </w:tcPr>
                <w:p w14:paraId="6AC27460">
                  <w:pPr>
                    <w:pStyle w:val="6"/>
                    <w:rPr>
                      <w:rFonts w:hint="eastAsia" w:ascii="仿宋_GB2312" w:hAnsi="仿宋_GB2312" w:eastAsia="仿宋_GB2312" w:cs="仿宋_GB2312"/>
                    </w:rPr>
                  </w:pPr>
                  <w:r>
                    <w:rPr>
                      <w:rFonts w:hint="eastAsia" w:ascii="仿宋_GB2312" w:hAnsi="仿宋_GB2312" w:eastAsia="仿宋_GB2312" w:cs="仿宋_GB2312"/>
                    </w:rPr>
                    <w:t>其它</w:t>
                  </w:r>
                </w:p>
              </w:tc>
              <w:tc>
                <w:tcPr>
                  <w:tcW w:w="1416" w:type="pct"/>
                </w:tcPr>
                <w:p w14:paraId="65D9BB33">
                  <w:pPr>
                    <w:pStyle w:val="6"/>
                    <w:rPr>
                      <w:rFonts w:hint="eastAsia" w:ascii="仿宋_GB2312" w:hAnsi="仿宋_GB2312" w:eastAsia="仿宋_GB2312" w:cs="仿宋_GB2312"/>
                    </w:rPr>
                  </w:pPr>
                  <w:r>
                    <w:rPr>
                      <w:rFonts w:hint="eastAsia" w:ascii="仿宋_GB2312" w:hAnsi="仿宋_GB2312" w:eastAsia="仿宋_GB2312" w:cs="仿宋_GB2312"/>
                    </w:rPr>
                    <w:t>驻地办事处</w:t>
                  </w:r>
                </w:p>
              </w:tc>
              <w:tc>
                <w:tcPr>
                  <w:tcW w:w="1686" w:type="pct"/>
                </w:tcPr>
                <w:p w14:paraId="5DAB0428">
                  <w:pPr>
                    <w:pStyle w:val="6"/>
                    <w:rPr>
                      <w:rFonts w:hint="eastAsia" w:ascii="仿宋_GB2312" w:hAnsi="仿宋_GB2312" w:eastAsia="仿宋_GB2312" w:cs="仿宋_GB2312"/>
                    </w:rPr>
                  </w:pPr>
                  <w:r>
                    <w:rPr>
                      <w:rFonts w:hint="eastAsia" w:ascii="仿宋_GB2312" w:hAnsi="仿宋_GB2312" w:eastAsia="仿宋_GB2312" w:cs="仿宋_GB2312"/>
                    </w:rPr>
                    <w:t>至少1个</w:t>
                  </w:r>
                </w:p>
              </w:tc>
              <w:tc>
                <w:tcPr>
                  <w:tcW w:w="1413" w:type="pct"/>
                </w:tcPr>
                <w:p w14:paraId="66854D50">
                  <w:pPr>
                    <w:pStyle w:val="6"/>
                    <w:rPr>
                      <w:rFonts w:hint="eastAsia" w:ascii="仿宋_GB2312" w:hAnsi="仿宋_GB2312" w:eastAsia="仿宋_GB2312" w:cs="仿宋_GB2312"/>
                    </w:rPr>
                  </w:pPr>
                  <w:r>
                    <w:rPr>
                      <w:rFonts w:hint="eastAsia" w:ascii="仿宋_GB2312" w:hAnsi="仿宋_GB2312" w:eastAsia="仿宋_GB2312" w:cs="仿宋_GB2312"/>
                    </w:rPr>
                    <w:t>　</w:t>
                  </w:r>
                </w:p>
              </w:tc>
            </w:tr>
            <w:tr w14:paraId="492A6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continue"/>
                </w:tcPr>
                <w:p w14:paraId="3A25B813">
                  <w:pPr>
                    <w:pStyle w:val="6"/>
                    <w:rPr>
                      <w:rFonts w:hint="eastAsia" w:ascii="仿宋_GB2312" w:hAnsi="仿宋_GB2312" w:eastAsia="仿宋_GB2312" w:cs="仿宋_GB2312"/>
                    </w:rPr>
                  </w:pPr>
                </w:p>
              </w:tc>
              <w:tc>
                <w:tcPr>
                  <w:tcW w:w="1416" w:type="pct"/>
                </w:tcPr>
                <w:p w14:paraId="7E121AC3">
                  <w:pPr>
                    <w:pStyle w:val="6"/>
                    <w:rPr>
                      <w:rFonts w:hint="eastAsia" w:ascii="仿宋_GB2312" w:hAnsi="仿宋_GB2312" w:eastAsia="仿宋_GB2312" w:cs="仿宋_GB2312"/>
                    </w:rPr>
                  </w:pPr>
                  <w:r>
                    <w:rPr>
                      <w:rFonts w:hint="eastAsia" w:ascii="仿宋_GB2312" w:hAnsi="仿宋_GB2312" w:eastAsia="仿宋_GB2312" w:cs="仿宋_GB2312"/>
                    </w:rPr>
                    <w:t>备机</w:t>
                  </w:r>
                </w:p>
              </w:tc>
              <w:tc>
                <w:tcPr>
                  <w:tcW w:w="1686" w:type="pct"/>
                </w:tcPr>
                <w:p w14:paraId="2AF73C0E">
                  <w:pPr>
                    <w:pStyle w:val="6"/>
                    <w:rPr>
                      <w:rFonts w:hint="eastAsia" w:ascii="仿宋_GB2312" w:hAnsi="仿宋_GB2312" w:eastAsia="仿宋_GB2312" w:cs="仿宋_GB2312"/>
                    </w:rPr>
                  </w:pPr>
                  <w:r>
                    <w:rPr>
                      <w:rFonts w:hint="eastAsia" w:ascii="仿宋_GB2312" w:hAnsi="仿宋_GB2312" w:eastAsia="仿宋_GB2312" w:cs="仿宋_GB2312"/>
                    </w:rPr>
                    <w:t>每8台仪器不少于1台备机</w:t>
                  </w:r>
                </w:p>
              </w:tc>
              <w:tc>
                <w:tcPr>
                  <w:tcW w:w="1413" w:type="pct"/>
                </w:tcPr>
                <w:p w14:paraId="5109DEC6">
                  <w:pPr>
                    <w:pStyle w:val="6"/>
                    <w:rPr>
                      <w:rFonts w:hint="eastAsia" w:ascii="仿宋_GB2312" w:hAnsi="仿宋_GB2312" w:eastAsia="仿宋_GB2312" w:cs="仿宋_GB2312"/>
                    </w:rPr>
                  </w:pPr>
                </w:p>
              </w:tc>
            </w:tr>
            <w:tr w14:paraId="4B04C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4" w:type="pct"/>
                  <w:vMerge w:val="continue"/>
                </w:tcPr>
                <w:p w14:paraId="59531676">
                  <w:pPr>
                    <w:pStyle w:val="6"/>
                    <w:rPr>
                      <w:rFonts w:hint="eastAsia" w:ascii="仿宋_GB2312" w:hAnsi="仿宋_GB2312" w:eastAsia="仿宋_GB2312" w:cs="仿宋_GB2312"/>
                    </w:rPr>
                  </w:pPr>
                </w:p>
              </w:tc>
              <w:tc>
                <w:tcPr>
                  <w:tcW w:w="1416" w:type="pct"/>
                </w:tcPr>
                <w:p w14:paraId="770BCC93">
                  <w:pPr>
                    <w:pStyle w:val="6"/>
                    <w:rPr>
                      <w:rFonts w:hint="eastAsia" w:ascii="仿宋_GB2312" w:hAnsi="仿宋_GB2312" w:eastAsia="仿宋_GB2312" w:cs="仿宋_GB2312"/>
                    </w:rPr>
                  </w:pPr>
                  <w:r>
                    <w:rPr>
                      <w:rFonts w:hint="eastAsia" w:ascii="仿宋_GB2312" w:hAnsi="仿宋_GB2312" w:eastAsia="仿宋_GB2312" w:cs="仿宋_GB2312"/>
                    </w:rPr>
                    <w:t>备品备件备机库</w:t>
                  </w:r>
                </w:p>
              </w:tc>
              <w:tc>
                <w:tcPr>
                  <w:tcW w:w="1686" w:type="pct"/>
                </w:tcPr>
                <w:p w14:paraId="695EC597">
                  <w:pPr>
                    <w:pStyle w:val="6"/>
                    <w:rPr>
                      <w:rFonts w:hint="eastAsia" w:ascii="仿宋_GB2312" w:hAnsi="仿宋_GB2312" w:eastAsia="仿宋_GB2312" w:cs="仿宋_GB2312"/>
                    </w:rPr>
                  </w:pPr>
                  <w:r>
                    <w:rPr>
                      <w:rFonts w:hint="eastAsia" w:ascii="仿宋_GB2312" w:hAnsi="仿宋_GB2312" w:eastAsia="仿宋_GB2312" w:cs="仿宋_GB2312"/>
                    </w:rPr>
                    <w:t>至少1个</w:t>
                  </w:r>
                </w:p>
              </w:tc>
              <w:tc>
                <w:tcPr>
                  <w:tcW w:w="1413" w:type="pct"/>
                </w:tcPr>
                <w:p w14:paraId="17A5D0AF">
                  <w:pPr>
                    <w:pStyle w:val="6"/>
                    <w:rPr>
                      <w:rFonts w:hint="eastAsia" w:ascii="仿宋_GB2312" w:hAnsi="仿宋_GB2312" w:eastAsia="仿宋_GB2312" w:cs="仿宋_GB2312"/>
                    </w:rPr>
                  </w:pPr>
                </w:p>
              </w:tc>
            </w:tr>
          </w:tbl>
          <w:p w14:paraId="4502BCCF">
            <w:pPr>
              <w:pStyle w:val="6"/>
              <w:rPr>
                <w:rFonts w:hint="eastAsia" w:ascii="仿宋_GB2312" w:hAnsi="仿宋_GB2312" w:eastAsia="仿宋_GB2312" w:cs="仿宋_GB2312"/>
              </w:rPr>
            </w:pPr>
            <w:r>
              <w:rPr>
                <w:rFonts w:hint="eastAsia" w:ascii="仿宋_GB2312" w:hAnsi="仿宋_GB2312" w:eastAsia="仿宋_GB2312" w:cs="仿宋_GB2312"/>
              </w:rPr>
              <w:t>5.1 人员要求</w:t>
            </w:r>
          </w:p>
          <w:p w14:paraId="461431C8">
            <w:pPr>
              <w:pStyle w:val="6"/>
              <w:rPr>
                <w:rFonts w:hint="eastAsia" w:ascii="仿宋_GB2312" w:hAnsi="仿宋_GB2312" w:eastAsia="仿宋_GB2312" w:cs="仿宋_GB2312"/>
              </w:rPr>
            </w:pPr>
            <w:r>
              <w:rPr>
                <w:rFonts w:hint="eastAsia" w:ascii="仿宋_GB2312" w:hAnsi="仿宋_GB2312" w:eastAsia="仿宋_GB2312" w:cs="仿宋_GB2312"/>
              </w:rPr>
              <w:t>5.1.1投标人应根据招标文件中的工作内容要求，在投标文件中详细列出参加本项目的人员及人员分工说明（包括项目负责人、技术负责人、质量负责人、数据审核负责人、报告编制负责人、片区负责人、驻站人员、现场运维人员等）；</w:t>
            </w:r>
          </w:p>
          <w:p w14:paraId="100FC119">
            <w:pPr>
              <w:pStyle w:val="6"/>
              <w:rPr>
                <w:rFonts w:hint="eastAsia" w:ascii="仿宋_GB2312" w:hAnsi="仿宋_GB2312" w:eastAsia="仿宋_GB2312" w:cs="仿宋_GB2312"/>
              </w:rPr>
            </w:pPr>
            <w:r>
              <w:rPr>
                <w:rFonts w:hint="eastAsia" w:ascii="仿宋_GB2312" w:hAnsi="仿宋_GB2312" w:eastAsia="仿宋_GB2312" w:cs="仿宋_GB2312"/>
              </w:rPr>
              <w:t>5.1.2投标人设项目负责人1名、技术负责人1名、质量负责人1名、数据审核负责人1名、报告编制负责人1名、驻站人员1名和现场运维人员多名。特征参数仪器专人维护，或常规参数运维人员具备特征参数运维能力。投标人中标后3个月内应具备地表水水质采样能力。</w:t>
            </w:r>
          </w:p>
          <w:p w14:paraId="2FCDFF83">
            <w:pPr>
              <w:pStyle w:val="6"/>
              <w:rPr>
                <w:rFonts w:hint="eastAsia" w:ascii="仿宋_GB2312" w:hAnsi="仿宋_GB2312" w:eastAsia="仿宋_GB2312" w:cs="仿宋_GB2312"/>
              </w:rPr>
            </w:pPr>
            <w:r>
              <w:rPr>
                <w:rFonts w:hint="eastAsia" w:ascii="仿宋_GB2312" w:hAnsi="仿宋_GB2312" w:eastAsia="仿宋_GB2312" w:cs="仿宋_GB2312"/>
              </w:rPr>
              <w:t>5.1.3投标人在驻地办事处设置片区负责人1名。</w:t>
            </w:r>
          </w:p>
          <w:p w14:paraId="352F4C61">
            <w:pPr>
              <w:pStyle w:val="6"/>
              <w:rPr>
                <w:rFonts w:hint="eastAsia" w:ascii="仿宋_GB2312" w:hAnsi="仿宋_GB2312" w:eastAsia="仿宋_GB2312" w:cs="仿宋_GB2312"/>
              </w:rPr>
            </w:pPr>
            <w:r>
              <w:rPr>
                <w:rFonts w:hint="eastAsia" w:ascii="仿宋_GB2312" w:hAnsi="仿宋_GB2312" w:eastAsia="仿宋_GB2312" w:cs="仿宋_GB2312"/>
              </w:rPr>
              <w:t>5.1.4该项目投标人现场运维人员数量与自动站数量比值应不低于1/2。</w:t>
            </w:r>
          </w:p>
          <w:p w14:paraId="26C27FEF">
            <w:pPr>
              <w:pStyle w:val="6"/>
              <w:rPr>
                <w:rFonts w:hint="eastAsia" w:ascii="仿宋_GB2312" w:hAnsi="仿宋_GB2312" w:eastAsia="仿宋_GB2312" w:cs="仿宋_GB2312"/>
              </w:rPr>
            </w:pPr>
            <w:r>
              <w:rPr>
                <w:rFonts w:hint="eastAsia" w:ascii="仿宋_GB2312" w:hAnsi="仿宋_GB2312" w:eastAsia="仿宋_GB2312" w:cs="仿宋_GB2312"/>
              </w:rPr>
              <w:t>5.1.5服务期内中标单位参与项目的技术人员接受采购人考核，项目负责人、技术负责人和质量负责人未经采购人允许，不得更换。</w:t>
            </w:r>
          </w:p>
          <w:p w14:paraId="6F41839B">
            <w:pPr>
              <w:pStyle w:val="6"/>
              <w:rPr>
                <w:rFonts w:hint="eastAsia" w:ascii="仿宋_GB2312" w:hAnsi="仿宋_GB2312" w:eastAsia="仿宋_GB2312" w:cs="仿宋_GB2312"/>
              </w:rPr>
            </w:pPr>
            <w:r>
              <w:rPr>
                <w:rFonts w:hint="eastAsia" w:ascii="仿宋_GB2312" w:hAnsi="仿宋_GB2312" w:eastAsia="仿宋_GB2312" w:cs="仿宋_GB2312"/>
              </w:rPr>
              <w:t>5.1.6中标单位应保证现场运维人员的稳定性，现场运维人员主动离职率不得超过30%。</w:t>
            </w:r>
          </w:p>
          <w:p w14:paraId="3C1A39E4">
            <w:pPr>
              <w:pStyle w:val="6"/>
              <w:rPr>
                <w:rFonts w:hint="eastAsia" w:ascii="仿宋_GB2312" w:hAnsi="仿宋_GB2312" w:eastAsia="仿宋_GB2312" w:cs="仿宋_GB2312"/>
              </w:rPr>
            </w:pPr>
            <w:r>
              <w:rPr>
                <w:rFonts w:hint="eastAsia" w:ascii="仿宋_GB2312" w:hAnsi="仿宋_GB2312" w:eastAsia="仿宋_GB2312" w:cs="仿宋_GB2312"/>
              </w:rPr>
              <w:t>5.1.7为保证自动站仪器设备安全，对地处偏远的自动站应视情安排值守人员，并明确值守人员的岗位职责。</w:t>
            </w:r>
          </w:p>
          <w:p w14:paraId="0BE68F15">
            <w:pPr>
              <w:pStyle w:val="6"/>
              <w:rPr>
                <w:rFonts w:hint="eastAsia" w:ascii="仿宋_GB2312" w:hAnsi="仿宋_GB2312" w:eastAsia="仿宋_GB2312" w:cs="仿宋_GB2312"/>
              </w:rPr>
            </w:pPr>
            <w:r>
              <w:rPr>
                <w:rFonts w:hint="eastAsia" w:ascii="仿宋_GB2312" w:hAnsi="仿宋_GB2312" w:eastAsia="仿宋_GB2312" w:cs="仿宋_GB2312"/>
              </w:rPr>
              <w:t>5.1.8 中标单位征得采购人同意后可更换部分项目团队人员，更换人员应保证不低于所投人员资质。</w:t>
            </w:r>
          </w:p>
          <w:p w14:paraId="5B794B8C">
            <w:pPr>
              <w:pStyle w:val="6"/>
              <w:rPr>
                <w:rFonts w:hint="eastAsia" w:ascii="仿宋_GB2312" w:hAnsi="仿宋_GB2312" w:eastAsia="仿宋_GB2312" w:cs="仿宋_GB2312"/>
              </w:rPr>
            </w:pPr>
            <w:r>
              <w:rPr>
                <w:rFonts w:hint="eastAsia" w:ascii="仿宋_GB2312" w:hAnsi="仿宋_GB2312" w:eastAsia="仿宋_GB2312" w:cs="仿宋_GB2312"/>
              </w:rPr>
              <w:t>5.1.10关键岗位人员要求</w:t>
            </w:r>
          </w:p>
          <w:p w14:paraId="344C43E8">
            <w:pPr>
              <w:pStyle w:val="6"/>
              <w:rPr>
                <w:rFonts w:hint="eastAsia" w:ascii="仿宋_GB2312" w:hAnsi="仿宋_GB2312" w:eastAsia="仿宋_GB2312" w:cs="仿宋_GB2312"/>
              </w:rPr>
            </w:pPr>
            <w:r>
              <w:rPr>
                <w:rFonts w:hint="eastAsia" w:ascii="仿宋_GB2312" w:hAnsi="仿宋_GB2312" w:eastAsia="仿宋_GB2312" w:cs="仿宋_GB2312"/>
              </w:rPr>
              <w:t>（1）项目负责人是投标人在该项目上法定授权的第一负责人，全面负责自动站的运维工作，对运维过程中的所有工作和问题具有最终审批权和解释权。项目负责人应为公司高层管理人员，有5年及以上自动监测站运维项目管理经验，且项目负责人在项目期限内需专职投入本项目管理。</w:t>
            </w:r>
          </w:p>
          <w:p w14:paraId="0AD5F3DF">
            <w:pPr>
              <w:pStyle w:val="6"/>
              <w:rPr>
                <w:rFonts w:hint="eastAsia" w:ascii="仿宋_GB2312" w:hAnsi="仿宋_GB2312" w:eastAsia="仿宋_GB2312" w:cs="仿宋_GB2312"/>
              </w:rPr>
            </w:pPr>
            <w:r>
              <w:rPr>
                <w:rFonts w:hint="eastAsia" w:ascii="仿宋_GB2312" w:hAnsi="仿宋_GB2312" w:eastAsia="仿宋_GB2312" w:cs="仿宋_GB2312"/>
              </w:rPr>
              <w:t>（2）技术负责人全面负责投标人本项目技术管理，应熟练掌握自动监测领域的相关技术规范，能迅速领悟、宣贯和落实采购人提出的各项运维要求，熟悉内部业务管理流程，了解质量体系和质量管理要求；具有较强的自动站站运维统筹和管理能力；具备中级及以上技术职称，且有5年及以上自动监测站运维管理经验。</w:t>
            </w:r>
          </w:p>
          <w:p w14:paraId="36A1C984">
            <w:pPr>
              <w:pStyle w:val="6"/>
              <w:rPr>
                <w:rFonts w:hint="eastAsia" w:ascii="仿宋_GB2312" w:hAnsi="仿宋_GB2312" w:eastAsia="仿宋_GB2312" w:cs="仿宋_GB2312"/>
              </w:rPr>
            </w:pPr>
            <w:r>
              <w:rPr>
                <w:rFonts w:hint="eastAsia" w:ascii="仿宋_GB2312" w:hAnsi="仿宋_GB2312" w:eastAsia="仿宋_GB2312" w:cs="仿宋_GB2312"/>
              </w:rPr>
              <w:t>（3）质量负责人负责本项目质量控制管理，应熟悉项目质量控制体系和质量管理流程。保障自动站各项质控措施顺利开展的同时，做好项目运维各环节内部质控；具备中级及以上技术职称，且有5年及以上自动监测站运维管理经验。</w:t>
            </w:r>
          </w:p>
          <w:p w14:paraId="28650263">
            <w:pPr>
              <w:pStyle w:val="6"/>
              <w:rPr>
                <w:rFonts w:hint="eastAsia" w:ascii="仿宋_GB2312" w:hAnsi="仿宋_GB2312" w:eastAsia="仿宋_GB2312" w:cs="仿宋_GB2312"/>
              </w:rPr>
            </w:pPr>
            <w:r>
              <w:rPr>
                <w:rFonts w:hint="eastAsia" w:ascii="仿宋_GB2312" w:hAnsi="仿宋_GB2312" w:eastAsia="仿宋_GB2312" w:cs="仿宋_GB2312"/>
              </w:rPr>
              <w:t>（4）现场运维人员需熟悉自动站运维操作流程，了解相关技术规范，具有高等专科及以上学历，具备较强的学习能力和动手能力，工作中能有效落实各项技术管理规范要求，有一定的自动监测站运维经验。</w:t>
            </w:r>
          </w:p>
          <w:p w14:paraId="3C0FCAC5">
            <w:pPr>
              <w:pStyle w:val="6"/>
              <w:rPr>
                <w:rFonts w:hint="eastAsia" w:ascii="仿宋_GB2312" w:hAnsi="仿宋_GB2312" w:eastAsia="仿宋_GB2312" w:cs="仿宋_GB2312"/>
              </w:rPr>
            </w:pPr>
            <w:r>
              <w:rPr>
                <w:rFonts w:hint="eastAsia" w:ascii="仿宋_GB2312" w:hAnsi="仿宋_GB2312" w:eastAsia="仿宋_GB2312" w:cs="仿宋_GB2312"/>
              </w:rPr>
              <w:t>（5）投标人应承诺提供1名经过采购人考核并认可的驻站人员，均有1年及以上自动监测站运维或数据审核经验。驻站人员负责中标方和采购人的业务沟通交流，配合采购人开展实时数据审核、现场运维调度管理、月度数据会商、数据结转入库等与项目执行相关的工作。需熟练掌握本项目的相关要求和技术规范，具有较强的领悟和沟通能力，在工作中与中标方有较高的沟通效率。</w:t>
            </w:r>
          </w:p>
          <w:p w14:paraId="5EC2D86D">
            <w:pPr>
              <w:pStyle w:val="6"/>
              <w:rPr>
                <w:rFonts w:hint="eastAsia" w:ascii="仿宋_GB2312" w:hAnsi="仿宋_GB2312" w:eastAsia="仿宋_GB2312" w:cs="仿宋_GB2312"/>
              </w:rPr>
            </w:pPr>
            <w:r>
              <w:rPr>
                <w:rFonts w:hint="eastAsia" w:ascii="仿宋_GB2312" w:hAnsi="仿宋_GB2312" w:eastAsia="仿宋_GB2312" w:cs="仿宋_GB2312"/>
              </w:rPr>
              <w:t>（6）项目负责人、技术负责人、质量负责人在本项目中不得兼任。</w:t>
            </w:r>
          </w:p>
          <w:p w14:paraId="4F67C6B7">
            <w:pPr>
              <w:pStyle w:val="6"/>
              <w:rPr>
                <w:rFonts w:hint="eastAsia" w:ascii="仿宋_GB2312" w:hAnsi="仿宋_GB2312" w:eastAsia="仿宋_GB2312" w:cs="仿宋_GB2312"/>
              </w:rPr>
            </w:pPr>
            <w:r>
              <w:rPr>
                <w:rFonts w:hint="eastAsia" w:ascii="仿宋_GB2312" w:hAnsi="仿宋_GB2312" w:eastAsia="仿宋_GB2312" w:cs="仿宋_GB2312"/>
              </w:rPr>
              <w:t>（7）中标单位须制定运维人员技术培训计划，定期组织运维人员技术培训，宣贯、落实自动站运维管理相关要求。中标单位相关人员须参加采购人组织的技术培训以及运维质量的监督检查，接受采购人或其委托相关机构的监管和考核。</w:t>
            </w:r>
          </w:p>
          <w:p w14:paraId="5C322476">
            <w:pPr>
              <w:pStyle w:val="6"/>
              <w:rPr>
                <w:rFonts w:hint="eastAsia" w:ascii="仿宋_GB2312" w:hAnsi="仿宋_GB2312" w:eastAsia="仿宋_GB2312" w:cs="仿宋_GB2312"/>
              </w:rPr>
            </w:pPr>
            <w:r>
              <w:rPr>
                <w:rFonts w:hint="eastAsia" w:ascii="仿宋_GB2312" w:hAnsi="仿宋_GB2312" w:eastAsia="仿宋_GB2312" w:cs="仿宋_GB2312"/>
              </w:rPr>
              <w:t>5.1.11人员相关资料要求</w:t>
            </w:r>
          </w:p>
          <w:p w14:paraId="32BC7090">
            <w:pPr>
              <w:pStyle w:val="6"/>
              <w:rPr>
                <w:rFonts w:hint="eastAsia" w:ascii="仿宋_GB2312" w:hAnsi="仿宋_GB2312" w:eastAsia="仿宋_GB2312" w:cs="仿宋_GB2312"/>
              </w:rPr>
            </w:pPr>
            <w:r>
              <w:rPr>
                <w:rFonts w:hint="eastAsia" w:ascii="仿宋_GB2312" w:hAnsi="仿宋_GB2312" w:eastAsia="仿宋_GB2312" w:cs="仿宋_GB2312"/>
              </w:rPr>
              <w:t>投标人需提供所有技术人员身份证信息，学历、工作履历证明，以及在本单位近6个月内任意一个月的社保缴费记录。</w:t>
            </w:r>
          </w:p>
          <w:p w14:paraId="69137C85">
            <w:pPr>
              <w:pStyle w:val="6"/>
              <w:rPr>
                <w:rFonts w:hint="eastAsia" w:ascii="仿宋_GB2312" w:hAnsi="仿宋_GB2312" w:eastAsia="仿宋_GB2312" w:cs="仿宋_GB2312"/>
              </w:rPr>
            </w:pPr>
            <w:r>
              <w:rPr>
                <w:rFonts w:hint="eastAsia" w:ascii="仿宋_GB2312" w:hAnsi="仿宋_GB2312" w:eastAsia="仿宋_GB2312" w:cs="仿宋_GB2312"/>
              </w:rPr>
              <w:t>投标人提供的运维人员关键信息与核验结果不符，存在弄虚作假行为的，依据《中华人民共和国政府采购法》处置。</w:t>
            </w:r>
          </w:p>
          <w:p w14:paraId="51718669">
            <w:pPr>
              <w:pStyle w:val="6"/>
              <w:rPr>
                <w:rFonts w:hint="eastAsia" w:ascii="仿宋_GB2312" w:hAnsi="仿宋_GB2312" w:eastAsia="仿宋_GB2312" w:cs="仿宋_GB2312"/>
              </w:rPr>
            </w:pPr>
            <w:r>
              <w:rPr>
                <w:rFonts w:hint="eastAsia" w:ascii="仿宋_GB2312" w:hAnsi="仿宋_GB2312" w:eastAsia="仿宋_GB2312" w:cs="仿宋_GB2312"/>
              </w:rPr>
              <w:t>5.2 自动站运维保障要求</w:t>
            </w:r>
          </w:p>
          <w:p w14:paraId="25E4AF0A">
            <w:pPr>
              <w:pStyle w:val="6"/>
              <w:rPr>
                <w:rFonts w:hint="eastAsia" w:ascii="仿宋_GB2312" w:hAnsi="仿宋_GB2312" w:eastAsia="仿宋_GB2312" w:cs="仿宋_GB2312"/>
              </w:rPr>
            </w:pPr>
            <w:r>
              <w:rPr>
                <w:rFonts w:hint="eastAsia" w:ascii="仿宋_GB2312" w:hAnsi="仿宋_GB2312" w:eastAsia="仿宋_GB2312" w:cs="仿宋_GB2312"/>
              </w:rPr>
              <w:t>5.2.1运维车辆要求</w:t>
            </w:r>
          </w:p>
          <w:p w14:paraId="40E8D613">
            <w:pPr>
              <w:pStyle w:val="6"/>
              <w:rPr>
                <w:rFonts w:hint="eastAsia" w:ascii="仿宋_GB2312" w:hAnsi="仿宋_GB2312" w:eastAsia="仿宋_GB2312" w:cs="仿宋_GB2312"/>
              </w:rPr>
            </w:pPr>
            <w:r>
              <w:rPr>
                <w:rFonts w:hint="eastAsia" w:ascii="仿宋_GB2312" w:hAnsi="仿宋_GB2312" w:eastAsia="仿宋_GB2312" w:cs="仿宋_GB2312"/>
              </w:rPr>
              <w:t>每4个自动站至少配备1辆满足自动站运维要求的运维车辆。</w:t>
            </w:r>
          </w:p>
          <w:p w14:paraId="530A0F1F">
            <w:pPr>
              <w:pStyle w:val="6"/>
              <w:rPr>
                <w:rFonts w:hint="eastAsia" w:ascii="仿宋_GB2312" w:hAnsi="仿宋_GB2312" w:eastAsia="仿宋_GB2312" w:cs="仿宋_GB2312"/>
              </w:rPr>
            </w:pPr>
            <w:r>
              <w:rPr>
                <w:rFonts w:hint="eastAsia" w:ascii="仿宋_GB2312" w:hAnsi="仿宋_GB2312" w:eastAsia="仿宋_GB2312" w:cs="仿宋_GB2312"/>
              </w:rPr>
              <w:t>5.2.2 CMA资质检测机构要求</w:t>
            </w:r>
          </w:p>
          <w:p w14:paraId="34B43E3F">
            <w:pPr>
              <w:pStyle w:val="6"/>
              <w:rPr>
                <w:rFonts w:hint="eastAsia" w:ascii="仿宋_GB2312" w:hAnsi="仿宋_GB2312" w:eastAsia="仿宋_GB2312" w:cs="仿宋_GB2312"/>
              </w:rPr>
            </w:pPr>
            <w:r>
              <w:rPr>
                <w:rFonts w:hint="eastAsia" w:ascii="仿宋_GB2312" w:hAnsi="仿宋_GB2312" w:eastAsia="仿宋_GB2312" w:cs="仿宋_GB2312"/>
              </w:rPr>
              <w:t>（1）为满足自动站日常运行和质控要求，投标人或其直接持股超过50%的公司需具有CMA资质的检测机构或有协议合作的CMA资质的检测机构。</w:t>
            </w:r>
          </w:p>
          <w:p w14:paraId="53FAF1AD">
            <w:pPr>
              <w:pStyle w:val="6"/>
              <w:rPr>
                <w:rFonts w:hint="eastAsia" w:ascii="仿宋_GB2312" w:hAnsi="仿宋_GB2312" w:eastAsia="仿宋_GB2312" w:cs="仿宋_GB2312"/>
              </w:rPr>
            </w:pPr>
            <w:r>
              <w:rPr>
                <w:rFonts w:hint="eastAsia" w:ascii="仿宋_GB2312" w:hAnsi="仿宋_GB2312" w:eastAsia="仿宋_GB2312" w:cs="仿宋_GB2312"/>
              </w:rPr>
              <w:t>（2）在项目实施区域内，投标人或其直接持股超过50%的公司应具有CMA资质的检测机构或有协议合作的CMA资质的检测机构。如无，则应出具书面承诺，承诺中标后一年内在所中实现上述要求。（投标人须出具承诺函）</w:t>
            </w:r>
          </w:p>
          <w:p w14:paraId="4AA0FF8C">
            <w:pPr>
              <w:pStyle w:val="6"/>
              <w:rPr>
                <w:rFonts w:hint="eastAsia" w:ascii="仿宋_GB2312" w:hAnsi="仿宋_GB2312" w:eastAsia="仿宋_GB2312" w:cs="仿宋_GB2312"/>
              </w:rPr>
            </w:pPr>
            <w:r>
              <w:rPr>
                <w:rFonts w:hint="eastAsia" w:ascii="仿宋_GB2312" w:hAnsi="仿宋_GB2312" w:eastAsia="仿宋_GB2312" w:cs="仿宋_GB2312"/>
              </w:rPr>
              <w:t>（3）上述CMA资质检测机构的资质认定范围应至少覆盖水质常规五参数（水温、pH值、电导率、浊度、溶解氧）、氨氮、总氮、总磷及部分特征指标。</w:t>
            </w:r>
          </w:p>
          <w:p w14:paraId="10931295">
            <w:pPr>
              <w:pStyle w:val="6"/>
              <w:rPr>
                <w:rFonts w:hint="eastAsia" w:ascii="仿宋_GB2312" w:hAnsi="仿宋_GB2312" w:eastAsia="仿宋_GB2312" w:cs="仿宋_GB2312"/>
              </w:rPr>
            </w:pPr>
            <w:r>
              <w:rPr>
                <w:rFonts w:hint="eastAsia" w:ascii="仿宋_GB2312" w:hAnsi="仿宋_GB2312" w:eastAsia="仿宋_GB2312" w:cs="仿宋_GB2312"/>
              </w:rPr>
              <w:t>（4）CMA资质检测机构须服从采购人统一调度管理，承担水样比对、试剂和标准样品配制、应急监测、补充监测等工作。（投标人须出具承诺函）</w:t>
            </w:r>
          </w:p>
          <w:p w14:paraId="75D5A849">
            <w:pPr>
              <w:pStyle w:val="6"/>
              <w:rPr>
                <w:rFonts w:hint="eastAsia" w:ascii="仿宋_GB2312" w:hAnsi="仿宋_GB2312" w:eastAsia="仿宋_GB2312" w:cs="仿宋_GB2312"/>
              </w:rPr>
            </w:pPr>
            <w:r>
              <w:rPr>
                <w:rFonts w:hint="eastAsia" w:ascii="仿宋_GB2312" w:hAnsi="仿宋_GB2312" w:eastAsia="仿宋_GB2312" w:cs="仿宋_GB2312"/>
              </w:rPr>
              <w:t>5.2.3移动监测车要求</w:t>
            </w:r>
          </w:p>
          <w:p w14:paraId="1717B736">
            <w:pPr>
              <w:pStyle w:val="6"/>
              <w:rPr>
                <w:rFonts w:hint="eastAsia" w:ascii="仿宋_GB2312" w:hAnsi="仿宋_GB2312" w:eastAsia="仿宋_GB2312" w:cs="仿宋_GB2312"/>
              </w:rPr>
            </w:pPr>
            <w:r>
              <w:rPr>
                <w:rFonts w:hint="eastAsia" w:ascii="仿宋_GB2312" w:hAnsi="仿宋_GB2312" w:eastAsia="仿宋_GB2312" w:cs="仿宋_GB2312"/>
              </w:rPr>
              <w:t>本项目至少配置一台移动监测车，移动监测车内至少应配备采样及前处理设备、水温、pH值、溶解氧、电导率、浊度、氨氮、总磷、总氮分析仪、控制系统等自动监测仪器设备，可替代自动站开展连续监测，并可按自动站数据传输协议将监测数据上传平台。移动监测车须服从采购人统一调度，承担应急监测、补充监测等工作。</w:t>
            </w:r>
          </w:p>
          <w:p w14:paraId="743CC813">
            <w:pPr>
              <w:pStyle w:val="6"/>
              <w:rPr>
                <w:rFonts w:hint="eastAsia" w:ascii="仿宋_GB2312" w:hAnsi="仿宋_GB2312" w:eastAsia="仿宋_GB2312" w:cs="仿宋_GB2312"/>
              </w:rPr>
            </w:pPr>
            <w:r>
              <w:rPr>
                <w:rFonts w:hint="eastAsia" w:ascii="仿宋_GB2312" w:hAnsi="仿宋_GB2312" w:eastAsia="仿宋_GB2312" w:cs="仿宋_GB2312"/>
              </w:rPr>
              <w:t>5.2.4便携仪器设备要求</w:t>
            </w:r>
          </w:p>
          <w:p w14:paraId="7DF30A72">
            <w:pPr>
              <w:pStyle w:val="6"/>
              <w:rPr>
                <w:rFonts w:hint="eastAsia" w:ascii="仿宋_GB2312" w:hAnsi="仿宋_GB2312" w:eastAsia="仿宋_GB2312" w:cs="仿宋_GB2312"/>
              </w:rPr>
            </w:pPr>
            <w:r>
              <w:rPr>
                <w:rFonts w:hint="eastAsia" w:ascii="仿宋_GB2312" w:hAnsi="仿宋_GB2312" w:eastAsia="仿宋_GB2312" w:cs="仿宋_GB2312"/>
              </w:rPr>
              <w:t>每2个自动站至少配备一套便携五参数（水温、pH值、溶解氧、电导率和浊度）监测设备，溶解氧便携监测设备应满足原位监测要求。便携五参数设备性能应符合行业标准要求并通过计量检定/校准。</w:t>
            </w:r>
          </w:p>
          <w:p w14:paraId="554389A4">
            <w:pPr>
              <w:pStyle w:val="6"/>
              <w:rPr>
                <w:rFonts w:hint="eastAsia" w:ascii="仿宋_GB2312" w:hAnsi="仿宋_GB2312" w:eastAsia="仿宋_GB2312" w:cs="仿宋_GB2312"/>
              </w:rPr>
            </w:pPr>
            <w:r>
              <w:rPr>
                <w:rFonts w:hint="eastAsia" w:ascii="仿宋_GB2312" w:hAnsi="仿宋_GB2312" w:eastAsia="仿宋_GB2312" w:cs="仿宋_GB2312"/>
              </w:rPr>
              <w:t>5.2.5备品备件备机要求（投标人须出具承诺函）</w:t>
            </w:r>
          </w:p>
          <w:p w14:paraId="266D3C86">
            <w:pPr>
              <w:pStyle w:val="6"/>
              <w:rPr>
                <w:rFonts w:hint="eastAsia" w:ascii="仿宋_GB2312" w:hAnsi="仿宋_GB2312" w:eastAsia="仿宋_GB2312" w:cs="仿宋_GB2312"/>
              </w:rPr>
            </w:pPr>
            <w:r>
              <w:rPr>
                <w:rFonts w:hint="eastAsia" w:ascii="仿宋_GB2312" w:hAnsi="仿宋_GB2312" w:eastAsia="仿宋_GB2312" w:cs="仿宋_GB2312"/>
              </w:rPr>
              <w:t>应按照常规参数仪器数量配备备机，每8台仪器应配备不少于1台的备机，不足8台按8台仪器配置备机。备机性能及功能应满足相关技术规范要求和管理需求。备机均应通过生态环境部环境监测仪器质量监督检验中心的适用性检测，具有生态环境部环境监测仪器质量监督检验中心出具的在有效期内的检测合格报告。</w:t>
            </w:r>
          </w:p>
          <w:p w14:paraId="6EA1D388">
            <w:pPr>
              <w:pStyle w:val="6"/>
              <w:rPr>
                <w:rFonts w:hint="eastAsia" w:ascii="仿宋_GB2312" w:hAnsi="仿宋_GB2312" w:eastAsia="仿宋_GB2312" w:cs="仿宋_GB2312"/>
              </w:rPr>
            </w:pPr>
            <w:r>
              <w:rPr>
                <w:rFonts w:hint="eastAsia" w:ascii="仿宋_GB2312" w:hAnsi="仿宋_GB2312" w:eastAsia="仿宋_GB2312" w:cs="仿宋_GB2312"/>
              </w:rPr>
              <w:t>中标单位应在采购人指定地点按采购人要求开展备机性能和功能测试，并承担相关费用。</w:t>
            </w:r>
          </w:p>
          <w:p w14:paraId="4D4DB4D9">
            <w:pPr>
              <w:pStyle w:val="6"/>
              <w:rPr>
                <w:rFonts w:hint="eastAsia" w:ascii="仿宋_GB2312" w:hAnsi="仿宋_GB2312" w:eastAsia="仿宋_GB2312" w:cs="仿宋_GB2312"/>
              </w:rPr>
            </w:pPr>
            <w:r>
              <w:rPr>
                <w:rFonts w:hint="eastAsia" w:ascii="仿宋_GB2312" w:hAnsi="仿宋_GB2312" w:eastAsia="仿宋_GB2312" w:cs="仿宋_GB2312"/>
              </w:rPr>
              <w:t>备品备件数量、质量应满足项目中相关自动站仪器设备维修保养需求。建立备品备件台账，实现动态管理。</w:t>
            </w:r>
          </w:p>
          <w:p w14:paraId="68A9343A">
            <w:pPr>
              <w:pStyle w:val="6"/>
              <w:rPr>
                <w:rFonts w:hint="eastAsia" w:ascii="仿宋_GB2312" w:hAnsi="仿宋_GB2312" w:eastAsia="仿宋_GB2312" w:cs="仿宋_GB2312"/>
              </w:rPr>
            </w:pPr>
            <w:r>
              <w:rPr>
                <w:rFonts w:hint="eastAsia" w:ascii="仿宋_GB2312" w:hAnsi="仿宋_GB2312" w:eastAsia="仿宋_GB2312" w:cs="仿宋_GB2312"/>
              </w:rPr>
              <w:t>本项目应建立不少于1个备品备件备机库，并保证库房环境条件满足仪器设备及备品备件存放要求。备品备件备机库可设立在驻地办事处内。</w:t>
            </w:r>
          </w:p>
          <w:p w14:paraId="10DD1442">
            <w:pPr>
              <w:pStyle w:val="6"/>
              <w:rPr>
                <w:rFonts w:hint="eastAsia" w:ascii="仿宋_GB2312" w:hAnsi="仿宋_GB2312" w:eastAsia="仿宋_GB2312" w:cs="仿宋_GB2312"/>
              </w:rPr>
            </w:pPr>
            <w:r>
              <w:rPr>
                <w:rFonts w:hint="eastAsia" w:ascii="仿宋_GB2312" w:hAnsi="仿宋_GB2312" w:eastAsia="仿宋_GB2312" w:cs="仿宋_GB2312"/>
              </w:rPr>
              <w:t>5.2.6执法记录仪要求</w:t>
            </w:r>
          </w:p>
          <w:p w14:paraId="462B1031">
            <w:pPr>
              <w:pStyle w:val="6"/>
              <w:rPr>
                <w:rFonts w:hint="eastAsia" w:ascii="仿宋_GB2312" w:hAnsi="仿宋_GB2312" w:eastAsia="仿宋_GB2312" w:cs="仿宋_GB2312"/>
              </w:rPr>
            </w:pPr>
            <w:r>
              <w:rPr>
                <w:rFonts w:hint="eastAsia" w:ascii="仿宋_GB2312" w:hAnsi="仿宋_GB2312" w:eastAsia="仿宋_GB2312" w:cs="仿宋_GB2312"/>
              </w:rPr>
              <w:t>每位现场运维人员须配备一台执法记录仪，满足自动站运维过程中质控、应急等关键环节的视频记录和存储需求，并保存相关视频一年以上备查。</w:t>
            </w:r>
          </w:p>
          <w:p w14:paraId="53072CBA">
            <w:pPr>
              <w:pStyle w:val="6"/>
              <w:rPr>
                <w:rFonts w:hint="eastAsia" w:ascii="仿宋_GB2312" w:hAnsi="仿宋_GB2312" w:eastAsia="仿宋_GB2312" w:cs="仿宋_GB2312"/>
              </w:rPr>
            </w:pPr>
            <w:r>
              <w:rPr>
                <w:rFonts w:hint="eastAsia" w:ascii="仿宋_GB2312" w:hAnsi="仿宋_GB2312" w:eastAsia="仿宋_GB2312" w:cs="仿宋_GB2312"/>
              </w:rPr>
              <w:t>5.2.7试剂要求</w:t>
            </w:r>
          </w:p>
          <w:p w14:paraId="049804BD">
            <w:pPr>
              <w:pStyle w:val="6"/>
              <w:rPr>
                <w:rFonts w:hint="eastAsia" w:ascii="仿宋_GB2312" w:hAnsi="仿宋_GB2312" w:eastAsia="仿宋_GB2312" w:cs="仿宋_GB2312"/>
              </w:rPr>
            </w:pPr>
            <w:r>
              <w:rPr>
                <w:rFonts w:hint="eastAsia" w:ascii="仿宋_GB2312" w:hAnsi="仿宋_GB2312" w:eastAsia="仿宋_GB2312" w:cs="仿宋_GB2312"/>
              </w:rPr>
              <w:t>（1）自动站使用试剂的纯度需分析纯（AR）以上，标准溶液的试剂纯度应在优级纯（GR）以上。日常质控、核查工作应使用有证标准物质。中标单位应向采购人提交试剂配制及使用手册备查。</w:t>
            </w:r>
          </w:p>
          <w:p w14:paraId="7BAA70CD">
            <w:pPr>
              <w:pStyle w:val="6"/>
              <w:rPr>
                <w:rFonts w:hint="eastAsia" w:ascii="仿宋_GB2312" w:hAnsi="仿宋_GB2312" w:eastAsia="仿宋_GB2312" w:cs="仿宋_GB2312"/>
              </w:rPr>
            </w:pPr>
            <w:r>
              <w:rPr>
                <w:rFonts w:hint="eastAsia" w:ascii="仿宋_GB2312" w:hAnsi="仿宋_GB2312" w:eastAsia="仿宋_GB2312" w:cs="仿宋_GB2312"/>
              </w:rPr>
              <w:t>（2）中标单位应建立试剂管理制度，自动站运维试剂应由CMA检测机构配制，配制信息可溯源，采用专用试剂瓶盛装，贴有明确标识（包括试剂名称、标液浓度、配置人、配制时间、有效期），统一配送、抽检。并充分考虑高寒区域、边防区域试剂供给。</w:t>
            </w:r>
          </w:p>
          <w:p w14:paraId="738460C0">
            <w:pPr>
              <w:pStyle w:val="6"/>
              <w:rPr>
                <w:rFonts w:hint="eastAsia" w:ascii="仿宋_GB2312" w:hAnsi="仿宋_GB2312" w:eastAsia="仿宋_GB2312" w:cs="仿宋_GB2312"/>
              </w:rPr>
            </w:pPr>
            <w:r>
              <w:rPr>
                <w:rFonts w:hint="eastAsia" w:ascii="仿宋_GB2312" w:hAnsi="仿宋_GB2312" w:eastAsia="仿宋_GB2312" w:cs="仿宋_GB2312"/>
              </w:rPr>
              <w:t>（3）中标单位应建立试剂管理台账，对试剂配制记录、配送记录以及更换和使用记录进行动态管理，确保试剂、有证标准物质使用信息可溯源。</w:t>
            </w:r>
          </w:p>
          <w:p w14:paraId="434B148E">
            <w:pPr>
              <w:pStyle w:val="6"/>
              <w:rPr>
                <w:rFonts w:hint="eastAsia" w:ascii="仿宋_GB2312" w:hAnsi="仿宋_GB2312" w:eastAsia="仿宋_GB2312" w:cs="仿宋_GB2312"/>
              </w:rPr>
            </w:pPr>
            <w:r>
              <w:rPr>
                <w:rFonts w:hint="eastAsia" w:ascii="仿宋_GB2312" w:hAnsi="仿宋_GB2312" w:eastAsia="仿宋_GB2312" w:cs="仿宋_GB2312"/>
              </w:rPr>
              <w:t>5.2.8废液收集要求</w:t>
            </w:r>
          </w:p>
          <w:p w14:paraId="51C4C9E2">
            <w:pPr>
              <w:pStyle w:val="6"/>
              <w:rPr>
                <w:rFonts w:hint="eastAsia" w:ascii="仿宋_GB2312" w:hAnsi="仿宋_GB2312" w:eastAsia="仿宋_GB2312" w:cs="仿宋_GB2312"/>
              </w:rPr>
            </w:pPr>
            <w:r>
              <w:rPr>
                <w:rFonts w:hint="eastAsia" w:ascii="仿宋_GB2312" w:hAnsi="仿宋_GB2312" w:eastAsia="仿宋_GB2312" w:cs="仿宋_GB2312"/>
              </w:rPr>
              <w:t>中标单位对自动站产生的废液须按相关管理规定安全贮存处理。</w:t>
            </w:r>
          </w:p>
          <w:p w14:paraId="0DAC98A5">
            <w:pPr>
              <w:pStyle w:val="6"/>
              <w:rPr>
                <w:rFonts w:hint="eastAsia" w:ascii="仿宋_GB2312" w:hAnsi="仿宋_GB2312" w:eastAsia="仿宋_GB2312" w:cs="仿宋_GB2312"/>
              </w:rPr>
            </w:pPr>
            <w:r>
              <w:rPr>
                <w:rFonts w:hint="eastAsia" w:ascii="仿宋_GB2312" w:hAnsi="仿宋_GB2312" w:eastAsia="仿宋_GB2312" w:cs="仿宋_GB2312"/>
              </w:rPr>
              <w:t>5.2.9传输网络要求</w:t>
            </w:r>
          </w:p>
          <w:p w14:paraId="586421BD">
            <w:pPr>
              <w:pStyle w:val="6"/>
              <w:rPr>
                <w:rFonts w:hint="eastAsia" w:ascii="仿宋_GB2312" w:hAnsi="仿宋_GB2312" w:eastAsia="仿宋_GB2312" w:cs="仿宋_GB2312"/>
              </w:rPr>
            </w:pPr>
            <w:r>
              <w:rPr>
                <w:rFonts w:hint="eastAsia" w:ascii="仿宋_GB2312" w:hAnsi="仿宋_GB2312" w:eastAsia="仿宋_GB2312" w:cs="仿宋_GB2312"/>
              </w:rPr>
              <w:t>中标单位保障自动站监测数据联网和视频传输的网络条件，包括且不限于传输方式、网络带宽等。</w:t>
            </w:r>
          </w:p>
          <w:p w14:paraId="0B9FE5ED">
            <w:pPr>
              <w:pStyle w:val="6"/>
              <w:rPr>
                <w:rFonts w:hint="eastAsia" w:ascii="仿宋_GB2312" w:hAnsi="仿宋_GB2312" w:eastAsia="仿宋_GB2312" w:cs="仿宋_GB2312"/>
              </w:rPr>
            </w:pPr>
            <w:r>
              <w:rPr>
                <w:rFonts w:hint="eastAsia" w:ascii="仿宋_GB2312" w:hAnsi="仿宋_GB2312" w:eastAsia="仿宋_GB2312" w:cs="仿宋_GB2312"/>
              </w:rPr>
              <w:t>5.2.10维护物资要求</w:t>
            </w:r>
          </w:p>
          <w:p w14:paraId="384475FC">
            <w:pPr>
              <w:pStyle w:val="6"/>
              <w:rPr>
                <w:rFonts w:hint="eastAsia" w:ascii="仿宋_GB2312" w:hAnsi="仿宋_GB2312" w:eastAsia="仿宋_GB2312" w:cs="仿宋_GB2312"/>
              </w:rPr>
            </w:pPr>
            <w:r>
              <w:rPr>
                <w:rFonts w:hint="eastAsia" w:ascii="仿宋_GB2312" w:hAnsi="仿宋_GB2312" w:eastAsia="仿宋_GB2312" w:cs="仿宋_GB2312"/>
              </w:rPr>
              <w:t>每个自动站应按运维要求配备充足的维护工具和物资，满足自动站运维、调试和维修保养需求，单个自动站站准备的物资应不少于表5-2的要求。</w:t>
            </w:r>
          </w:p>
          <w:p w14:paraId="6D59EBEA">
            <w:pPr>
              <w:pStyle w:val="6"/>
              <w:jc w:val="center"/>
              <w:rPr>
                <w:rFonts w:hint="eastAsia" w:ascii="仿宋_GB2312" w:hAnsi="仿宋_GB2312" w:eastAsia="仿宋_GB2312" w:cs="仿宋_GB2312"/>
                <w:b/>
                <w:bCs/>
              </w:rPr>
            </w:pPr>
            <w:r>
              <w:rPr>
                <w:rFonts w:hint="eastAsia" w:ascii="仿宋_GB2312" w:hAnsi="仿宋_GB2312" w:eastAsia="仿宋_GB2312" w:cs="仿宋_GB2312"/>
                <w:b/>
                <w:bCs/>
              </w:rPr>
              <w:t>表5-2   单个自动站运维物资清单</w:t>
            </w:r>
          </w:p>
          <w:tbl>
            <w:tblPr>
              <w:tblStyle w:val="3"/>
              <w:tblW w:w="0" w:type="auto"/>
              <w:jc w:val="center"/>
              <w:tblLayout w:type="autofit"/>
              <w:tblCellMar>
                <w:top w:w="0" w:type="dxa"/>
                <w:left w:w="108" w:type="dxa"/>
                <w:bottom w:w="0" w:type="dxa"/>
                <w:right w:w="108" w:type="dxa"/>
              </w:tblCellMar>
            </w:tblPr>
            <w:tblGrid>
              <w:gridCol w:w="503"/>
              <w:gridCol w:w="851"/>
              <w:gridCol w:w="1773"/>
              <w:gridCol w:w="503"/>
              <w:gridCol w:w="2794"/>
            </w:tblGrid>
            <w:tr w14:paraId="1F55A407">
              <w:tblPrEx>
                <w:tblCellMar>
                  <w:top w:w="0" w:type="dxa"/>
                  <w:left w:w="108" w:type="dxa"/>
                  <w:bottom w:w="0" w:type="dxa"/>
                  <w:right w:w="108" w:type="dxa"/>
                </w:tblCellMar>
              </w:tblPrEx>
              <w:trPr>
                <w:trHeight w:val="329" w:hRule="atLeast"/>
                <w:tblHeader/>
                <w:jc w:val="center"/>
              </w:trPr>
              <w:tc>
                <w:tcPr>
                  <w:tcW w:w="0" w:type="auto"/>
                  <w:tcBorders>
                    <w:top w:val="single" w:color="000000" w:sz="4" w:space="0"/>
                    <w:left w:val="single" w:color="000000" w:sz="4" w:space="0"/>
                    <w:bottom w:val="single" w:color="000000" w:sz="4" w:space="0"/>
                    <w:right w:val="single" w:color="000000" w:sz="4" w:space="0"/>
                  </w:tcBorders>
                </w:tcPr>
                <w:p w14:paraId="44850AED">
                  <w:pPr>
                    <w:pStyle w:val="6"/>
                    <w:rPr>
                      <w:rFonts w:hint="eastAsia" w:ascii="仿宋_GB2312" w:hAnsi="仿宋_GB2312" w:eastAsia="仿宋_GB2312" w:cs="仿宋_GB2312"/>
                    </w:rPr>
                  </w:pPr>
                  <w:r>
                    <w:rPr>
                      <w:rFonts w:hint="eastAsia" w:ascii="仿宋_GB2312" w:hAnsi="仿宋_GB2312" w:eastAsia="仿宋_GB2312" w:cs="仿宋_GB2312"/>
                    </w:rPr>
                    <w:t>序号</w:t>
                  </w:r>
                </w:p>
              </w:tc>
              <w:tc>
                <w:tcPr>
                  <w:tcW w:w="0" w:type="auto"/>
                  <w:tcBorders>
                    <w:top w:val="single" w:color="000000" w:sz="4" w:space="0"/>
                    <w:left w:val="single" w:color="000000" w:sz="4" w:space="0"/>
                    <w:bottom w:val="single" w:color="000000" w:sz="4" w:space="0"/>
                    <w:right w:val="single" w:color="000000" w:sz="4" w:space="0"/>
                  </w:tcBorders>
                  <w:vAlign w:val="center"/>
                </w:tcPr>
                <w:p w14:paraId="2C03A612">
                  <w:pPr>
                    <w:pStyle w:val="6"/>
                    <w:rPr>
                      <w:rFonts w:hint="eastAsia" w:ascii="仿宋_GB2312" w:hAnsi="仿宋_GB2312" w:eastAsia="仿宋_GB2312" w:cs="仿宋_GB2312"/>
                    </w:rPr>
                  </w:pPr>
                  <w:r>
                    <w:rPr>
                      <w:rFonts w:hint="eastAsia" w:ascii="仿宋_GB2312" w:hAnsi="仿宋_GB2312" w:eastAsia="仿宋_GB2312" w:cs="仿宋_GB2312"/>
                    </w:rPr>
                    <w:t>类型</w:t>
                  </w:r>
                </w:p>
              </w:tc>
              <w:tc>
                <w:tcPr>
                  <w:tcW w:w="0" w:type="auto"/>
                  <w:tcBorders>
                    <w:top w:val="single" w:color="000000" w:sz="4" w:space="0"/>
                    <w:left w:val="single" w:color="000000" w:sz="4" w:space="0"/>
                    <w:bottom w:val="single" w:color="000000" w:sz="4" w:space="0"/>
                    <w:right w:val="single" w:color="000000" w:sz="4" w:space="0"/>
                  </w:tcBorders>
                  <w:vAlign w:val="center"/>
                </w:tcPr>
                <w:p w14:paraId="6CA9D33F">
                  <w:pPr>
                    <w:pStyle w:val="6"/>
                    <w:rPr>
                      <w:rFonts w:hint="eastAsia" w:ascii="仿宋_GB2312" w:hAnsi="仿宋_GB2312" w:eastAsia="仿宋_GB2312" w:cs="仿宋_GB2312"/>
                    </w:rPr>
                  </w:pPr>
                  <w:r>
                    <w:rPr>
                      <w:rFonts w:hint="eastAsia" w:ascii="仿宋_GB2312" w:hAnsi="仿宋_GB2312" w:eastAsia="仿宋_GB2312" w:cs="仿宋_GB2312"/>
                    </w:rPr>
                    <w:t>工具名称</w:t>
                  </w:r>
                </w:p>
              </w:tc>
              <w:tc>
                <w:tcPr>
                  <w:tcW w:w="0" w:type="auto"/>
                  <w:tcBorders>
                    <w:top w:val="single" w:color="000000" w:sz="4" w:space="0"/>
                    <w:left w:val="single" w:color="000000" w:sz="4" w:space="0"/>
                    <w:bottom w:val="single" w:color="000000" w:sz="4" w:space="0"/>
                    <w:right w:val="single" w:color="000000" w:sz="4" w:space="0"/>
                  </w:tcBorders>
                  <w:vAlign w:val="center"/>
                </w:tcPr>
                <w:p w14:paraId="122480AD">
                  <w:pPr>
                    <w:pStyle w:val="6"/>
                    <w:rPr>
                      <w:rFonts w:hint="eastAsia" w:ascii="仿宋_GB2312" w:hAnsi="仿宋_GB2312" w:eastAsia="仿宋_GB2312" w:cs="仿宋_GB2312"/>
                    </w:rPr>
                  </w:pPr>
                  <w:r>
                    <w:rPr>
                      <w:rFonts w:hint="eastAsia" w:ascii="仿宋_GB2312" w:hAnsi="仿宋_GB2312" w:eastAsia="仿宋_GB2312" w:cs="仿宋_GB2312"/>
                    </w:rPr>
                    <w:t>数量</w:t>
                  </w:r>
                </w:p>
              </w:tc>
              <w:tc>
                <w:tcPr>
                  <w:tcW w:w="0" w:type="auto"/>
                  <w:tcBorders>
                    <w:top w:val="single" w:color="000000" w:sz="4" w:space="0"/>
                    <w:left w:val="single" w:color="000000" w:sz="4" w:space="0"/>
                    <w:bottom w:val="single" w:color="000000" w:sz="4" w:space="0"/>
                    <w:right w:val="single" w:color="000000" w:sz="4" w:space="0"/>
                  </w:tcBorders>
                  <w:vAlign w:val="center"/>
                </w:tcPr>
                <w:p w14:paraId="760F884C">
                  <w:pPr>
                    <w:pStyle w:val="6"/>
                    <w:rPr>
                      <w:rFonts w:hint="eastAsia" w:ascii="仿宋_GB2312" w:hAnsi="仿宋_GB2312" w:eastAsia="仿宋_GB2312" w:cs="仿宋_GB2312"/>
                    </w:rPr>
                  </w:pPr>
                  <w:r>
                    <w:rPr>
                      <w:rFonts w:hint="eastAsia" w:ascii="仿宋_GB2312" w:hAnsi="仿宋_GB2312" w:eastAsia="仿宋_GB2312" w:cs="仿宋_GB2312"/>
                    </w:rPr>
                    <w:t>备注</w:t>
                  </w:r>
                </w:p>
              </w:tc>
            </w:tr>
            <w:tr w14:paraId="0B8B1CFC">
              <w:tblPrEx>
                <w:tblCellMar>
                  <w:top w:w="0" w:type="dxa"/>
                  <w:left w:w="108" w:type="dxa"/>
                  <w:bottom w:w="0" w:type="dxa"/>
                  <w:right w:w="108" w:type="dxa"/>
                </w:tblCellMar>
              </w:tblPrEx>
              <w:trPr>
                <w:trHeight w:val="608" w:hRule="atLeast"/>
                <w:jc w:val="center"/>
              </w:trPr>
              <w:tc>
                <w:tcPr>
                  <w:tcW w:w="0" w:type="auto"/>
                  <w:tcBorders>
                    <w:top w:val="single" w:color="000000" w:sz="4" w:space="0"/>
                    <w:left w:val="single" w:color="000000" w:sz="4" w:space="0"/>
                    <w:bottom w:val="single" w:color="000000" w:sz="4" w:space="0"/>
                    <w:right w:val="single" w:color="000000" w:sz="4" w:space="0"/>
                  </w:tcBorders>
                </w:tcPr>
                <w:p w14:paraId="4541537F">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14:paraId="342080A9">
                  <w:pPr>
                    <w:pStyle w:val="6"/>
                    <w:rPr>
                      <w:rFonts w:hint="eastAsia" w:ascii="仿宋_GB2312" w:hAnsi="仿宋_GB2312" w:eastAsia="仿宋_GB2312" w:cs="仿宋_GB2312"/>
                    </w:rPr>
                  </w:pPr>
                  <w:r>
                    <w:rPr>
                      <w:rFonts w:hint="eastAsia" w:ascii="仿宋_GB2312" w:hAnsi="仿宋_GB2312" w:eastAsia="仿宋_GB2312" w:cs="仿宋_GB2312"/>
                    </w:rPr>
                    <w:t>常用工具类</w:t>
                  </w:r>
                </w:p>
              </w:tc>
              <w:tc>
                <w:tcPr>
                  <w:tcW w:w="0" w:type="auto"/>
                  <w:tcBorders>
                    <w:top w:val="single" w:color="000000" w:sz="4" w:space="0"/>
                    <w:left w:val="single" w:color="000000" w:sz="4" w:space="0"/>
                    <w:bottom w:val="single" w:color="000000" w:sz="4" w:space="0"/>
                    <w:right w:val="single" w:color="000000" w:sz="4" w:space="0"/>
                  </w:tcBorders>
                  <w:vAlign w:val="center"/>
                </w:tcPr>
                <w:p w14:paraId="5AD173BD">
                  <w:pPr>
                    <w:pStyle w:val="6"/>
                    <w:rPr>
                      <w:rFonts w:hint="eastAsia" w:ascii="仿宋_GB2312" w:hAnsi="仿宋_GB2312" w:eastAsia="仿宋_GB2312" w:cs="仿宋_GB2312"/>
                    </w:rPr>
                  </w:pPr>
                  <w:r>
                    <w:rPr>
                      <w:rFonts w:hint="eastAsia" w:ascii="仿宋_GB2312" w:hAnsi="仿宋_GB2312" w:eastAsia="仿宋_GB2312" w:cs="仿宋_GB2312"/>
                    </w:rPr>
                    <w:t>电工工具箱</w:t>
                  </w:r>
                </w:p>
              </w:tc>
              <w:tc>
                <w:tcPr>
                  <w:tcW w:w="0" w:type="auto"/>
                  <w:tcBorders>
                    <w:top w:val="single" w:color="000000" w:sz="4" w:space="0"/>
                    <w:left w:val="single" w:color="000000" w:sz="4" w:space="0"/>
                    <w:bottom w:val="single" w:color="000000" w:sz="4" w:space="0"/>
                    <w:right w:val="single" w:color="000000" w:sz="4" w:space="0"/>
                  </w:tcBorders>
                  <w:vAlign w:val="center"/>
                </w:tcPr>
                <w:p w14:paraId="6F096934">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1CF1B807">
                  <w:pPr>
                    <w:pStyle w:val="6"/>
                    <w:rPr>
                      <w:rFonts w:hint="eastAsia" w:ascii="仿宋_GB2312" w:hAnsi="仿宋_GB2312" w:eastAsia="仿宋_GB2312" w:cs="仿宋_GB2312"/>
                    </w:rPr>
                  </w:pPr>
                  <w:r>
                    <w:rPr>
                      <w:rFonts w:hint="eastAsia" w:ascii="仿宋_GB2312" w:hAnsi="仿宋_GB2312" w:eastAsia="仿宋_GB2312" w:cs="仿宋_GB2312"/>
                    </w:rPr>
                    <w:t>包含螺丝刀、扳手、电工笔、羊角锤、卷尺等运维必备工具。</w:t>
                  </w:r>
                </w:p>
              </w:tc>
            </w:tr>
            <w:tr w14:paraId="0BC525B2">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32BCDB7A">
                  <w:pPr>
                    <w:pStyle w:val="6"/>
                    <w:rPr>
                      <w:rFonts w:hint="eastAsia" w:ascii="仿宋_GB2312" w:hAnsi="仿宋_GB2312" w:eastAsia="仿宋_GB2312" w:cs="仿宋_GB2312"/>
                    </w:rPr>
                  </w:pPr>
                  <w:r>
                    <w:rPr>
                      <w:rFonts w:hint="eastAsia" w:ascii="仿宋_GB2312" w:hAnsi="仿宋_GB2312" w:eastAsia="仿宋_GB2312" w:cs="仿宋_GB2312"/>
                    </w:rPr>
                    <w:t>2</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4F24DD8">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EA24A22">
                  <w:pPr>
                    <w:pStyle w:val="6"/>
                    <w:rPr>
                      <w:rFonts w:hint="eastAsia" w:ascii="仿宋_GB2312" w:hAnsi="仿宋_GB2312" w:eastAsia="仿宋_GB2312" w:cs="仿宋_GB2312"/>
                    </w:rPr>
                  </w:pPr>
                  <w:r>
                    <w:rPr>
                      <w:rFonts w:hint="eastAsia" w:ascii="仿宋_GB2312" w:hAnsi="仿宋_GB2312" w:eastAsia="仿宋_GB2312" w:cs="仿宋_GB2312"/>
                    </w:rPr>
                    <w:t>万用表</w:t>
                  </w:r>
                </w:p>
              </w:tc>
              <w:tc>
                <w:tcPr>
                  <w:tcW w:w="0" w:type="auto"/>
                  <w:tcBorders>
                    <w:top w:val="single" w:color="000000" w:sz="4" w:space="0"/>
                    <w:left w:val="single" w:color="000000" w:sz="4" w:space="0"/>
                    <w:bottom w:val="single" w:color="000000" w:sz="4" w:space="0"/>
                    <w:right w:val="single" w:color="000000" w:sz="4" w:space="0"/>
                  </w:tcBorders>
                  <w:vAlign w:val="center"/>
                </w:tcPr>
                <w:p w14:paraId="2BE30966">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1195D463">
                  <w:pPr>
                    <w:pStyle w:val="6"/>
                    <w:rPr>
                      <w:rFonts w:hint="eastAsia" w:ascii="仿宋_GB2312" w:hAnsi="仿宋_GB2312" w:eastAsia="仿宋_GB2312" w:cs="仿宋_GB2312"/>
                    </w:rPr>
                  </w:pPr>
                </w:p>
              </w:tc>
            </w:tr>
            <w:tr w14:paraId="60922766">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57B49A2D">
                  <w:pPr>
                    <w:pStyle w:val="6"/>
                    <w:rPr>
                      <w:rFonts w:hint="eastAsia" w:ascii="仿宋_GB2312" w:hAnsi="仿宋_GB2312" w:eastAsia="仿宋_GB2312" w:cs="仿宋_GB2312"/>
                    </w:rPr>
                  </w:pPr>
                  <w:r>
                    <w:rPr>
                      <w:rFonts w:hint="eastAsia" w:ascii="仿宋_GB2312" w:hAnsi="仿宋_GB2312" w:eastAsia="仿宋_GB2312" w:cs="仿宋_GB2312"/>
                    </w:rPr>
                    <w:t>3</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E80A934">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1EE0B2E">
                  <w:pPr>
                    <w:pStyle w:val="6"/>
                    <w:rPr>
                      <w:rFonts w:hint="eastAsia" w:ascii="仿宋_GB2312" w:hAnsi="仿宋_GB2312" w:eastAsia="仿宋_GB2312" w:cs="仿宋_GB2312"/>
                    </w:rPr>
                  </w:pPr>
                  <w:r>
                    <w:rPr>
                      <w:rFonts w:hint="eastAsia" w:ascii="仿宋_GB2312" w:hAnsi="仿宋_GB2312" w:eastAsia="仿宋_GB2312" w:cs="仿宋_GB2312"/>
                    </w:rPr>
                    <w:t>管剪刀</w:t>
                  </w:r>
                </w:p>
              </w:tc>
              <w:tc>
                <w:tcPr>
                  <w:tcW w:w="0" w:type="auto"/>
                  <w:tcBorders>
                    <w:top w:val="single" w:color="000000" w:sz="4" w:space="0"/>
                    <w:left w:val="single" w:color="000000" w:sz="4" w:space="0"/>
                    <w:bottom w:val="single" w:color="000000" w:sz="4" w:space="0"/>
                    <w:right w:val="single" w:color="000000" w:sz="4" w:space="0"/>
                  </w:tcBorders>
                  <w:vAlign w:val="center"/>
                </w:tcPr>
                <w:p w14:paraId="14FEF43D">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4DE3F43C">
                  <w:pPr>
                    <w:pStyle w:val="6"/>
                    <w:rPr>
                      <w:rFonts w:hint="eastAsia" w:ascii="仿宋_GB2312" w:hAnsi="仿宋_GB2312" w:eastAsia="仿宋_GB2312" w:cs="仿宋_GB2312"/>
                    </w:rPr>
                  </w:pPr>
                </w:p>
              </w:tc>
            </w:tr>
            <w:tr w14:paraId="06DF6CE6">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1F86DDB6">
                  <w:pPr>
                    <w:pStyle w:val="6"/>
                    <w:rPr>
                      <w:rFonts w:hint="eastAsia" w:ascii="仿宋_GB2312" w:hAnsi="仿宋_GB2312" w:eastAsia="仿宋_GB2312" w:cs="仿宋_GB2312"/>
                    </w:rPr>
                  </w:pPr>
                  <w:r>
                    <w:rPr>
                      <w:rFonts w:hint="eastAsia" w:ascii="仿宋_GB2312" w:hAnsi="仿宋_GB2312" w:eastAsia="仿宋_GB2312" w:cs="仿宋_GB2312"/>
                    </w:rPr>
                    <w:t>4</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3AE09A9">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8D8D068">
                  <w:pPr>
                    <w:pStyle w:val="6"/>
                    <w:rPr>
                      <w:rFonts w:hint="eastAsia" w:ascii="仿宋_GB2312" w:hAnsi="仿宋_GB2312" w:eastAsia="仿宋_GB2312" w:cs="仿宋_GB2312"/>
                    </w:rPr>
                  </w:pPr>
                  <w:r>
                    <w:rPr>
                      <w:rFonts w:hint="eastAsia" w:ascii="仿宋_GB2312" w:hAnsi="仿宋_GB2312" w:eastAsia="仿宋_GB2312" w:cs="仿宋_GB2312"/>
                    </w:rPr>
                    <w:t>管钳</w:t>
                  </w:r>
                </w:p>
              </w:tc>
              <w:tc>
                <w:tcPr>
                  <w:tcW w:w="0" w:type="auto"/>
                  <w:tcBorders>
                    <w:top w:val="single" w:color="000000" w:sz="4" w:space="0"/>
                    <w:left w:val="single" w:color="000000" w:sz="4" w:space="0"/>
                    <w:bottom w:val="single" w:color="000000" w:sz="4" w:space="0"/>
                    <w:right w:val="single" w:color="000000" w:sz="4" w:space="0"/>
                  </w:tcBorders>
                  <w:vAlign w:val="center"/>
                </w:tcPr>
                <w:p w14:paraId="2EF60A6A">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56618B9C">
                  <w:pPr>
                    <w:pStyle w:val="6"/>
                    <w:rPr>
                      <w:rFonts w:hint="eastAsia" w:ascii="仿宋_GB2312" w:hAnsi="仿宋_GB2312" w:eastAsia="仿宋_GB2312" w:cs="仿宋_GB2312"/>
                    </w:rPr>
                  </w:pPr>
                </w:p>
              </w:tc>
            </w:tr>
            <w:tr w14:paraId="772AAF7E">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66BD082A">
                  <w:pPr>
                    <w:pStyle w:val="6"/>
                    <w:rPr>
                      <w:rFonts w:hint="eastAsia" w:ascii="仿宋_GB2312" w:hAnsi="仿宋_GB2312" w:eastAsia="仿宋_GB2312" w:cs="仿宋_GB2312"/>
                    </w:rPr>
                  </w:pPr>
                  <w:r>
                    <w:rPr>
                      <w:rFonts w:hint="eastAsia" w:ascii="仿宋_GB2312" w:hAnsi="仿宋_GB2312" w:eastAsia="仿宋_GB2312" w:cs="仿宋_GB2312"/>
                    </w:rPr>
                    <w:t>5</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2544672">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C2BDFD6">
                  <w:pPr>
                    <w:pStyle w:val="6"/>
                    <w:rPr>
                      <w:rFonts w:hint="eastAsia" w:ascii="仿宋_GB2312" w:hAnsi="仿宋_GB2312" w:eastAsia="仿宋_GB2312" w:cs="仿宋_GB2312"/>
                    </w:rPr>
                  </w:pPr>
                  <w:r>
                    <w:rPr>
                      <w:rFonts w:hint="eastAsia" w:ascii="仿宋_GB2312" w:hAnsi="仿宋_GB2312" w:eastAsia="仿宋_GB2312" w:cs="仿宋_GB2312"/>
                    </w:rPr>
                    <w:t>钢锯</w:t>
                  </w:r>
                </w:p>
              </w:tc>
              <w:tc>
                <w:tcPr>
                  <w:tcW w:w="0" w:type="auto"/>
                  <w:tcBorders>
                    <w:top w:val="single" w:color="000000" w:sz="4" w:space="0"/>
                    <w:left w:val="single" w:color="000000" w:sz="4" w:space="0"/>
                    <w:bottom w:val="single" w:color="000000" w:sz="4" w:space="0"/>
                    <w:right w:val="single" w:color="000000" w:sz="4" w:space="0"/>
                  </w:tcBorders>
                  <w:vAlign w:val="center"/>
                </w:tcPr>
                <w:p w14:paraId="783C32C9">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6858C7C5">
                  <w:pPr>
                    <w:pStyle w:val="6"/>
                    <w:rPr>
                      <w:rFonts w:hint="eastAsia" w:ascii="仿宋_GB2312" w:hAnsi="仿宋_GB2312" w:eastAsia="仿宋_GB2312" w:cs="仿宋_GB2312"/>
                    </w:rPr>
                  </w:pPr>
                </w:p>
              </w:tc>
            </w:tr>
            <w:tr w14:paraId="0C21E869">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7C2E2F20">
                  <w:pPr>
                    <w:pStyle w:val="6"/>
                    <w:rPr>
                      <w:rFonts w:hint="eastAsia" w:ascii="仿宋_GB2312" w:hAnsi="仿宋_GB2312" w:eastAsia="仿宋_GB2312" w:cs="仿宋_GB2312"/>
                    </w:rPr>
                  </w:pPr>
                  <w:r>
                    <w:rPr>
                      <w:rFonts w:hint="eastAsia" w:ascii="仿宋_GB2312" w:hAnsi="仿宋_GB2312" w:eastAsia="仿宋_GB2312" w:cs="仿宋_GB2312"/>
                    </w:rPr>
                    <w:t>6</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B1BE523">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25FE6F1">
                  <w:pPr>
                    <w:pStyle w:val="6"/>
                    <w:rPr>
                      <w:rFonts w:hint="eastAsia" w:ascii="仿宋_GB2312" w:hAnsi="仿宋_GB2312" w:eastAsia="仿宋_GB2312" w:cs="仿宋_GB2312"/>
                    </w:rPr>
                  </w:pPr>
                  <w:r>
                    <w:rPr>
                      <w:rFonts w:hint="eastAsia" w:ascii="仿宋_GB2312" w:hAnsi="仿宋_GB2312" w:eastAsia="仿宋_GB2312" w:cs="仿宋_GB2312"/>
                    </w:rPr>
                    <w:t>热熔枪</w:t>
                  </w:r>
                </w:p>
              </w:tc>
              <w:tc>
                <w:tcPr>
                  <w:tcW w:w="0" w:type="auto"/>
                  <w:tcBorders>
                    <w:top w:val="single" w:color="000000" w:sz="4" w:space="0"/>
                    <w:left w:val="single" w:color="000000" w:sz="4" w:space="0"/>
                    <w:bottom w:val="single" w:color="000000" w:sz="4" w:space="0"/>
                    <w:right w:val="single" w:color="000000" w:sz="4" w:space="0"/>
                  </w:tcBorders>
                  <w:vAlign w:val="center"/>
                </w:tcPr>
                <w:p w14:paraId="1F47C08B">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1CCB1824">
                  <w:pPr>
                    <w:pStyle w:val="6"/>
                    <w:rPr>
                      <w:rFonts w:hint="eastAsia" w:ascii="仿宋_GB2312" w:hAnsi="仿宋_GB2312" w:eastAsia="仿宋_GB2312" w:cs="仿宋_GB2312"/>
                    </w:rPr>
                  </w:pPr>
                </w:p>
              </w:tc>
            </w:tr>
            <w:tr w14:paraId="2E325B14">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0108F776">
                  <w:pPr>
                    <w:pStyle w:val="6"/>
                    <w:rPr>
                      <w:rFonts w:hint="eastAsia" w:ascii="仿宋_GB2312" w:hAnsi="仿宋_GB2312" w:eastAsia="仿宋_GB2312" w:cs="仿宋_GB2312"/>
                    </w:rPr>
                  </w:pPr>
                  <w:r>
                    <w:rPr>
                      <w:rFonts w:hint="eastAsia" w:ascii="仿宋_GB2312" w:hAnsi="仿宋_GB2312" w:eastAsia="仿宋_GB2312" w:cs="仿宋_GB2312"/>
                    </w:rPr>
                    <w:t>7</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8B9BFF0">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580A113">
                  <w:pPr>
                    <w:pStyle w:val="6"/>
                    <w:rPr>
                      <w:rFonts w:hint="eastAsia" w:ascii="仿宋_GB2312" w:hAnsi="仿宋_GB2312" w:eastAsia="仿宋_GB2312" w:cs="仿宋_GB2312"/>
                    </w:rPr>
                  </w:pPr>
                  <w:r>
                    <w:rPr>
                      <w:rFonts w:hint="eastAsia" w:ascii="仿宋_GB2312" w:hAnsi="仿宋_GB2312" w:eastAsia="仿宋_GB2312" w:cs="仿宋_GB2312"/>
                    </w:rPr>
                    <w:t>烙铁、焊锡套装</w:t>
                  </w:r>
                </w:p>
              </w:tc>
              <w:tc>
                <w:tcPr>
                  <w:tcW w:w="0" w:type="auto"/>
                  <w:tcBorders>
                    <w:top w:val="single" w:color="000000" w:sz="4" w:space="0"/>
                    <w:left w:val="single" w:color="000000" w:sz="4" w:space="0"/>
                    <w:bottom w:val="single" w:color="000000" w:sz="4" w:space="0"/>
                    <w:right w:val="single" w:color="000000" w:sz="4" w:space="0"/>
                  </w:tcBorders>
                  <w:vAlign w:val="center"/>
                </w:tcPr>
                <w:p w14:paraId="32B7A9FB">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074AD0EA">
                  <w:pPr>
                    <w:pStyle w:val="6"/>
                    <w:rPr>
                      <w:rFonts w:hint="eastAsia" w:ascii="仿宋_GB2312" w:hAnsi="仿宋_GB2312" w:eastAsia="仿宋_GB2312" w:cs="仿宋_GB2312"/>
                    </w:rPr>
                  </w:pPr>
                </w:p>
              </w:tc>
            </w:tr>
            <w:tr w14:paraId="6A89868B">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26701D21">
                  <w:pPr>
                    <w:pStyle w:val="6"/>
                    <w:rPr>
                      <w:rFonts w:hint="eastAsia" w:ascii="仿宋_GB2312" w:hAnsi="仿宋_GB2312" w:eastAsia="仿宋_GB2312" w:cs="仿宋_GB2312"/>
                    </w:rPr>
                  </w:pPr>
                  <w:r>
                    <w:rPr>
                      <w:rFonts w:hint="eastAsia" w:ascii="仿宋_GB2312" w:hAnsi="仿宋_GB2312" w:eastAsia="仿宋_GB2312" w:cs="仿宋_GB2312"/>
                    </w:rPr>
                    <w:t>8</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2514DD8">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A403ACF">
                  <w:pPr>
                    <w:pStyle w:val="6"/>
                    <w:rPr>
                      <w:rFonts w:hint="eastAsia" w:ascii="仿宋_GB2312" w:hAnsi="仿宋_GB2312" w:eastAsia="仿宋_GB2312" w:cs="仿宋_GB2312"/>
                    </w:rPr>
                  </w:pPr>
                  <w:r>
                    <w:rPr>
                      <w:rFonts w:hint="eastAsia" w:ascii="仿宋_GB2312" w:hAnsi="仿宋_GB2312" w:eastAsia="仿宋_GB2312" w:cs="仿宋_GB2312"/>
                    </w:rPr>
                    <w:t>网线钳</w:t>
                  </w:r>
                </w:p>
              </w:tc>
              <w:tc>
                <w:tcPr>
                  <w:tcW w:w="0" w:type="auto"/>
                  <w:tcBorders>
                    <w:top w:val="single" w:color="000000" w:sz="4" w:space="0"/>
                    <w:left w:val="single" w:color="000000" w:sz="4" w:space="0"/>
                    <w:bottom w:val="single" w:color="000000" w:sz="4" w:space="0"/>
                    <w:right w:val="single" w:color="000000" w:sz="4" w:space="0"/>
                  </w:tcBorders>
                  <w:vAlign w:val="center"/>
                </w:tcPr>
                <w:p w14:paraId="2D1A5FF6">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513491E4">
                  <w:pPr>
                    <w:pStyle w:val="6"/>
                    <w:rPr>
                      <w:rFonts w:hint="eastAsia" w:ascii="仿宋_GB2312" w:hAnsi="仿宋_GB2312" w:eastAsia="仿宋_GB2312" w:cs="仿宋_GB2312"/>
                    </w:rPr>
                  </w:pPr>
                </w:p>
              </w:tc>
            </w:tr>
            <w:tr w14:paraId="6CFDF031">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5B597783">
                  <w:pPr>
                    <w:pStyle w:val="6"/>
                    <w:rPr>
                      <w:rFonts w:hint="eastAsia" w:ascii="仿宋_GB2312" w:hAnsi="仿宋_GB2312" w:eastAsia="仿宋_GB2312" w:cs="仿宋_GB2312"/>
                    </w:rPr>
                  </w:pPr>
                  <w:r>
                    <w:rPr>
                      <w:rFonts w:hint="eastAsia" w:ascii="仿宋_GB2312" w:hAnsi="仿宋_GB2312" w:eastAsia="仿宋_GB2312" w:cs="仿宋_GB2312"/>
                    </w:rPr>
                    <w:t>9</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A927413">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0D92D8F">
                  <w:pPr>
                    <w:pStyle w:val="6"/>
                    <w:rPr>
                      <w:rFonts w:hint="eastAsia" w:ascii="仿宋_GB2312" w:hAnsi="仿宋_GB2312" w:eastAsia="仿宋_GB2312" w:cs="仿宋_GB2312"/>
                    </w:rPr>
                  </w:pPr>
                  <w:r>
                    <w:rPr>
                      <w:rFonts w:hint="eastAsia" w:ascii="仿宋_GB2312" w:hAnsi="仿宋_GB2312" w:eastAsia="仿宋_GB2312" w:cs="仿宋_GB2312"/>
                    </w:rPr>
                    <w:t>铁锹</w:t>
                  </w:r>
                </w:p>
              </w:tc>
              <w:tc>
                <w:tcPr>
                  <w:tcW w:w="0" w:type="auto"/>
                  <w:tcBorders>
                    <w:top w:val="single" w:color="000000" w:sz="4" w:space="0"/>
                    <w:left w:val="single" w:color="000000" w:sz="4" w:space="0"/>
                    <w:bottom w:val="single" w:color="000000" w:sz="4" w:space="0"/>
                    <w:right w:val="single" w:color="000000" w:sz="4" w:space="0"/>
                  </w:tcBorders>
                  <w:vAlign w:val="center"/>
                </w:tcPr>
                <w:p w14:paraId="3215DEEB">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503E53A3">
                  <w:pPr>
                    <w:pStyle w:val="6"/>
                    <w:rPr>
                      <w:rFonts w:hint="eastAsia" w:ascii="仿宋_GB2312" w:hAnsi="仿宋_GB2312" w:eastAsia="仿宋_GB2312" w:cs="仿宋_GB2312"/>
                    </w:rPr>
                  </w:pPr>
                </w:p>
              </w:tc>
            </w:tr>
            <w:tr w14:paraId="645D611C">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0FE754E2">
                  <w:pPr>
                    <w:pStyle w:val="6"/>
                    <w:rPr>
                      <w:rFonts w:hint="eastAsia" w:ascii="仿宋_GB2312" w:hAnsi="仿宋_GB2312" w:eastAsia="仿宋_GB2312" w:cs="仿宋_GB2312"/>
                    </w:rPr>
                  </w:pPr>
                  <w:r>
                    <w:rPr>
                      <w:rFonts w:hint="eastAsia" w:ascii="仿宋_GB2312" w:hAnsi="仿宋_GB2312" w:eastAsia="仿宋_GB2312" w:cs="仿宋_GB2312"/>
                    </w:rPr>
                    <w:t>10</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1BB2C54">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DCC4397">
                  <w:pPr>
                    <w:pStyle w:val="6"/>
                    <w:rPr>
                      <w:rFonts w:hint="eastAsia" w:ascii="仿宋_GB2312" w:hAnsi="仿宋_GB2312" w:eastAsia="仿宋_GB2312" w:cs="仿宋_GB2312"/>
                    </w:rPr>
                  </w:pPr>
                  <w:r>
                    <w:rPr>
                      <w:rFonts w:hint="eastAsia" w:ascii="仿宋_GB2312" w:hAnsi="仿宋_GB2312" w:eastAsia="仿宋_GB2312" w:cs="仿宋_GB2312"/>
                    </w:rPr>
                    <w:t>十字镐</w:t>
                  </w:r>
                </w:p>
              </w:tc>
              <w:tc>
                <w:tcPr>
                  <w:tcW w:w="0" w:type="auto"/>
                  <w:tcBorders>
                    <w:top w:val="single" w:color="000000" w:sz="4" w:space="0"/>
                    <w:left w:val="single" w:color="000000" w:sz="4" w:space="0"/>
                    <w:bottom w:val="single" w:color="000000" w:sz="4" w:space="0"/>
                    <w:right w:val="single" w:color="000000" w:sz="4" w:space="0"/>
                  </w:tcBorders>
                  <w:vAlign w:val="center"/>
                </w:tcPr>
                <w:p w14:paraId="1D58CF2F">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3B094097">
                  <w:pPr>
                    <w:pStyle w:val="6"/>
                    <w:rPr>
                      <w:rFonts w:hint="eastAsia" w:ascii="仿宋_GB2312" w:hAnsi="仿宋_GB2312" w:eastAsia="仿宋_GB2312" w:cs="仿宋_GB2312"/>
                    </w:rPr>
                  </w:pPr>
                </w:p>
              </w:tc>
            </w:tr>
            <w:tr w14:paraId="43E0A822">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4A817280">
                  <w:pPr>
                    <w:pStyle w:val="6"/>
                    <w:rPr>
                      <w:rFonts w:hint="eastAsia" w:ascii="仿宋_GB2312" w:hAnsi="仿宋_GB2312" w:eastAsia="仿宋_GB2312" w:cs="仿宋_GB2312"/>
                    </w:rPr>
                  </w:pPr>
                  <w:r>
                    <w:rPr>
                      <w:rFonts w:hint="eastAsia" w:ascii="仿宋_GB2312" w:hAnsi="仿宋_GB2312" w:eastAsia="仿宋_GB2312" w:cs="仿宋_GB2312"/>
                    </w:rPr>
                    <w:t>11</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3C50636">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FB4D02A">
                  <w:pPr>
                    <w:pStyle w:val="6"/>
                    <w:rPr>
                      <w:rFonts w:hint="eastAsia" w:ascii="仿宋_GB2312" w:hAnsi="仿宋_GB2312" w:eastAsia="仿宋_GB2312" w:cs="仿宋_GB2312"/>
                    </w:rPr>
                  </w:pPr>
                  <w:r>
                    <w:rPr>
                      <w:rFonts w:hint="eastAsia" w:ascii="仿宋_GB2312" w:hAnsi="仿宋_GB2312" w:eastAsia="仿宋_GB2312" w:cs="仿宋_GB2312"/>
                    </w:rPr>
                    <w:t>冰钎（凿冰器）</w:t>
                  </w:r>
                </w:p>
              </w:tc>
              <w:tc>
                <w:tcPr>
                  <w:tcW w:w="0" w:type="auto"/>
                  <w:tcBorders>
                    <w:top w:val="single" w:color="000000" w:sz="4" w:space="0"/>
                    <w:left w:val="single" w:color="000000" w:sz="4" w:space="0"/>
                    <w:bottom w:val="single" w:color="000000" w:sz="4" w:space="0"/>
                    <w:right w:val="single" w:color="000000" w:sz="4" w:space="0"/>
                  </w:tcBorders>
                  <w:vAlign w:val="center"/>
                </w:tcPr>
                <w:p w14:paraId="0E3A5D8A">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7071B055">
                  <w:pPr>
                    <w:pStyle w:val="6"/>
                    <w:rPr>
                      <w:rFonts w:hint="eastAsia" w:ascii="仿宋_GB2312" w:hAnsi="仿宋_GB2312" w:eastAsia="仿宋_GB2312" w:cs="仿宋_GB2312"/>
                    </w:rPr>
                  </w:pPr>
                  <w:r>
                    <w:rPr>
                      <w:rFonts w:hint="eastAsia" w:ascii="仿宋_GB2312" w:hAnsi="仿宋_GB2312" w:eastAsia="仿宋_GB2312" w:cs="仿宋_GB2312"/>
                    </w:rPr>
                    <w:t>受冰封影响自动站</w:t>
                  </w:r>
                </w:p>
              </w:tc>
            </w:tr>
            <w:tr w14:paraId="0F8C7343">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498A110A">
                  <w:pPr>
                    <w:pStyle w:val="6"/>
                    <w:rPr>
                      <w:rFonts w:hint="eastAsia" w:ascii="仿宋_GB2312" w:hAnsi="仿宋_GB2312" w:eastAsia="仿宋_GB2312" w:cs="仿宋_GB2312"/>
                    </w:rPr>
                  </w:pPr>
                  <w:r>
                    <w:rPr>
                      <w:rFonts w:hint="eastAsia" w:ascii="仿宋_GB2312" w:hAnsi="仿宋_GB2312" w:eastAsia="仿宋_GB2312" w:cs="仿宋_GB2312"/>
                    </w:rPr>
                    <w:t>12</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0524CED">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509CDF6">
                  <w:pPr>
                    <w:pStyle w:val="6"/>
                    <w:rPr>
                      <w:rFonts w:hint="eastAsia" w:ascii="仿宋_GB2312" w:hAnsi="仿宋_GB2312" w:eastAsia="仿宋_GB2312" w:cs="仿宋_GB2312"/>
                    </w:rPr>
                  </w:pPr>
                  <w:r>
                    <w:rPr>
                      <w:rFonts w:hint="eastAsia" w:ascii="仿宋_GB2312" w:hAnsi="仿宋_GB2312" w:eastAsia="仿宋_GB2312" w:cs="仿宋_GB2312"/>
                    </w:rPr>
                    <w:t>手工采样器</w:t>
                  </w:r>
                </w:p>
              </w:tc>
              <w:tc>
                <w:tcPr>
                  <w:tcW w:w="0" w:type="auto"/>
                  <w:tcBorders>
                    <w:top w:val="single" w:color="000000" w:sz="4" w:space="0"/>
                    <w:left w:val="single" w:color="000000" w:sz="4" w:space="0"/>
                    <w:bottom w:val="single" w:color="000000" w:sz="4" w:space="0"/>
                    <w:right w:val="single" w:color="000000" w:sz="4" w:space="0"/>
                  </w:tcBorders>
                  <w:vAlign w:val="center"/>
                </w:tcPr>
                <w:p w14:paraId="10D310FD">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5BFEAAA8">
                  <w:pPr>
                    <w:pStyle w:val="6"/>
                    <w:rPr>
                      <w:rFonts w:hint="eastAsia" w:ascii="仿宋_GB2312" w:hAnsi="仿宋_GB2312" w:eastAsia="仿宋_GB2312" w:cs="仿宋_GB2312"/>
                    </w:rPr>
                  </w:pPr>
                </w:p>
              </w:tc>
            </w:tr>
            <w:tr w14:paraId="3D7FC9C8">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63376FE8">
                  <w:pPr>
                    <w:pStyle w:val="6"/>
                    <w:rPr>
                      <w:rFonts w:hint="eastAsia" w:ascii="仿宋_GB2312" w:hAnsi="仿宋_GB2312" w:eastAsia="仿宋_GB2312" w:cs="仿宋_GB2312"/>
                    </w:rPr>
                  </w:pPr>
                  <w:r>
                    <w:rPr>
                      <w:rFonts w:hint="eastAsia" w:ascii="仿宋_GB2312" w:hAnsi="仿宋_GB2312" w:eastAsia="仿宋_GB2312" w:cs="仿宋_GB2312"/>
                    </w:rPr>
                    <w:t>13</w:t>
                  </w:r>
                </w:p>
              </w:tc>
              <w:tc>
                <w:tcPr>
                  <w:tcW w:w="0" w:type="auto"/>
                  <w:vMerge w:val="restart"/>
                  <w:tcBorders>
                    <w:top w:val="single" w:color="000000" w:sz="4" w:space="0"/>
                    <w:left w:val="single" w:color="000000" w:sz="4" w:space="0"/>
                    <w:right w:val="single" w:color="000000" w:sz="4" w:space="0"/>
                  </w:tcBorders>
                  <w:vAlign w:val="center"/>
                </w:tcPr>
                <w:p w14:paraId="4BD24093">
                  <w:pPr>
                    <w:pStyle w:val="6"/>
                    <w:rPr>
                      <w:rFonts w:hint="eastAsia" w:ascii="仿宋_GB2312" w:hAnsi="仿宋_GB2312" w:eastAsia="仿宋_GB2312" w:cs="仿宋_GB2312"/>
                    </w:rPr>
                  </w:pPr>
                  <w:r>
                    <w:rPr>
                      <w:rFonts w:hint="eastAsia" w:ascii="仿宋_GB2312" w:hAnsi="仿宋_GB2312" w:eastAsia="仿宋_GB2312" w:cs="仿宋_GB2312"/>
                    </w:rPr>
                    <w:t>常用消耗类</w:t>
                  </w:r>
                </w:p>
              </w:tc>
              <w:tc>
                <w:tcPr>
                  <w:tcW w:w="0" w:type="auto"/>
                  <w:tcBorders>
                    <w:top w:val="single" w:color="000000" w:sz="4" w:space="0"/>
                    <w:left w:val="single" w:color="000000" w:sz="4" w:space="0"/>
                    <w:bottom w:val="single" w:color="000000" w:sz="4" w:space="0"/>
                    <w:right w:val="single" w:color="000000" w:sz="4" w:space="0"/>
                  </w:tcBorders>
                  <w:vAlign w:val="center"/>
                </w:tcPr>
                <w:p w14:paraId="7F6D7995">
                  <w:pPr>
                    <w:pStyle w:val="6"/>
                    <w:rPr>
                      <w:rFonts w:hint="eastAsia" w:ascii="仿宋_GB2312" w:hAnsi="仿宋_GB2312" w:eastAsia="仿宋_GB2312" w:cs="仿宋_GB2312"/>
                    </w:rPr>
                  </w:pPr>
                  <w:r>
                    <w:rPr>
                      <w:rFonts w:hint="eastAsia" w:ascii="仿宋_GB2312" w:hAnsi="仿宋_GB2312" w:eastAsia="仿宋_GB2312" w:cs="仿宋_GB2312"/>
                    </w:rPr>
                    <w:t>电工胶带</w:t>
                  </w:r>
                </w:p>
              </w:tc>
              <w:tc>
                <w:tcPr>
                  <w:tcW w:w="0" w:type="auto"/>
                  <w:tcBorders>
                    <w:top w:val="single" w:color="000000" w:sz="4" w:space="0"/>
                    <w:left w:val="single" w:color="000000" w:sz="4" w:space="0"/>
                    <w:bottom w:val="single" w:color="000000" w:sz="4" w:space="0"/>
                    <w:right w:val="single" w:color="000000" w:sz="4" w:space="0"/>
                  </w:tcBorders>
                  <w:vAlign w:val="center"/>
                </w:tcPr>
                <w:p w14:paraId="71D6C6B5">
                  <w:pPr>
                    <w:pStyle w:val="6"/>
                    <w:rPr>
                      <w:rFonts w:hint="eastAsia" w:ascii="仿宋_GB2312" w:hAnsi="仿宋_GB2312" w:eastAsia="仿宋_GB2312" w:cs="仿宋_GB2312"/>
                    </w:rPr>
                  </w:pPr>
                  <w:r>
                    <w:rPr>
                      <w:rFonts w:hint="eastAsia" w:ascii="仿宋_GB2312" w:hAnsi="仿宋_GB2312" w:eastAsia="仿宋_GB2312" w:cs="仿宋_GB2312"/>
                    </w:rPr>
                    <w:t>若干</w:t>
                  </w:r>
                </w:p>
              </w:tc>
              <w:tc>
                <w:tcPr>
                  <w:tcW w:w="0" w:type="auto"/>
                  <w:tcBorders>
                    <w:top w:val="single" w:color="000000" w:sz="4" w:space="0"/>
                    <w:left w:val="single" w:color="000000" w:sz="4" w:space="0"/>
                    <w:bottom w:val="single" w:color="000000" w:sz="4" w:space="0"/>
                    <w:right w:val="single" w:color="000000" w:sz="4" w:space="0"/>
                  </w:tcBorders>
                  <w:vAlign w:val="center"/>
                </w:tcPr>
                <w:p w14:paraId="3ED207CD">
                  <w:pPr>
                    <w:pStyle w:val="6"/>
                    <w:rPr>
                      <w:rFonts w:hint="eastAsia" w:ascii="仿宋_GB2312" w:hAnsi="仿宋_GB2312" w:eastAsia="仿宋_GB2312" w:cs="仿宋_GB2312"/>
                    </w:rPr>
                  </w:pPr>
                </w:p>
              </w:tc>
            </w:tr>
            <w:tr w14:paraId="6E656F98">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4435FF6A">
                  <w:pPr>
                    <w:pStyle w:val="6"/>
                    <w:rPr>
                      <w:rFonts w:hint="eastAsia" w:ascii="仿宋_GB2312" w:hAnsi="仿宋_GB2312" w:eastAsia="仿宋_GB2312" w:cs="仿宋_GB2312"/>
                    </w:rPr>
                  </w:pPr>
                  <w:r>
                    <w:rPr>
                      <w:rFonts w:hint="eastAsia" w:ascii="仿宋_GB2312" w:hAnsi="仿宋_GB2312" w:eastAsia="仿宋_GB2312" w:cs="仿宋_GB2312"/>
                    </w:rPr>
                    <w:t>14</w:t>
                  </w:r>
                </w:p>
              </w:tc>
              <w:tc>
                <w:tcPr>
                  <w:tcW w:w="0" w:type="auto"/>
                  <w:vMerge w:val="continue"/>
                  <w:tcBorders>
                    <w:left w:val="single" w:color="000000" w:sz="4" w:space="0"/>
                    <w:right w:val="single" w:color="000000" w:sz="4" w:space="0"/>
                  </w:tcBorders>
                  <w:vAlign w:val="center"/>
                </w:tcPr>
                <w:p w14:paraId="31CD3EC5">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E58D198">
                  <w:pPr>
                    <w:pStyle w:val="6"/>
                    <w:rPr>
                      <w:rFonts w:hint="eastAsia" w:ascii="仿宋_GB2312" w:hAnsi="仿宋_GB2312" w:eastAsia="仿宋_GB2312" w:cs="仿宋_GB2312"/>
                    </w:rPr>
                  </w:pPr>
                  <w:r>
                    <w:rPr>
                      <w:rFonts w:hint="eastAsia" w:ascii="仿宋_GB2312" w:hAnsi="仿宋_GB2312" w:eastAsia="仿宋_GB2312" w:cs="仿宋_GB2312"/>
                    </w:rPr>
                    <w:t>生料带</w:t>
                  </w:r>
                </w:p>
              </w:tc>
              <w:tc>
                <w:tcPr>
                  <w:tcW w:w="0" w:type="auto"/>
                  <w:tcBorders>
                    <w:top w:val="single" w:color="000000" w:sz="4" w:space="0"/>
                    <w:left w:val="single" w:color="000000" w:sz="4" w:space="0"/>
                    <w:bottom w:val="single" w:color="000000" w:sz="4" w:space="0"/>
                    <w:right w:val="single" w:color="000000" w:sz="4" w:space="0"/>
                  </w:tcBorders>
                  <w:vAlign w:val="center"/>
                </w:tcPr>
                <w:p w14:paraId="4311EA24">
                  <w:pPr>
                    <w:pStyle w:val="6"/>
                    <w:rPr>
                      <w:rFonts w:hint="eastAsia" w:ascii="仿宋_GB2312" w:hAnsi="仿宋_GB2312" w:eastAsia="仿宋_GB2312" w:cs="仿宋_GB2312"/>
                    </w:rPr>
                  </w:pPr>
                  <w:r>
                    <w:rPr>
                      <w:rFonts w:hint="eastAsia" w:ascii="仿宋_GB2312" w:hAnsi="仿宋_GB2312" w:eastAsia="仿宋_GB2312" w:cs="仿宋_GB2312"/>
                    </w:rPr>
                    <w:t>若干</w:t>
                  </w:r>
                </w:p>
              </w:tc>
              <w:tc>
                <w:tcPr>
                  <w:tcW w:w="0" w:type="auto"/>
                  <w:tcBorders>
                    <w:top w:val="single" w:color="000000" w:sz="4" w:space="0"/>
                    <w:left w:val="single" w:color="000000" w:sz="4" w:space="0"/>
                    <w:bottom w:val="single" w:color="000000" w:sz="4" w:space="0"/>
                    <w:right w:val="single" w:color="000000" w:sz="4" w:space="0"/>
                  </w:tcBorders>
                  <w:vAlign w:val="center"/>
                </w:tcPr>
                <w:p w14:paraId="65417A41">
                  <w:pPr>
                    <w:pStyle w:val="6"/>
                    <w:rPr>
                      <w:rFonts w:hint="eastAsia" w:ascii="仿宋_GB2312" w:hAnsi="仿宋_GB2312" w:eastAsia="仿宋_GB2312" w:cs="仿宋_GB2312"/>
                    </w:rPr>
                  </w:pPr>
                </w:p>
              </w:tc>
            </w:tr>
            <w:tr w14:paraId="1F05C9A9">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6AC37808">
                  <w:pPr>
                    <w:pStyle w:val="6"/>
                    <w:rPr>
                      <w:rFonts w:hint="eastAsia" w:ascii="仿宋_GB2312" w:hAnsi="仿宋_GB2312" w:eastAsia="仿宋_GB2312" w:cs="仿宋_GB2312"/>
                    </w:rPr>
                  </w:pPr>
                  <w:r>
                    <w:rPr>
                      <w:rFonts w:hint="eastAsia" w:ascii="仿宋_GB2312" w:hAnsi="仿宋_GB2312" w:eastAsia="仿宋_GB2312" w:cs="仿宋_GB2312"/>
                    </w:rPr>
                    <w:t>15</w:t>
                  </w:r>
                </w:p>
              </w:tc>
              <w:tc>
                <w:tcPr>
                  <w:tcW w:w="0" w:type="auto"/>
                  <w:vMerge w:val="continue"/>
                  <w:tcBorders>
                    <w:left w:val="single" w:color="000000" w:sz="4" w:space="0"/>
                    <w:right w:val="single" w:color="000000" w:sz="4" w:space="0"/>
                  </w:tcBorders>
                  <w:vAlign w:val="center"/>
                </w:tcPr>
                <w:p w14:paraId="0C1779A6">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940F5C6">
                  <w:pPr>
                    <w:pStyle w:val="6"/>
                    <w:rPr>
                      <w:rFonts w:hint="eastAsia" w:ascii="仿宋_GB2312" w:hAnsi="仿宋_GB2312" w:eastAsia="仿宋_GB2312" w:cs="仿宋_GB2312"/>
                    </w:rPr>
                  </w:pPr>
                  <w:r>
                    <w:rPr>
                      <w:rFonts w:hint="eastAsia" w:ascii="仿宋_GB2312" w:hAnsi="仿宋_GB2312" w:eastAsia="仿宋_GB2312" w:cs="仿宋_GB2312"/>
                    </w:rPr>
                    <w:t>防水自粘带</w:t>
                  </w:r>
                </w:p>
              </w:tc>
              <w:tc>
                <w:tcPr>
                  <w:tcW w:w="0" w:type="auto"/>
                  <w:tcBorders>
                    <w:top w:val="single" w:color="000000" w:sz="4" w:space="0"/>
                    <w:left w:val="single" w:color="000000" w:sz="4" w:space="0"/>
                    <w:bottom w:val="single" w:color="000000" w:sz="4" w:space="0"/>
                    <w:right w:val="single" w:color="000000" w:sz="4" w:space="0"/>
                  </w:tcBorders>
                  <w:vAlign w:val="center"/>
                </w:tcPr>
                <w:p w14:paraId="26DE7B43">
                  <w:pPr>
                    <w:pStyle w:val="6"/>
                    <w:rPr>
                      <w:rFonts w:hint="eastAsia" w:ascii="仿宋_GB2312" w:hAnsi="仿宋_GB2312" w:eastAsia="仿宋_GB2312" w:cs="仿宋_GB2312"/>
                    </w:rPr>
                  </w:pPr>
                  <w:r>
                    <w:rPr>
                      <w:rFonts w:hint="eastAsia" w:ascii="仿宋_GB2312" w:hAnsi="仿宋_GB2312" w:eastAsia="仿宋_GB2312" w:cs="仿宋_GB2312"/>
                    </w:rPr>
                    <w:t>若干</w:t>
                  </w:r>
                </w:p>
              </w:tc>
              <w:tc>
                <w:tcPr>
                  <w:tcW w:w="0" w:type="auto"/>
                  <w:tcBorders>
                    <w:top w:val="single" w:color="000000" w:sz="4" w:space="0"/>
                    <w:left w:val="single" w:color="000000" w:sz="4" w:space="0"/>
                    <w:bottom w:val="single" w:color="000000" w:sz="4" w:space="0"/>
                    <w:right w:val="single" w:color="000000" w:sz="4" w:space="0"/>
                  </w:tcBorders>
                  <w:vAlign w:val="center"/>
                </w:tcPr>
                <w:p w14:paraId="7435F019">
                  <w:pPr>
                    <w:pStyle w:val="6"/>
                    <w:rPr>
                      <w:rFonts w:hint="eastAsia" w:ascii="仿宋_GB2312" w:hAnsi="仿宋_GB2312" w:eastAsia="仿宋_GB2312" w:cs="仿宋_GB2312"/>
                    </w:rPr>
                  </w:pPr>
                </w:p>
              </w:tc>
            </w:tr>
            <w:tr w14:paraId="1B47D542">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4502DC92">
                  <w:pPr>
                    <w:pStyle w:val="6"/>
                    <w:rPr>
                      <w:rFonts w:hint="eastAsia" w:ascii="仿宋_GB2312" w:hAnsi="仿宋_GB2312" w:eastAsia="仿宋_GB2312" w:cs="仿宋_GB2312"/>
                    </w:rPr>
                  </w:pPr>
                  <w:r>
                    <w:rPr>
                      <w:rFonts w:hint="eastAsia" w:ascii="仿宋_GB2312" w:hAnsi="仿宋_GB2312" w:eastAsia="仿宋_GB2312" w:cs="仿宋_GB2312"/>
                    </w:rPr>
                    <w:t>16</w:t>
                  </w:r>
                </w:p>
              </w:tc>
              <w:tc>
                <w:tcPr>
                  <w:tcW w:w="0" w:type="auto"/>
                  <w:vMerge w:val="continue"/>
                  <w:tcBorders>
                    <w:left w:val="single" w:color="000000" w:sz="4" w:space="0"/>
                    <w:right w:val="single" w:color="000000" w:sz="4" w:space="0"/>
                  </w:tcBorders>
                  <w:vAlign w:val="center"/>
                </w:tcPr>
                <w:p w14:paraId="14375ECB">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970F2B4">
                  <w:pPr>
                    <w:pStyle w:val="6"/>
                    <w:rPr>
                      <w:rFonts w:hint="eastAsia" w:ascii="仿宋_GB2312" w:hAnsi="仿宋_GB2312" w:eastAsia="仿宋_GB2312" w:cs="仿宋_GB2312"/>
                    </w:rPr>
                  </w:pPr>
                  <w:r>
                    <w:rPr>
                      <w:rFonts w:hint="eastAsia" w:ascii="仿宋_GB2312" w:hAnsi="仿宋_GB2312" w:eastAsia="仿宋_GB2312" w:cs="仿宋_GB2312"/>
                    </w:rPr>
                    <w:t>电缆线</w:t>
                  </w:r>
                </w:p>
              </w:tc>
              <w:tc>
                <w:tcPr>
                  <w:tcW w:w="0" w:type="auto"/>
                  <w:tcBorders>
                    <w:top w:val="single" w:color="000000" w:sz="4" w:space="0"/>
                    <w:left w:val="single" w:color="000000" w:sz="4" w:space="0"/>
                    <w:bottom w:val="single" w:color="000000" w:sz="4" w:space="0"/>
                    <w:right w:val="single" w:color="000000" w:sz="4" w:space="0"/>
                  </w:tcBorders>
                  <w:vAlign w:val="center"/>
                </w:tcPr>
                <w:p w14:paraId="7DE29205">
                  <w:pPr>
                    <w:pStyle w:val="6"/>
                    <w:rPr>
                      <w:rFonts w:hint="eastAsia" w:ascii="仿宋_GB2312" w:hAnsi="仿宋_GB2312" w:eastAsia="仿宋_GB2312" w:cs="仿宋_GB2312"/>
                    </w:rPr>
                  </w:pPr>
                  <w:r>
                    <w:rPr>
                      <w:rFonts w:hint="eastAsia" w:ascii="仿宋_GB2312" w:hAnsi="仿宋_GB2312" w:eastAsia="仿宋_GB2312" w:cs="仿宋_GB2312"/>
                    </w:rPr>
                    <w:t>若干</w:t>
                  </w:r>
                </w:p>
              </w:tc>
              <w:tc>
                <w:tcPr>
                  <w:tcW w:w="0" w:type="auto"/>
                  <w:tcBorders>
                    <w:top w:val="single" w:color="000000" w:sz="4" w:space="0"/>
                    <w:left w:val="single" w:color="000000" w:sz="4" w:space="0"/>
                    <w:bottom w:val="single" w:color="000000" w:sz="4" w:space="0"/>
                    <w:right w:val="single" w:color="000000" w:sz="4" w:space="0"/>
                  </w:tcBorders>
                  <w:vAlign w:val="center"/>
                </w:tcPr>
                <w:p w14:paraId="453A3DC9">
                  <w:pPr>
                    <w:pStyle w:val="6"/>
                    <w:rPr>
                      <w:rFonts w:hint="eastAsia" w:ascii="仿宋_GB2312" w:hAnsi="仿宋_GB2312" w:eastAsia="仿宋_GB2312" w:cs="仿宋_GB2312"/>
                    </w:rPr>
                  </w:pPr>
                </w:p>
              </w:tc>
            </w:tr>
            <w:tr w14:paraId="35BD686B">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510CEF36">
                  <w:pPr>
                    <w:pStyle w:val="6"/>
                    <w:rPr>
                      <w:rFonts w:hint="eastAsia" w:ascii="仿宋_GB2312" w:hAnsi="仿宋_GB2312" w:eastAsia="仿宋_GB2312" w:cs="仿宋_GB2312"/>
                    </w:rPr>
                  </w:pPr>
                  <w:r>
                    <w:rPr>
                      <w:rFonts w:hint="eastAsia" w:ascii="仿宋_GB2312" w:hAnsi="仿宋_GB2312" w:eastAsia="仿宋_GB2312" w:cs="仿宋_GB2312"/>
                    </w:rPr>
                    <w:t>17</w:t>
                  </w:r>
                </w:p>
              </w:tc>
              <w:tc>
                <w:tcPr>
                  <w:tcW w:w="0" w:type="auto"/>
                  <w:vMerge w:val="continue"/>
                  <w:tcBorders>
                    <w:left w:val="single" w:color="000000" w:sz="4" w:space="0"/>
                    <w:right w:val="single" w:color="000000" w:sz="4" w:space="0"/>
                  </w:tcBorders>
                  <w:vAlign w:val="center"/>
                </w:tcPr>
                <w:p w14:paraId="16D2990F">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AC9A11B">
                  <w:pPr>
                    <w:pStyle w:val="6"/>
                    <w:rPr>
                      <w:rFonts w:hint="eastAsia" w:ascii="仿宋_GB2312" w:hAnsi="仿宋_GB2312" w:eastAsia="仿宋_GB2312" w:cs="仿宋_GB2312"/>
                    </w:rPr>
                  </w:pPr>
                  <w:r>
                    <w:rPr>
                      <w:rFonts w:hint="eastAsia" w:ascii="仿宋_GB2312" w:hAnsi="仿宋_GB2312" w:eastAsia="仿宋_GB2312" w:cs="仿宋_GB2312"/>
                    </w:rPr>
                    <w:t>PVC胶水</w:t>
                  </w:r>
                </w:p>
              </w:tc>
              <w:tc>
                <w:tcPr>
                  <w:tcW w:w="0" w:type="auto"/>
                  <w:tcBorders>
                    <w:top w:val="single" w:color="000000" w:sz="4" w:space="0"/>
                    <w:left w:val="single" w:color="000000" w:sz="4" w:space="0"/>
                    <w:bottom w:val="single" w:color="000000" w:sz="4" w:space="0"/>
                    <w:right w:val="single" w:color="000000" w:sz="4" w:space="0"/>
                  </w:tcBorders>
                  <w:vAlign w:val="center"/>
                </w:tcPr>
                <w:p w14:paraId="02596B2B">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3D07003B">
                  <w:pPr>
                    <w:pStyle w:val="6"/>
                    <w:rPr>
                      <w:rFonts w:hint="eastAsia" w:ascii="仿宋_GB2312" w:hAnsi="仿宋_GB2312" w:eastAsia="仿宋_GB2312" w:cs="仿宋_GB2312"/>
                    </w:rPr>
                  </w:pPr>
                </w:p>
              </w:tc>
            </w:tr>
            <w:tr w14:paraId="54E485F4">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1D4C8B81">
                  <w:pPr>
                    <w:pStyle w:val="6"/>
                    <w:rPr>
                      <w:rFonts w:hint="eastAsia" w:ascii="仿宋_GB2312" w:hAnsi="仿宋_GB2312" w:eastAsia="仿宋_GB2312" w:cs="仿宋_GB2312"/>
                    </w:rPr>
                  </w:pPr>
                  <w:r>
                    <w:rPr>
                      <w:rFonts w:hint="eastAsia" w:ascii="仿宋_GB2312" w:hAnsi="仿宋_GB2312" w:eastAsia="仿宋_GB2312" w:cs="仿宋_GB2312"/>
                    </w:rPr>
                    <w:t>18</w:t>
                  </w:r>
                </w:p>
              </w:tc>
              <w:tc>
                <w:tcPr>
                  <w:tcW w:w="0" w:type="auto"/>
                  <w:vMerge w:val="continue"/>
                  <w:tcBorders>
                    <w:left w:val="single" w:color="000000" w:sz="4" w:space="0"/>
                    <w:right w:val="single" w:color="000000" w:sz="4" w:space="0"/>
                  </w:tcBorders>
                  <w:vAlign w:val="center"/>
                </w:tcPr>
                <w:p w14:paraId="5DF57E6C">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E305EA0">
                  <w:pPr>
                    <w:pStyle w:val="6"/>
                    <w:rPr>
                      <w:rFonts w:hint="eastAsia" w:ascii="仿宋_GB2312" w:hAnsi="仿宋_GB2312" w:eastAsia="仿宋_GB2312" w:cs="仿宋_GB2312"/>
                    </w:rPr>
                  </w:pPr>
                  <w:r>
                    <w:rPr>
                      <w:rFonts w:hint="eastAsia" w:ascii="仿宋_GB2312" w:hAnsi="仿宋_GB2312" w:eastAsia="仿宋_GB2312" w:cs="仿宋_GB2312"/>
                    </w:rPr>
                    <w:t>PVC管材/接头</w:t>
                  </w:r>
                </w:p>
              </w:tc>
              <w:tc>
                <w:tcPr>
                  <w:tcW w:w="0" w:type="auto"/>
                  <w:tcBorders>
                    <w:top w:val="single" w:color="000000" w:sz="4" w:space="0"/>
                    <w:left w:val="single" w:color="000000" w:sz="4" w:space="0"/>
                    <w:bottom w:val="single" w:color="000000" w:sz="4" w:space="0"/>
                    <w:right w:val="single" w:color="000000" w:sz="4" w:space="0"/>
                  </w:tcBorders>
                  <w:vAlign w:val="center"/>
                </w:tcPr>
                <w:p w14:paraId="6D871ECB">
                  <w:pPr>
                    <w:pStyle w:val="6"/>
                    <w:rPr>
                      <w:rFonts w:hint="eastAsia" w:ascii="仿宋_GB2312" w:hAnsi="仿宋_GB2312" w:eastAsia="仿宋_GB2312" w:cs="仿宋_GB2312"/>
                    </w:rPr>
                  </w:pPr>
                  <w:r>
                    <w:rPr>
                      <w:rFonts w:hint="eastAsia" w:ascii="仿宋_GB2312" w:hAnsi="仿宋_GB2312" w:eastAsia="仿宋_GB2312" w:cs="仿宋_GB2312"/>
                    </w:rPr>
                    <w:t>若干</w:t>
                  </w:r>
                </w:p>
              </w:tc>
              <w:tc>
                <w:tcPr>
                  <w:tcW w:w="0" w:type="auto"/>
                  <w:tcBorders>
                    <w:top w:val="single" w:color="000000" w:sz="4" w:space="0"/>
                    <w:left w:val="single" w:color="000000" w:sz="4" w:space="0"/>
                    <w:bottom w:val="single" w:color="000000" w:sz="4" w:space="0"/>
                    <w:right w:val="single" w:color="000000" w:sz="4" w:space="0"/>
                  </w:tcBorders>
                  <w:vAlign w:val="center"/>
                </w:tcPr>
                <w:p w14:paraId="1A585B09">
                  <w:pPr>
                    <w:pStyle w:val="6"/>
                    <w:rPr>
                      <w:rFonts w:hint="eastAsia" w:ascii="仿宋_GB2312" w:hAnsi="仿宋_GB2312" w:eastAsia="仿宋_GB2312" w:cs="仿宋_GB2312"/>
                    </w:rPr>
                  </w:pPr>
                </w:p>
              </w:tc>
            </w:tr>
            <w:tr w14:paraId="3A4035F5">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191A234E">
                  <w:pPr>
                    <w:pStyle w:val="6"/>
                    <w:rPr>
                      <w:rFonts w:hint="eastAsia" w:ascii="仿宋_GB2312" w:hAnsi="仿宋_GB2312" w:eastAsia="仿宋_GB2312" w:cs="仿宋_GB2312"/>
                    </w:rPr>
                  </w:pPr>
                  <w:r>
                    <w:rPr>
                      <w:rFonts w:hint="eastAsia" w:ascii="仿宋_GB2312" w:hAnsi="仿宋_GB2312" w:eastAsia="仿宋_GB2312" w:cs="仿宋_GB2312"/>
                    </w:rPr>
                    <w:t>19</w:t>
                  </w:r>
                </w:p>
              </w:tc>
              <w:tc>
                <w:tcPr>
                  <w:tcW w:w="0" w:type="auto"/>
                  <w:vMerge w:val="continue"/>
                  <w:tcBorders>
                    <w:left w:val="single" w:color="000000" w:sz="4" w:space="0"/>
                    <w:right w:val="single" w:color="000000" w:sz="4" w:space="0"/>
                  </w:tcBorders>
                  <w:vAlign w:val="center"/>
                </w:tcPr>
                <w:p w14:paraId="6A4DD985">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208AE39">
                  <w:pPr>
                    <w:pStyle w:val="6"/>
                    <w:rPr>
                      <w:rFonts w:hint="eastAsia" w:ascii="仿宋_GB2312" w:hAnsi="仿宋_GB2312" w:eastAsia="仿宋_GB2312" w:cs="仿宋_GB2312"/>
                    </w:rPr>
                  </w:pPr>
                  <w:r>
                    <w:rPr>
                      <w:rFonts w:hint="eastAsia" w:ascii="仿宋_GB2312" w:hAnsi="仿宋_GB2312" w:eastAsia="仿宋_GB2312" w:cs="仿宋_GB2312"/>
                    </w:rPr>
                    <w:t>钢丝绳</w:t>
                  </w:r>
                </w:p>
              </w:tc>
              <w:tc>
                <w:tcPr>
                  <w:tcW w:w="0" w:type="auto"/>
                  <w:tcBorders>
                    <w:top w:val="single" w:color="000000" w:sz="4" w:space="0"/>
                    <w:left w:val="single" w:color="000000" w:sz="4" w:space="0"/>
                    <w:bottom w:val="single" w:color="000000" w:sz="4" w:space="0"/>
                    <w:right w:val="single" w:color="000000" w:sz="4" w:space="0"/>
                  </w:tcBorders>
                  <w:vAlign w:val="center"/>
                </w:tcPr>
                <w:p w14:paraId="1502419F">
                  <w:pPr>
                    <w:pStyle w:val="6"/>
                    <w:rPr>
                      <w:rFonts w:hint="eastAsia" w:ascii="仿宋_GB2312" w:hAnsi="仿宋_GB2312" w:eastAsia="仿宋_GB2312" w:cs="仿宋_GB2312"/>
                    </w:rPr>
                  </w:pPr>
                  <w:r>
                    <w:rPr>
                      <w:rFonts w:hint="eastAsia" w:ascii="仿宋_GB2312" w:hAnsi="仿宋_GB2312" w:eastAsia="仿宋_GB2312" w:cs="仿宋_GB2312"/>
                    </w:rPr>
                    <w:t>若干</w:t>
                  </w:r>
                </w:p>
              </w:tc>
              <w:tc>
                <w:tcPr>
                  <w:tcW w:w="0" w:type="auto"/>
                  <w:tcBorders>
                    <w:top w:val="single" w:color="000000" w:sz="4" w:space="0"/>
                    <w:left w:val="single" w:color="000000" w:sz="4" w:space="0"/>
                    <w:bottom w:val="single" w:color="000000" w:sz="4" w:space="0"/>
                    <w:right w:val="single" w:color="000000" w:sz="4" w:space="0"/>
                  </w:tcBorders>
                  <w:vAlign w:val="center"/>
                </w:tcPr>
                <w:p w14:paraId="15678743">
                  <w:pPr>
                    <w:pStyle w:val="6"/>
                    <w:rPr>
                      <w:rFonts w:hint="eastAsia" w:ascii="仿宋_GB2312" w:hAnsi="仿宋_GB2312" w:eastAsia="仿宋_GB2312" w:cs="仿宋_GB2312"/>
                    </w:rPr>
                  </w:pPr>
                </w:p>
              </w:tc>
            </w:tr>
            <w:tr w14:paraId="0BDABB1C">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2FEBC7E5">
                  <w:pPr>
                    <w:pStyle w:val="6"/>
                    <w:rPr>
                      <w:rFonts w:hint="eastAsia" w:ascii="仿宋_GB2312" w:hAnsi="仿宋_GB2312" w:eastAsia="仿宋_GB2312" w:cs="仿宋_GB2312"/>
                    </w:rPr>
                  </w:pPr>
                  <w:r>
                    <w:rPr>
                      <w:rFonts w:hint="eastAsia" w:ascii="仿宋_GB2312" w:hAnsi="仿宋_GB2312" w:eastAsia="仿宋_GB2312" w:cs="仿宋_GB2312"/>
                    </w:rPr>
                    <w:t>20</w:t>
                  </w:r>
                </w:p>
              </w:tc>
              <w:tc>
                <w:tcPr>
                  <w:tcW w:w="0" w:type="auto"/>
                  <w:vMerge w:val="continue"/>
                  <w:tcBorders>
                    <w:left w:val="single" w:color="000000" w:sz="4" w:space="0"/>
                    <w:right w:val="single" w:color="000000" w:sz="4" w:space="0"/>
                  </w:tcBorders>
                  <w:vAlign w:val="center"/>
                </w:tcPr>
                <w:p w14:paraId="6BEB8370">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BAF2FDD">
                  <w:pPr>
                    <w:pStyle w:val="6"/>
                    <w:rPr>
                      <w:rFonts w:hint="eastAsia" w:ascii="仿宋_GB2312" w:hAnsi="仿宋_GB2312" w:eastAsia="仿宋_GB2312" w:cs="仿宋_GB2312"/>
                    </w:rPr>
                  </w:pPr>
                  <w:r>
                    <w:rPr>
                      <w:rFonts w:hint="eastAsia" w:ascii="仿宋_GB2312" w:hAnsi="仿宋_GB2312" w:eastAsia="仿宋_GB2312" w:cs="仿宋_GB2312"/>
                    </w:rPr>
                    <w:t>扎带</w:t>
                  </w:r>
                </w:p>
              </w:tc>
              <w:tc>
                <w:tcPr>
                  <w:tcW w:w="0" w:type="auto"/>
                  <w:tcBorders>
                    <w:top w:val="single" w:color="000000" w:sz="4" w:space="0"/>
                    <w:left w:val="single" w:color="000000" w:sz="4" w:space="0"/>
                    <w:bottom w:val="single" w:color="000000" w:sz="4" w:space="0"/>
                    <w:right w:val="single" w:color="000000" w:sz="4" w:space="0"/>
                  </w:tcBorders>
                  <w:vAlign w:val="center"/>
                </w:tcPr>
                <w:p w14:paraId="12BA45C7">
                  <w:pPr>
                    <w:pStyle w:val="6"/>
                    <w:rPr>
                      <w:rFonts w:hint="eastAsia" w:ascii="仿宋_GB2312" w:hAnsi="仿宋_GB2312" w:eastAsia="仿宋_GB2312" w:cs="仿宋_GB2312"/>
                    </w:rPr>
                  </w:pPr>
                  <w:r>
                    <w:rPr>
                      <w:rFonts w:hint="eastAsia" w:ascii="仿宋_GB2312" w:hAnsi="仿宋_GB2312" w:eastAsia="仿宋_GB2312" w:cs="仿宋_GB2312"/>
                    </w:rPr>
                    <w:t>若干</w:t>
                  </w:r>
                </w:p>
              </w:tc>
              <w:tc>
                <w:tcPr>
                  <w:tcW w:w="0" w:type="auto"/>
                  <w:tcBorders>
                    <w:top w:val="single" w:color="000000" w:sz="4" w:space="0"/>
                    <w:left w:val="single" w:color="000000" w:sz="4" w:space="0"/>
                    <w:bottom w:val="single" w:color="000000" w:sz="4" w:space="0"/>
                    <w:right w:val="single" w:color="000000" w:sz="4" w:space="0"/>
                  </w:tcBorders>
                  <w:vAlign w:val="center"/>
                </w:tcPr>
                <w:p w14:paraId="07060AFA">
                  <w:pPr>
                    <w:pStyle w:val="6"/>
                    <w:rPr>
                      <w:rFonts w:hint="eastAsia" w:ascii="仿宋_GB2312" w:hAnsi="仿宋_GB2312" w:eastAsia="仿宋_GB2312" w:cs="仿宋_GB2312"/>
                    </w:rPr>
                  </w:pPr>
                </w:p>
              </w:tc>
            </w:tr>
            <w:tr w14:paraId="16A61033">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52CCD708">
                  <w:pPr>
                    <w:pStyle w:val="6"/>
                    <w:rPr>
                      <w:rFonts w:hint="eastAsia" w:ascii="仿宋_GB2312" w:hAnsi="仿宋_GB2312" w:eastAsia="仿宋_GB2312" w:cs="仿宋_GB2312"/>
                    </w:rPr>
                  </w:pPr>
                  <w:r>
                    <w:rPr>
                      <w:rFonts w:hint="eastAsia" w:ascii="仿宋_GB2312" w:hAnsi="仿宋_GB2312" w:eastAsia="仿宋_GB2312" w:cs="仿宋_GB2312"/>
                    </w:rPr>
                    <w:t>21</w:t>
                  </w:r>
                </w:p>
              </w:tc>
              <w:tc>
                <w:tcPr>
                  <w:tcW w:w="0" w:type="auto"/>
                  <w:vMerge w:val="continue"/>
                  <w:tcBorders>
                    <w:left w:val="single" w:color="000000" w:sz="4" w:space="0"/>
                    <w:bottom w:val="single" w:color="000000" w:sz="4" w:space="0"/>
                    <w:right w:val="single" w:color="000000" w:sz="4" w:space="0"/>
                  </w:tcBorders>
                  <w:vAlign w:val="center"/>
                </w:tcPr>
                <w:p w14:paraId="1A977B9B">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908B514">
                  <w:pPr>
                    <w:pStyle w:val="6"/>
                    <w:rPr>
                      <w:rFonts w:hint="eastAsia" w:ascii="仿宋_GB2312" w:hAnsi="仿宋_GB2312" w:eastAsia="仿宋_GB2312" w:cs="仿宋_GB2312"/>
                    </w:rPr>
                  </w:pPr>
                  <w:r>
                    <w:rPr>
                      <w:rFonts w:hint="eastAsia" w:ascii="仿宋_GB2312" w:hAnsi="仿宋_GB2312" w:eastAsia="仿宋_GB2312" w:cs="仿宋_GB2312"/>
                    </w:rPr>
                    <w:t>卡箍</w:t>
                  </w:r>
                </w:p>
              </w:tc>
              <w:tc>
                <w:tcPr>
                  <w:tcW w:w="0" w:type="auto"/>
                  <w:tcBorders>
                    <w:top w:val="single" w:color="000000" w:sz="4" w:space="0"/>
                    <w:left w:val="single" w:color="000000" w:sz="4" w:space="0"/>
                    <w:bottom w:val="single" w:color="000000" w:sz="4" w:space="0"/>
                    <w:right w:val="single" w:color="000000" w:sz="4" w:space="0"/>
                  </w:tcBorders>
                  <w:vAlign w:val="center"/>
                </w:tcPr>
                <w:p w14:paraId="104070FC">
                  <w:pPr>
                    <w:pStyle w:val="6"/>
                    <w:rPr>
                      <w:rFonts w:hint="eastAsia" w:ascii="仿宋_GB2312" w:hAnsi="仿宋_GB2312" w:eastAsia="仿宋_GB2312" w:cs="仿宋_GB2312"/>
                    </w:rPr>
                  </w:pPr>
                  <w:r>
                    <w:rPr>
                      <w:rFonts w:hint="eastAsia" w:ascii="仿宋_GB2312" w:hAnsi="仿宋_GB2312" w:eastAsia="仿宋_GB2312" w:cs="仿宋_GB2312"/>
                    </w:rPr>
                    <w:t>若干</w:t>
                  </w:r>
                </w:p>
              </w:tc>
              <w:tc>
                <w:tcPr>
                  <w:tcW w:w="0" w:type="auto"/>
                  <w:tcBorders>
                    <w:top w:val="single" w:color="000000" w:sz="4" w:space="0"/>
                    <w:left w:val="single" w:color="000000" w:sz="4" w:space="0"/>
                    <w:bottom w:val="single" w:color="000000" w:sz="4" w:space="0"/>
                    <w:right w:val="single" w:color="000000" w:sz="4" w:space="0"/>
                  </w:tcBorders>
                  <w:vAlign w:val="center"/>
                </w:tcPr>
                <w:p w14:paraId="596F9549">
                  <w:pPr>
                    <w:pStyle w:val="6"/>
                    <w:rPr>
                      <w:rFonts w:hint="eastAsia" w:ascii="仿宋_GB2312" w:hAnsi="仿宋_GB2312" w:eastAsia="仿宋_GB2312" w:cs="仿宋_GB2312"/>
                    </w:rPr>
                  </w:pPr>
                </w:p>
              </w:tc>
            </w:tr>
            <w:tr w14:paraId="5A8184BE">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378BFED0">
                  <w:pPr>
                    <w:pStyle w:val="6"/>
                    <w:rPr>
                      <w:rFonts w:hint="eastAsia" w:ascii="仿宋_GB2312" w:hAnsi="仿宋_GB2312" w:eastAsia="仿宋_GB2312" w:cs="仿宋_GB2312"/>
                    </w:rPr>
                  </w:pPr>
                  <w:r>
                    <w:rPr>
                      <w:rFonts w:hint="eastAsia" w:ascii="仿宋_GB2312" w:hAnsi="仿宋_GB2312" w:eastAsia="仿宋_GB2312" w:cs="仿宋_GB2312"/>
                    </w:rPr>
                    <w:t>22</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14:paraId="4392BC39">
                  <w:pPr>
                    <w:pStyle w:val="6"/>
                    <w:rPr>
                      <w:rFonts w:hint="eastAsia" w:ascii="仿宋_GB2312" w:hAnsi="仿宋_GB2312" w:eastAsia="仿宋_GB2312" w:cs="仿宋_GB2312"/>
                    </w:rPr>
                  </w:pPr>
                  <w:r>
                    <w:rPr>
                      <w:rFonts w:hint="eastAsia" w:ascii="仿宋_GB2312" w:hAnsi="仿宋_GB2312" w:eastAsia="仿宋_GB2312" w:cs="仿宋_GB2312"/>
                    </w:rPr>
                    <w:t>清洁工具类</w:t>
                  </w:r>
                </w:p>
              </w:tc>
              <w:tc>
                <w:tcPr>
                  <w:tcW w:w="0" w:type="auto"/>
                  <w:tcBorders>
                    <w:top w:val="single" w:color="000000" w:sz="4" w:space="0"/>
                    <w:left w:val="single" w:color="000000" w:sz="4" w:space="0"/>
                    <w:bottom w:val="single" w:color="000000" w:sz="4" w:space="0"/>
                    <w:right w:val="single" w:color="000000" w:sz="4" w:space="0"/>
                  </w:tcBorders>
                  <w:vAlign w:val="center"/>
                </w:tcPr>
                <w:p w14:paraId="7B6343E8">
                  <w:pPr>
                    <w:pStyle w:val="6"/>
                    <w:rPr>
                      <w:rFonts w:hint="eastAsia" w:ascii="仿宋_GB2312" w:hAnsi="仿宋_GB2312" w:eastAsia="仿宋_GB2312" w:cs="仿宋_GB2312"/>
                    </w:rPr>
                  </w:pPr>
                  <w:r>
                    <w:rPr>
                      <w:rFonts w:hint="eastAsia" w:ascii="仿宋_GB2312" w:hAnsi="仿宋_GB2312" w:eastAsia="仿宋_GB2312" w:cs="仿宋_GB2312"/>
                    </w:rPr>
                    <w:t>洗耳球</w:t>
                  </w:r>
                </w:p>
              </w:tc>
              <w:tc>
                <w:tcPr>
                  <w:tcW w:w="0" w:type="auto"/>
                  <w:tcBorders>
                    <w:top w:val="single" w:color="000000" w:sz="4" w:space="0"/>
                    <w:left w:val="single" w:color="000000" w:sz="4" w:space="0"/>
                    <w:bottom w:val="single" w:color="000000" w:sz="4" w:space="0"/>
                    <w:right w:val="single" w:color="000000" w:sz="4" w:space="0"/>
                  </w:tcBorders>
                  <w:vAlign w:val="center"/>
                </w:tcPr>
                <w:p w14:paraId="4659CAD0">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3B031EA9">
                  <w:pPr>
                    <w:pStyle w:val="6"/>
                    <w:rPr>
                      <w:rFonts w:hint="eastAsia" w:ascii="仿宋_GB2312" w:hAnsi="仿宋_GB2312" w:eastAsia="仿宋_GB2312" w:cs="仿宋_GB2312"/>
                    </w:rPr>
                  </w:pPr>
                </w:p>
              </w:tc>
            </w:tr>
            <w:tr w14:paraId="348A9A5B">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4E241BB2">
                  <w:pPr>
                    <w:pStyle w:val="6"/>
                    <w:rPr>
                      <w:rFonts w:hint="eastAsia" w:ascii="仿宋_GB2312" w:hAnsi="仿宋_GB2312" w:eastAsia="仿宋_GB2312" w:cs="仿宋_GB2312"/>
                    </w:rPr>
                  </w:pPr>
                  <w:r>
                    <w:rPr>
                      <w:rFonts w:hint="eastAsia" w:ascii="仿宋_GB2312" w:hAnsi="仿宋_GB2312" w:eastAsia="仿宋_GB2312" w:cs="仿宋_GB2312"/>
                    </w:rPr>
                    <w:t>23</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2B1E3264">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3189FEC">
                  <w:pPr>
                    <w:pStyle w:val="6"/>
                    <w:rPr>
                      <w:rFonts w:hint="eastAsia" w:ascii="仿宋_GB2312" w:hAnsi="仿宋_GB2312" w:eastAsia="仿宋_GB2312" w:cs="仿宋_GB2312"/>
                    </w:rPr>
                  </w:pPr>
                  <w:r>
                    <w:rPr>
                      <w:rFonts w:hint="eastAsia" w:ascii="仿宋_GB2312" w:hAnsi="仿宋_GB2312" w:eastAsia="仿宋_GB2312" w:cs="仿宋_GB2312"/>
                    </w:rPr>
                    <w:t>注射器</w:t>
                  </w:r>
                </w:p>
              </w:tc>
              <w:tc>
                <w:tcPr>
                  <w:tcW w:w="0" w:type="auto"/>
                  <w:tcBorders>
                    <w:top w:val="single" w:color="000000" w:sz="4" w:space="0"/>
                    <w:left w:val="single" w:color="000000" w:sz="4" w:space="0"/>
                    <w:bottom w:val="single" w:color="000000" w:sz="4" w:space="0"/>
                    <w:right w:val="single" w:color="000000" w:sz="4" w:space="0"/>
                  </w:tcBorders>
                  <w:vAlign w:val="center"/>
                </w:tcPr>
                <w:p w14:paraId="534AE4FE">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1B43AF56">
                  <w:pPr>
                    <w:pStyle w:val="6"/>
                    <w:rPr>
                      <w:rFonts w:hint="eastAsia" w:ascii="仿宋_GB2312" w:hAnsi="仿宋_GB2312" w:eastAsia="仿宋_GB2312" w:cs="仿宋_GB2312"/>
                    </w:rPr>
                  </w:pPr>
                </w:p>
              </w:tc>
            </w:tr>
            <w:tr w14:paraId="4D0A6CB3">
              <w:tblPrEx>
                <w:tblCellMar>
                  <w:top w:w="0" w:type="dxa"/>
                  <w:left w:w="108" w:type="dxa"/>
                  <w:bottom w:w="0" w:type="dxa"/>
                  <w:right w:w="108" w:type="dxa"/>
                </w:tblCellMar>
              </w:tblPrEx>
              <w:trPr>
                <w:trHeight w:val="455" w:hRule="atLeast"/>
                <w:jc w:val="center"/>
              </w:trPr>
              <w:tc>
                <w:tcPr>
                  <w:tcW w:w="0" w:type="auto"/>
                  <w:tcBorders>
                    <w:top w:val="single" w:color="000000" w:sz="4" w:space="0"/>
                    <w:left w:val="single" w:color="000000" w:sz="4" w:space="0"/>
                    <w:bottom w:val="single" w:color="000000" w:sz="4" w:space="0"/>
                    <w:right w:val="single" w:color="000000" w:sz="4" w:space="0"/>
                  </w:tcBorders>
                </w:tcPr>
                <w:p w14:paraId="7F601535">
                  <w:pPr>
                    <w:pStyle w:val="6"/>
                    <w:rPr>
                      <w:rFonts w:hint="eastAsia" w:ascii="仿宋_GB2312" w:hAnsi="仿宋_GB2312" w:eastAsia="仿宋_GB2312" w:cs="仿宋_GB2312"/>
                    </w:rPr>
                  </w:pPr>
                  <w:r>
                    <w:rPr>
                      <w:rFonts w:hint="eastAsia" w:ascii="仿宋_GB2312" w:hAnsi="仿宋_GB2312" w:eastAsia="仿宋_GB2312" w:cs="仿宋_GB2312"/>
                    </w:rPr>
                    <w:t>24</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24187D94">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8A2D1B2">
                  <w:pPr>
                    <w:pStyle w:val="6"/>
                    <w:rPr>
                      <w:rFonts w:hint="eastAsia" w:ascii="仿宋_GB2312" w:hAnsi="仿宋_GB2312" w:eastAsia="仿宋_GB2312" w:cs="仿宋_GB2312"/>
                    </w:rPr>
                  </w:pPr>
                  <w:r>
                    <w:rPr>
                      <w:rFonts w:hint="eastAsia" w:ascii="仿宋_GB2312" w:hAnsi="仿宋_GB2312" w:eastAsia="仿宋_GB2312" w:cs="仿宋_GB2312"/>
                    </w:rPr>
                    <w:t>清洗刷</w:t>
                  </w:r>
                </w:p>
              </w:tc>
              <w:tc>
                <w:tcPr>
                  <w:tcW w:w="0" w:type="auto"/>
                  <w:tcBorders>
                    <w:top w:val="single" w:color="000000" w:sz="4" w:space="0"/>
                    <w:left w:val="single" w:color="000000" w:sz="4" w:space="0"/>
                    <w:bottom w:val="single" w:color="000000" w:sz="4" w:space="0"/>
                    <w:right w:val="single" w:color="000000" w:sz="4" w:space="0"/>
                  </w:tcBorders>
                  <w:vAlign w:val="center"/>
                </w:tcPr>
                <w:p w14:paraId="691B77B7">
                  <w:pPr>
                    <w:pStyle w:val="6"/>
                    <w:rPr>
                      <w:rFonts w:hint="eastAsia" w:ascii="仿宋_GB2312" w:hAnsi="仿宋_GB2312" w:eastAsia="仿宋_GB2312" w:cs="仿宋_GB2312"/>
                    </w:rPr>
                  </w:pPr>
                  <w:r>
                    <w:rPr>
                      <w:rFonts w:hint="eastAsia" w:ascii="仿宋_GB2312" w:hAnsi="仿宋_GB2312" w:eastAsia="仿宋_GB2312" w:cs="仿宋_GB2312"/>
                    </w:rPr>
                    <w:t>若干</w:t>
                  </w:r>
                </w:p>
              </w:tc>
              <w:tc>
                <w:tcPr>
                  <w:tcW w:w="0" w:type="auto"/>
                  <w:tcBorders>
                    <w:top w:val="single" w:color="000000" w:sz="4" w:space="0"/>
                    <w:left w:val="single" w:color="000000" w:sz="4" w:space="0"/>
                    <w:bottom w:val="single" w:color="000000" w:sz="4" w:space="0"/>
                    <w:right w:val="single" w:color="000000" w:sz="4" w:space="0"/>
                  </w:tcBorders>
                  <w:vAlign w:val="center"/>
                </w:tcPr>
                <w:p w14:paraId="2E32716E">
                  <w:pPr>
                    <w:pStyle w:val="6"/>
                    <w:rPr>
                      <w:rFonts w:hint="eastAsia" w:ascii="仿宋_GB2312" w:hAnsi="仿宋_GB2312" w:eastAsia="仿宋_GB2312" w:cs="仿宋_GB2312"/>
                    </w:rPr>
                  </w:pPr>
                </w:p>
              </w:tc>
            </w:tr>
            <w:tr w14:paraId="48EA570B">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6C555926">
                  <w:pPr>
                    <w:pStyle w:val="6"/>
                    <w:rPr>
                      <w:rFonts w:hint="eastAsia" w:ascii="仿宋_GB2312" w:hAnsi="仿宋_GB2312" w:eastAsia="仿宋_GB2312" w:cs="仿宋_GB2312"/>
                    </w:rPr>
                  </w:pPr>
                  <w:r>
                    <w:rPr>
                      <w:rFonts w:hint="eastAsia" w:ascii="仿宋_GB2312" w:hAnsi="仿宋_GB2312" w:eastAsia="仿宋_GB2312" w:cs="仿宋_GB2312"/>
                    </w:rPr>
                    <w:t>25</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24B8D0A0">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DE462EA">
                  <w:pPr>
                    <w:pStyle w:val="6"/>
                    <w:rPr>
                      <w:rFonts w:hint="eastAsia" w:ascii="仿宋_GB2312" w:hAnsi="仿宋_GB2312" w:eastAsia="仿宋_GB2312" w:cs="仿宋_GB2312"/>
                    </w:rPr>
                  </w:pPr>
                  <w:r>
                    <w:rPr>
                      <w:rFonts w:hint="eastAsia" w:ascii="仿宋_GB2312" w:hAnsi="仿宋_GB2312" w:eastAsia="仿宋_GB2312" w:cs="仿宋_GB2312"/>
                    </w:rPr>
                    <w:t>清洁剂</w:t>
                  </w:r>
                </w:p>
              </w:tc>
              <w:tc>
                <w:tcPr>
                  <w:tcW w:w="0" w:type="auto"/>
                  <w:tcBorders>
                    <w:top w:val="single" w:color="000000" w:sz="4" w:space="0"/>
                    <w:left w:val="single" w:color="000000" w:sz="4" w:space="0"/>
                    <w:bottom w:val="single" w:color="000000" w:sz="4" w:space="0"/>
                    <w:right w:val="single" w:color="000000" w:sz="4" w:space="0"/>
                  </w:tcBorders>
                  <w:vAlign w:val="center"/>
                </w:tcPr>
                <w:p w14:paraId="4C0DF638">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40CA0F81">
                  <w:pPr>
                    <w:pStyle w:val="6"/>
                    <w:rPr>
                      <w:rFonts w:hint="eastAsia" w:ascii="仿宋_GB2312" w:hAnsi="仿宋_GB2312" w:eastAsia="仿宋_GB2312" w:cs="仿宋_GB2312"/>
                    </w:rPr>
                  </w:pPr>
                </w:p>
              </w:tc>
            </w:tr>
            <w:tr w14:paraId="0932F2F4">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731E27BF">
                  <w:pPr>
                    <w:pStyle w:val="6"/>
                    <w:rPr>
                      <w:rFonts w:hint="eastAsia" w:ascii="仿宋_GB2312" w:hAnsi="仿宋_GB2312" w:eastAsia="仿宋_GB2312" w:cs="仿宋_GB2312"/>
                    </w:rPr>
                  </w:pPr>
                  <w:r>
                    <w:rPr>
                      <w:rFonts w:hint="eastAsia" w:ascii="仿宋_GB2312" w:hAnsi="仿宋_GB2312" w:eastAsia="仿宋_GB2312" w:cs="仿宋_GB2312"/>
                    </w:rPr>
                    <w:t>26</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4A0E40A">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03AB1D8">
                  <w:pPr>
                    <w:pStyle w:val="6"/>
                    <w:rPr>
                      <w:rFonts w:hint="eastAsia" w:ascii="仿宋_GB2312" w:hAnsi="仿宋_GB2312" w:eastAsia="仿宋_GB2312" w:cs="仿宋_GB2312"/>
                    </w:rPr>
                  </w:pPr>
                  <w:r>
                    <w:rPr>
                      <w:rFonts w:hint="eastAsia" w:ascii="仿宋_GB2312" w:hAnsi="仿宋_GB2312" w:eastAsia="仿宋_GB2312" w:cs="仿宋_GB2312"/>
                    </w:rPr>
                    <w:t>废水桶</w:t>
                  </w:r>
                </w:p>
              </w:tc>
              <w:tc>
                <w:tcPr>
                  <w:tcW w:w="0" w:type="auto"/>
                  <w:tcBorders>
                    <w:top w:val="single" w:color="000000" w:sz="4" w:space="0"/>
                    <w:left w:val="single" w:color="000000" w:sz="4" w:space="0"/>
                    <w:bottom w:val="single" w:color="000000" w:sz="4" w:space="0"/>
                    <w:right w:val="single" w:color="000000" w:sz="4" w:space="0"/>
                  </w:tcBorders>
                  <w:vAlign w:val="center"/>
                </w:tcPr>
                <w:p w14:paraId="11783BD0">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228853B5">
                  <w:pPr>
                    <w:pStyle w:val="6"/>
                    <w:rPr>
                      <w:rFonts w:hint="eastAsia" w:ascii="仿宋_GB2312" w:hAnsi="仿宋_GB2312" w:eastAsia="仿宋_GB2312" w:cs="仿宋_GB2312"/>
                    </w:rPr>
                  </w:pPr>
                </w:p>
              </w:tc>
            </w:tr>
            <w:tr w14:paraId="6ECBF1CC">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21989B44">
                  <w:pPr>
                    <w:pStyle w:val="6"/>
                    <w:rPr>
                      <w:rFonts w:hint="eastAsia" w:ascii="仿宋_GB2312" w:hAnsi="仿宋_GB2312" w:eastAsia="仿宋_GB2312" w:cs="仿宋_GB2312"/>
                    </w:rPr>
                  </w:pPr>
                  <w:r>
                    <w:rPr>
                      <w:rFonts w:hint="eastAsia" w:ascii="仿宋_GB2312" w:hAnsi="仿宋_GB2312" w:eastAsia="仿宋_GB2312" w:cs="仿宋_GB2312"/>
                    </w:rPr>
                    <w:t>27</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14:paraId="2B8713A2">
                  <w:pPr>
                    <w:pStyle w:val="6"/>
                    <w:rPr>
                      <w:rFonts w:hint="eastAsia" w:ascii="仿宋_GB2312" w:hAnsi="仿宋_GB2312" w:eastAsia="仿宋_GB2312" w:cs="仿宋_GB2312"/>
                    </w:rPr>
                  </w:pPr>
                  <w:r>
                    <w:rPr>
                      <w:rFonts w:hint="eastAsia" w:ascii="仿宋_GB2312" w:hAnsi="仿宋_GB2312" w:eastAsia="仿宋_GB2312" w:cs="仿宋_GB2312"/>
                    </w:rPr>
                    <w:t>调试工具类</w:t>
                  </w:r>
                </w:p>
              </w:tc>
              <w:tc>
                <w:tcPr>
                  <w:tcW w:w="0" w:type="auto"/>
                  <w:tcBorders>
                    <w:top w:val="single" w:color="000000" w:sz="4" w:space="0"/>
                    <w:left w:val="single" w:color="000000" w:sz="4" w:space="0"/>
                    <w:bottom w:val="single" w:color="000000" w:sz="4" w:space="0"/>
                    <w:right w:val="single" w:color="000000" w:sz="4" w:space="0"/>
                  </w:tcBorders>
                  <w:vAlign w:val="center"/>
                </w:tcPr>
                <w:p w14:paraId="3D3A2312">
                  <w:pPr>
                    <w:pStyle w:val="6"/>
                    <w:rPr>
                      <w:rFonts w:hint="eastAsia" w:ascii="仿宋_GB2312" w:hAnsi="仿宋_GB2312" w:eastAsia="仿宋_GB2312" w:cs="仿宋_GB2312"/>
                    </w:rPr>
                  </w:pPr>
                  <w:r>
                    <w:rPr>
                      <w:rFonts w:hint="eastAsia" w:ascii="仿宋_GB2312" w:hAnsi="仿宋_GB2312" w:eastAsia="仿宋_GB2312" w:cs="仿宋_GB2312"/>
                    </w:rPr>
                    <w:t>移动硬盘（U盘）</w:t>
                  </w:r>
                </w:p>
              </w:tc>
              <w:tc>
                <w:tcPr>
                  <w:tcW w:w="0" w:type="auto"/>
                  <w:tcBorders>
                    <w:top w:val="single" w:color="000000" w:sz="4" w:space="0"/>
                    <w:left w:val="single" w:color="000000" w:sz="4" w:space="0"/>
                    <w:bottom w:val="single" w:color="000000" w:sz="4" w:space="0"/>
                    <w:right w:val="single" w:color="000000" w:sz="4" w:space="0"/>
                  </w:tcBorders>
                  <w:vAlign w:val="center"/>
                </w:tcPr>
                <w:p w14:paraId="5AF13F98">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0E1FBEBF">
                  <w:pPr>
                    <w:pStyle w:val="6"/>
                    <w:rPr>
                      <w:rFonts w:hint="eastAsia" w:ascii="仿宋_GB2312" w:hAnsi="仿宋_GB2312" w:eastAsia="仿宋_GB2312" w:cs="仿宋_GB2312"/>
                    </w:rPr>
                  </w:pPr>
                  <w:r>
                    <w:rPr>
                      <w:rFonts w:hint="eastAsia" w:ascii="仿宋_GB2312" w:hAnsi="仿宋_GB2312" w:eastAsia="仿宋_GB2312" w:cs="仿宋_GB2312"/>
                    </w:rPr>
                    <w:t>按需选配</w:t>
                  </w:r>
                </w:p>
              </w:tc>
            </w:tr>
            <w:tr w14:paraId="76B0859E">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43426E3D">
                  <w:pPr>
                    <w:pStyle w:val="6"/>
                    <w:rPr>
                      <w:rFonts w:hint="eastAsia" w:ascii="仿宋_GB2312" w:hAnsi="仿宋_GB2312" w:eastAsia="仿宋_GB2312" w:cs="仿宋_GB2312"/>
                    </w:rPr>
                  </w:pPr>
                  <w:r>
                    <w:rPr>
                      <w:rFonts w:hint="eastAsia" w:ascii="仿宋_GB2312" w:hAnsi="仿宋_GB2312" w:eastAsia="仿宋_GB2312" w:cs="仿宋_GB2312"/>
                    </w:rPr>
                    <w:t>28</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A7296A4">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B273341">
                  <w:pPr>
                    <w:pStyle w:val="6"/>
                    <w:rPr>
                      <w:rFonts w:hint="eastAsia" w:ascii="仿宋_GB2312" w:hAnsi="仿宋_GB2312" w:eastAsia="仿宋_GB2312" w:cs="仿宋_GB2312"/>
                    </w:rPr>
                  </w:pPr>
                  <w:r>
                    <w:rPr>
                      <w:rFonts w:hint="eastAsia" w:ascii="仿宋_GB2312" w:hAnsi="仿宋_GB2312" w:eastAsia="仿宋_GB2312" w:cs="仿宋_GB2312"/>
                    </w:rPr>
                    <w:t>网线测试仪</w:t>
                  </w:r>
                </w:p>
              </w:tc>
              <w:tc>
                <w:tcPr>
                  <w:tcW w:w="0" w:type="auto"/>
                  <w:tcBorders>
                    <w:top w:val="single" w:color="000000" w:sz="4" w:space="0"/>
                    <w:left w:val="single" w:color="000000" w:sz="4" w:space="0"/>
                    <w:bottom w:val="single" w:color="000000" w:sz="4" w:space="0"/>
                    <w:right w:val="single" w:color="000000" w:sz="4" w:space="0"/>
                  </w:tcBorders>
                  <w:vAlign w:val="center"/>
                </w:tcPr>
                <w:p w14:paraId="6A41DF5A">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3A67DEA6">
                  <w:pPr>
                    <w:pStyle w:val="6"/>
                    <w:rPr>
                      <w:rFonts w:hint="eastAsia" w:ascii="仿宋_GB2312" w:hAnsi="仿宋_GB2312" w:eastAsia="仿宋_GB2312" w:cs="仿宋_GB2312"/>
                    </w:rPr>
                  </w:pPr>
                  <w:r>
                    <w:rPr>
                      <w:rFonts w:hint="eastAsia" w:ascii="仿宋_GB2312" w:hAnsi="仿宋_GB2312" w:eastAsia="仿宋_GB2312" w:cs="仿宋_GB2312"/>
                    </w:rPr>
                    <w:t>按需选配</w:t>
                  </w:r>
                </w:p>
              </w:tc>
            </w:tr>
            <w:tr w14:paraId="1AD9B8C4">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7261CA2E">
                  <w:pPr>
                    <w:pStyle w:val="6"/>
                    <w:rPr>
                      <w:rFonts w:hint="eastAsia" w:ascii="仿宋_GB2312" w:hAnsi="仿宋_GB2312" w:eastAsia="仿宋_GB2312" w:cs="仿宋_GB2312"/>
                    </w:rPr>
                  </w:pPr>
                  <w:r>
                    <w:rPr>
                      <w:rFonts w:hint="eastAsia" w:ascii="仿宋_GB2312" w:hAnsi="仿宋_GB2312" w:eastAsia="仿宋_GB2312" w:cs="仿宋_GB2312"/>
                    </w:rPr>
                    <w:t>29</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02146FC">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3117B4F">
                  <w:pPr>
                    <w:pStyle w:val="6"/>
                    <w:rPr>
                      <w:rFonts w:hint="eastAsia" w:ascii="仿宋_GB2312" w:hAnsi="仿宋_GB2312" w:eastAsia="仿宋_GB2312" w:cs="仿宋_GB2312"/>
                    </w:rPr>
                  </w:pPr>
                  <w:r>
                    <w:rPr>
                      <w:rFonts w:hint="eastAsia" w:ascii="仿宋_GB2312" w:hAnsi="仿宋_GB2312" w:eastAsia="仿宋_GB2312" w:cs="仿宋_GB2312"/>
                    </w:rPr>
                    <w:t>RS458/RS232串口转换器</w:t>
                  </w:r>
                </w:p>
              </w:tc>
              <w:tc>
                <w:tcPr>
                  <w:tcW w:w="0" w:type="auto"/>
                  <w:tcBorders>
                    <w:top w:val="single" w:color="000000" w:sz="4" w:space="0"/>
                    <w:left w:val="single" w:color="000000" w:sz="4" w:space="0"/>
                    <w:bottom w:val="single" w:color="000000" w:sz="4" w:space="0"/>
                    <w:right w:val="single" w:color="000000" w:sz="4" w:space="0"/>
                  </w:tcBorders>
                  <w:vAlign w:val="center"/>
                </w:tcPr>
                <w:p w14:paraId="0B274254">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08236844">
                  <w:pPr>
                    <w:pStyle w:val="6"/>
                    <w:rPr>
                      <w:rFonts w:hint="eastAsia" w:ascii="仿宋_GB2312" w:hAnsi="仿宋_GB2312" w:eastAsia="仿宋_GB2312" w:cs="仿宋_GB2312"/>
                    </w:rPr>
                  </w:pPr>
                  <w:r>
                    <w:rPr>
                      <w:rFonts w:hint="eastAsia" w:ascii="仿宋_GB2312" w:hAnsi="仿宋_GB2312" w:eastAsia="仿宋_GB2312" w:cs="仿宋_GB2312"/>
                    </w:rPr>
                    <w:t>按需选配</w:t>
                  </w:r>
                </w:p>
              </w:tc>
            </w:tr>
            <w:tr w14:paraId="4B749CEF">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0EEABFE1">
                  <w:pPr>
                    <w:pStyle w:val="6"/>
                    <w:rPr>
                      <w:rFonts w:hint="eastAsia" w:ascii="仿宋_GB2312" w:hAnsi="仿宋_GB2312" w:eastAsia="仿宋_GB2312" w:cs="仿宋_GB2312"/>
                    </w:rPr>
                  </w:pPr>
                  <w:r>
                    <w:rPr>
                      <w:rFonts w:hint="eastAsia" w:ascii="仿宋_GB2312" w:hAnsi="仿宋_GB2312" w:eastAsia="仿宋_GB2312" w:cs="仿宋_GB2312"/>
                    </w:rPr>
                    <w:t>30</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2C4AAB0">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D0101DA">
                  <w:pPr>
                    <w:pStyle w:val="6"/>
                    <w:rPr>
                      <w:rFonts w:hint="eastAsia" w:ascii="仿宋_GB2312" w:hAnsi="仿宋_GB2312" w:eastAsia="仿宋_GB2312" w:cs="仿宋_GB2312"/>
                    </w:rPr>
                  </w:pPr>
                  <w:r>
                    <w:rPr>
                      <w:rFonts w:hint="eastAsia" w:ascii="仿宋_GB2312" w:hAnsi="仿宋_GB2312" w:eastAsia="仿宋_GB2312" w:cs="仿宋_GB2312"/>
                    </w:rPr>
                    <w:t>USB转串口线</w:t>
                  </w:r>
                </w:p>
              </w:tc>
              <w:tc>
                <w:tcPr>
                  <w:tcW w:w="0" w:type="auto"/>
                  <w:tcBorders>
                    <w:top w:val="single" w:color="000000" w:sz="4" w:space="0"/>
                    <w:left w:val="single" w:color="000000" w:sz="4" w:space="0"/>
                    <w:bottom w:val="single" w:color="000000" w:sz="4" w:space="0"/>
                    <w:right w:val="single" w:color="000000" w:sz="4" w:space="0"/>
                  </w:tcBorders>
                  <w:vAlign w:val="center"/>
                </w:tcPr>
                <w:p w14:paraId="34C724D1">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682F510F">
                  <w:pPr>
                    <w:pStyle w:val="6"/>
                    <w:rPr>
                      <w:rFonts w:hint="eastAsia" w:ascii="仿宋_GB2312" w:hAnsi="仿宋_GB2312" w:eastAsia="仿宋_GB2312" w:cs="仿宋_GB2312"/>
                    </w:rPr>
                  </w:pPr>
                  <w:r>
                    <w:rPr>
                      <w:rFonts w:hint="eastAsia" w:ascii="仿宋_GB2312" w:hAnsi="仿宋_GB2312" w:eastAsia="仿宋_GB2312" w:cs="仿宋_GB2312"/>
                    </w:rPr>
                    <w:t>按需选配</w:t>
                  </w:r>
                </w:p>
              </w:tc>
            </w:tr>
            <w:tr w14:paraId="79000AFC">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218EAE6D">
                  <w:pPr>
                    <w:pStyle w:val="6"/>
                    <w:rPr>
                      <w:rFonts w:hint="eastAsia" w:ascii="仿宋_GB2312" w:hAnsi="仿宋_GB2312" w:eastAsia="仿宋_GB2312" w:cs="仿宋_GB2312"/>
                    </w:rPr>
                  </w:pPr>
                  <w:r>
                    <w:rPr>
                      <w:rFonts w:hint="eastAsia" w:ascii="仿宋_GB2312" w:hAnsi="仿宋_GB2312" w:eastAsia="仿宋_GB2312" w:cs="仿宋_GB2312"/>
                    </w:rPr>
                    <w:t>31</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2E52D53F">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C6A10E5">
                  <w:pPr>
                    <w:pStyle w:val="6"/>
                    <w:rPr>
                      <w:rFonts w:hint="eastAsia" w:ascii="仿宋_GB2312" w:hAnsi="仿宋_GB2312" w:eastAsia="仿宋_GB2312" w:cs="仿宋_GB2312"/>
                    </w:rPr>
                  </w:pPr>
                  <w:r>
                    <w:rPr>
                      <w:rFonts w:hint="eastAsia" w:ascii="仿宋_GB2312" w:hAnsi="仿宋_GB2312" w:eastAsia="仿宋_GB2312" w:cs="仿宋_GB2312"/>
                    </w:rPr>
                    <w:t>全直连网线</w:t>
                  </w:r>
                </w:p>
              </w:tc>
              <w:tc>
                <w:tcPr>
                  <w:tcW w:w="0" w:type="auto"/>
                  <w:tcBorders>
                    <w:top w:val="single" w:color="000000" w:sz="4" w:space="0"/>
                    <w:left w:val="single" w:color="000000" w:sz="4" w:space="0"/>
                    <w:bottom w:val="single" w:color="000000" w:sz="4" w:space="0"/>
                    <w:right w:val="single" w:color="000000" w:sz="4" w:space="0"/>
                  </w:tcBorders>
                  <w:vAlign w:val="center"/>
                </w:tcPr>
                <w:p w14:paraId="2004AF12">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52344DE2">
                  <w:pPr>
                    <w:pStyle w:val="6"/>
                    <w:rPr>
                      <w:rFonts w:hint="eastAsia" w:ascii="仿宋_GB2312" w:hAnsi="仿宋_GB2312" w:eastAsia="仿宋_GB2312" w:cs="仿宋_GB2312"/>
                    </w:rPr>
                  </w:pPr>
                  <w:r>
                    <w:rPr>
                      <w:rFonts w:hint="eastAsia" w:ascii="仿宋_GB2312" w:hAnsi="仿宋_GB2312" w:eastAsia="仿宋_GB2312" w:cs="仿宋_GB2312"/>
                    </w:rPr>
                    <w:t>按需选配</w:t>
                  </w:r>
                </w:p>
              </w:tc>
            </w:tr>
            <w:tr w14:paraId="63E95327">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6BB423B7">
                  <w:pPr>
                    <w:pStyle w:val="6"/>
                    <w:rPr>
                      <w:rFonts w:hint="eastAsia" w:ascii="仿宋_GB2312" w:hAnsi="仿宋_GB2312" w:eastAsia="仿宋_GB2312" w:cs="仿宋_GB2312"/>
                    </w:rPr>
                  </w:pPr>
                  <w:r>
                    <w:rPr>
                      <w:rFonts w:hint="eastAsia" w:ascii="仿宋_GB2312" w:hAnsi="仿宋_GB2312" w:eastAsia="仿宋_GB2312" w:cs="仿宋_GB2312"/>
                    </w:rPr>
                    <w:t>32</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09E9E1E">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9EF732A">
                  <w:pPr>
                    <w:pStyle w:val="6"/>
                    <w:rPr>
                      <w:rFonts w:hint="eastAsia" w:ascii="仿宋_GB2312" w:hAnsi="仿宋_GB2312" w:eastAsia="仿宋_GB2312" w:cs="仿宋_GB2312"/>
                    </w:rPr>
                  </w:pPr>
                  <w:r>
                    <w:rPr>
                      <w:rFonts w:hint="eastAsia" w:ascii="仿宋_GB2312" w:hAnsi="仿宋_GB2312" w:eastAsia="仿宋_GB2312" w:cs="仿宋_GB2312"/>
                    </w:rPr>
                    <w:t>交叉网线</w:t>
                  </w:r>
                </w:p>
              </w:tc>
              <w:tc>
                <w:tcPr>
                  <w:tcW w:w="0" w:type="auto"/>
                  <w:tcBorders>
                    <w:top w:val="single" w:color="000000" w:sz="4" w:space="0"/>
                    <w:left w:val="single" w:color="000000" w:sz="4" w:space="0"/>
                    <w:bottom w:val="single" w:color="000000" w:sz="4" w:space="0"/>
                    <w:right w:val="single" w:color="000000" w:sz="4" w:space="0"/>
                  </w:tcBorders>
                  <w:vAlign w:val="center"/>
                </w:tcPr>
                <w:p w14:paraId="2DA8CC0A">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479C9C62">
                  <w:pPr>
                    <w:pStyle w:val="6"/>
                    <w:rPr>
                      <w:rFonts w:hint="eastAsia" w:ascii="仿宋_GB2312" w:hAnsi="仿宋_GB2312" w:eastAsia="仿宋_GB2312" w:cs="仿宋_GB2312"/>
                    </w:rPr>
                  </w:pPr>
                  <w:r>
                    <w:rPr>
                      <w:rFonts w:hint="eastAsia" w:ascii="仿宋_GB2312" w:hAnsi="仿宋_GB2312" w:eastAsia="仿宋_GB2312" w:cs="仿宋_GB2312"/>
                    </w:rPr>
                    <w:t>按需选配</w:t>
                  </w:r>
                </w:p>
              </w:tc>
            </w:tr>
            <w:tr w14:paraId="2DDF54C6">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194355D4">
                  <w:pPr>
                    <w:pStyle w:val="6"/>
                    <w:rPr>
                      <w:rFonts w:hint="eastAsia" w:ascii="仿宋_GB2312" w:hAnsi="仿宋_GB2312" w:eastAsia="仿宋_GB2312" w:cs="仿宋_GB2312"/>
                    </w:rPr>
                  </w:pPr>
                  <w:r>
                    <w:rPr>
                      <w:rFonts w:hint="eastAsia" w:ascii="仿宋_GB2312" w:hAnsi="仿宋_GB2312" w:eastAsia="仿宋_GB2312" w:cs="仿宋_GB2312"/>
                    </w:rPr>
                    <w:t>33</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487E51E">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C48256D">
                  <w:pPr>
                    <w:pStyle w:val="6"/>
                    <w:rPr>
                      <w:rFonts w:hint="eastAsia" w:ascii="仿宋_GB2312" w:hAnsi="仿宋_GB2312" w:eastAsia="仿宋_GB2312" w:cs="仿宋_GB2312"/>
                    </w:rPr>
                  </w:pPr>
                  <w:r>
                    <w:rPr>
                      <w:rFonts w:hint="eastAsia" w:ascii="仿宋_GB2312" w:hAnsi="仿宋_GB2312" w:eastAsia="仿宋_GB2312" w:cs="仿宋_GB2312"/>
                    </w:rPr>
                    <w:t>全直连公母串口线</w:t>
                  </w:r>
                </w:p>
              </w:tc>
              <w:tc>
                <w:tcPr>
                  <w:tcW w:w="0" w:type="auto"/>
                  <w:tcBorders>
                    <w:top w:val="single" w:color="000000" w:sz="4" w:space="0"/>
                    <w:left w:val="single" w:color="000000" w:sz="4" w:space="0"/>
                    <w:bottom w:val="single" w:color="000000" w:sz="4" w:space="0"/>
                    <w:right w:val="single" w:color="000000" w:sz="4" w:space="0"/>
                  </w:tcBorders>
                  <w:vAlign w:val="center"/>
                </w:tcPr>
                <w:p w14:paraId="7C217CF2">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4CBF9619">
                  <w:pPr>
                    <w:pStyle w:val="6"/>
                    <w:rPr>
                      <w:rFonts w:hint="eastAsia" w:ascii="仿宋_GB2312" w:hAnsi="仿宋_GB2312" w:eastAsia="仿宋_GB2312" w:cs="仿宋_GB2312"/>
                    </w:rPr>
                  </w:pPr>
                  <w:r>
                    <w:rPr>
                      <w:rFonts w:hint="eastAsia" w:ascii="仿宋_GB2312" w:hAnsi="仿宋_GB2312" w:eastAsia="仿宋_GB2312" w:cs="仿宋_GB2312"/>
                    </w:rPr>
                    <w:t>按需选配</w:t>
                  </w:r>
                </w:p>
              </w:tc>
            </w:tr>
            <w:tr w14:paraId="328ED91B">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70FDABAF">
                  <w:pPr>
                    <w:pStyle w:val="6"/>
                    <w:rPr>
                      <w:rFonts w:hint="eastAsia" w:ascii="仿宋_GB2312" w:hAnsi="仿宋_GB2312" w:eastAsia="仿宋_GB2312" w:cs="仿宋_GB2312"/>
                    </w:rPr>
                  </w:pPr>
                  <w:r>
                    <w:rPr>
                      <w:rFonts w:hint="eastAsia" w:ascii="仿宋_GB2312" w:hAnsi="仿宋_GB2312" w:eastAsia="仿宋_GB2312" w:cs="仿宋_GB2312"/>
                    </w:rPr>
                    <w:t>34</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516EFD6">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1765FB6">
                  <w:pPr>
                    <w:pStyle w:val="6"/>
                    <w:rPr>
                      <w:rFonts w:hint="eastAsia" w:ascii="仿宋_GB2312" w:hAnsi="仿宋_GB2312" w:eastAsia="仿宋_GB2312" w:cs="仿宋_GB2312"/>
                    </w:rPr>
                  </w:pPr>
                  <w:r>
                    <w:rPr>
                      <w:rFonts w:hint="eastAsia" w:ascii="仿宋_GB2312" w:hAnsi="仿宋_GB2312" w:eastAsia="仿宋_GB2312" w:cs="仿宋_GB2312"/>
                    </w:rPr>
                    <w:t>双母交叉串口线</w:t>
                  </w:r>
                </w:p>
              </w:tc>
              <w:tc>
                <w:tcPr>
                  <w:tcW w:w="0" w:type="auto"/>
                  <w:tcBorders>
                    <w:top w:val="single" w:color="000000" w:sz="4" w:space="0"/>
                    <w:left w:val="single" w:color="000000" w:sz="4" w:space="0"/>
                    <w:bottom w:val="single" w:color="000000" w:sz="4" w:space="0"/>
                    <w:right w:val="single" w:color="000000" w:sz="4" w:space="0"/>
                  </w:tcBorders>
                  <w:vAlign w:val="center"/>
                </w:tcPr>
                <w:p w14:paraId="79910307">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7BF826D3">
                  <w:pPr>
                    <w:pStyle w:val="6"/>
                    <w:rPr>
                      <w:rFonts w:hint="eastAsia" w:ascii="仿宋_GB2312" w:hAnsi="仿宋_GB2312" w:eastAsia="仿宋_GB2312" w:cs="仿宋_GB2312"/>
                    </w:rPr>
                  </w:pPr>
                  <w:r>
                    <w:rPr>
                      <w:rFonts w:hint="eastAsia" w:ascii="仿宋_GB2312" w:hAnsi="仿宋_GB2312" w:eastAsia="仿宋_GB2312" w:cs="仿宋_GB2312"/>
                    </w:rPr>
                    <w:t>按需选配</w:t>
                  </w:r>
                </w:p>
              </w:tc>
            </w:tr>
            <w:tr w14:paraId="2C21DE86">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65B5AFF9">
                  <w:pPr>
                    <w:pStyle w:val="6"/>
                    <w:rPr>
                      <w:rFonts w:hint="eastAsia" w:ascii="仿宋_GB2312" w:hAnsi="仿宋_GB2312" w:eastAsia="仿宋_GB2312" w:cs="仿宋_GB2312"/>
                    </w:rPr>
                  </w:pPr>
                  <w:r>
                    <w:rPr>
                      <w:rFonts w:hint="eastAsia" w:ascii="仿宋_GB2312" w:hAnsi="仿宋_GB2312" w:eastAsia="仿宋_GB2312" w:cs="仿宋_GB2312"/>
                    </w:rPr>
                    <w:t>35</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14:paraId="76703B95">
                  <w:pPr>
                    <w:pStyle w:val="6"/>
                    <w:rPr>
                      <w:rFonts w:hint="eastAsia" w:ascii="仿宋_GB2312" w:hAnsi="仿宋_GB2312" w:eastAsia="仿宋_GB2312" w:cs="仿宋_GB2312"/>
                    </w:rPr>
                  </w:pPr>
                  <w:r>
                    <w:rPr>
                      <w:rFonts w:hint="eastAsia" w:ascii="仿宋_GB2312" w:hAnsi="仿宋_GB2312" w:eastAsia="仿宋_GB2312" w:cs="仿宋_GB2312"/>
                    </w:rPr>
                    <w:t>劳保类</w:t>
                  </w:r>
                </w:p>
              </w:tc>
              <w:tc>
                <w:tcPr>
                  <w:tcW w:w="0" w:type="auto"/>
                  <w:tcBorders>
                    <w:top w:val="single" w:color="000000" w:sz="4" w:space="0"/>
                    <w:left w:val="single" w:color="000000" w:sz="4" w:space="0"/>
                    <w:bottom w:val="single" w:color="000000" w:sz="4" w:space="0"/>
                    <w:right w:val="single" w:color="000000" w:sz="4" w:space="0"/>
                  </w:tcBorders>
                  <w:vAlign w:val="center"/>
                </w:tcPr>
                <w:p w14:paraId="38DE3343">
                  <w:pPr>
                    <w:pStyle w:val="6"/>
                    <w:rPr>
                      <w:rFonts w:hint="eastAsia" w:ascii="仿宋_GB2312" w:hAnsi="仿宋_GB2312" w:eastAsia="仿宋_GB2312" w:cs="仿宋_GB2312"/>
                    </w:rPr>
                  </w:pPr>
                  <w:r>
                    <w:rPr>
                      <w:rFonts w:hint="eastAsia" w:ascii="仿宋_GB2312" w:hAnsi="仿宋_GB2312" w:eastAsia="仿宋_GB2312" w:cs="仿宋_GB2312"/>
                    </w:rPr>
                    <w:t>救生衣</w:t>
                  </w:r>
                </w:p>
              </w:tc>
              <w:tc>
                <w:tcPr>
                  <w:tcW w:w="0" w:type="auto"/>
                  <w:tcBorders>
                    <w:top w:val="single" w:color="000000" w:sz="4" w:space="0"/>
                    <w:left w:val="single" w:color="000000" w:sz="4" w:space="0"/>
                    <w:bottom w:val="single" w:color="000000" w:sz="4" w:space="0"/>
                    <w:right w:val="single" w:color="000000" w:sz="4" w:space="0"/>
                  </w:tcBorders>
                  <w:vAlign w:val="center"/>
                </w:tcPr>
                <w:p w14:paraId="51EBE285">
                  <w:pPr>
                    <w:pStyle w:val="6"/>
                    <w:rPr>
                      <w:rFonts w:hint="eastAsia" w:ascii="仿宋_GB2312" w:hAnsi="仿宋_GB2312" w:eastAsia="仿宋_GB2312" w:cs="仿宋_GB2312"/>
                    </w:rPr>
                  </w:pPr>
                  <w:r>
                    <w:rPr>
                      <w:rFonts w:hint="eastAsia" w:ascii="仿宋_GB2312" w:hAnsi="仿宋_GB2312" w:eastAsia="仿宋_GB2312" w:cs="仿宋_GB2312"/>
                    </w:rPr>
                    <w:t>2</w:t>
                  </w:r>
                </w:p>
              </w:tc>
              <w:tc>
                <w:tcPr>
                  <w:tcW w:w="0" w:type="auto"/>
                  <w:tcBorders>
                    <w:top w:val="single" w:color="000000" w:sz="4" w:space="0"/>
                    <w:left w:val="single" w:color="000000" w:sz="4" w:space="0"/>
                    <w:bottom w:val="single" w:color="000000" w:sz="4" w:space="0"/>
                    <w:right w:val="single" w:color="000000" w:sz="4" w:space="0"/>
                  </w:tcBorders>
                  <w:vAlign w:val="center"/>
                </w:tcPr>
                <w:p w14:paraId="5FB57480">
                  <w:pPr>
                    <w:pStyle w:val="6"/>
                    <w:rPr>
                      <w:rFonts w:hint="eastAsia" w:ascii="仿宋_GB2312" w:hAnsi="仿宋_GB2312" w:eastAsia="仿宋_GB2312" w:cs="仿宋_GB2312"/>
                    </w:rPr>
                  </w:pPr>
                </w:p>
              </w:tc>
            </w:tr>
            <w:tr w14:paraId="75D0298D">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5F28B1CD">
                  <w:pPr>
                    <w:pStyle w:val="6"/>
                    <w:rPr>
                      <w:rFonts w:hint="eastAsia" w:ascii="仿宋_GB2312" w:hAnsi="仿宋_GB2312" w:eastAsia="仿宋_GB2312" w:cs="仿宋_GB2312"/>
                    </w:rPr>
                  </w:pPr>
                  <w:r>
                    <w:rPr>
                      <w:rFonts w:hint="eastAsia" w:ascii="仿宋_GB2312" w:hAnsi="仿宋_GB2312" w:eastAsia="仿宋_GB2312" w:cs="仿宋_GB2312"/>
                    </w:rPr>
                    <w:t>36</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66CAAA0">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727DE1F">
                  <w:pPr>
                    <w:pStyle w:val="6"/>
                    <w:rPr>
                      <w:rFonts w:hint="eastAsia" w:ascii="仿宋_GB2312" w:hAnsi="仿宋_GB2312" w:eastAsia="仿宋_GB2312" w:cs="仿宋_GB2312"/>
                    </w:rPr>
                  </w:pPr>
                  <w:r>
                    <w:rPr>
                      <w:rFonts w:hint="eastAsia" w:ascii="仿宋_GB2312" w:hAnsi="仿宋_GB2312" w:eastAsia="仿宋_GB2312" w:cs="仿宋_GB2312"/>
                    </w:rPr>
                    <w:t>救生圈</w:t>
                  </w:r>
                </w:p>
              </w:tc>
              <w:tc>
                <w:tcPr>
                  <w:tcW w:w="0" w:type="auto"/>
                  <w:tcBorders>
                    <w:top w:val="single" w:color="000000" w:sz="4" w:space="0"/>
                    <w:left w:val="single" w:color="000000" w:sz="4" w:space="0"/>
                    <w:bottom w:val="single" w:color="000000" w:sz="4" w:space="0"/>
                    <w:right w:val="single" w:color="000000" w:sz="4" w:space="0"/>
                  </w:tcBorders>
                  <w:vAlign w:val="center"/>
                </w:tcPr>
                <w:p w14:paraId="4CDD39CD">
                  <w:pPr>
                    <w:pStyle w:val="6"/>
                    <w:rPr>
                      <w:rFonts w:hint="eastAsia" w:ascii="仿宋_GB2312" w:hAnsi="仿宋_GB2312" w:eastAsia="仿宋_GB2312" w:cs="仿宋_GB2312"/>
                    </w:rPr>
                  </w:pPr>
                  <w:r>
                    <w:rPr>
                      <w:rFonts w:hint="eastAsia" w:ascii="仿宋_GB2312" w:hAnsi="仿宋_GB2312" w:eastAsia="仿宋_GB2312" w:cs="仿宋_GB2312"/>
                    </w:rPr>
                    <w:t>2</w:t>
                  </w:r>
                </w:p>
              </w:tc>
              <w:tc>
                <w:tcPr>
                  <w:tcW w:w="0" w:type="auto"/>
                  <w:tcBorders>
                    <w:top w:val="single" w:color="000000" w:sz="4" w:space="0"/>
                    <w:left w:val="single" w:color="000000" w:sz="4" w:space="0"/>
                    <w:bottom w:val="single" w:color="000000" w:sz="4" w:space="0"/>
                    <w:right w:val="single" w:color="000000" w:sz="4" w:space="0"/>
                  </w:tcBorders>
                  <w:vAlign w:val="center"/>
                </w:tcPr>
                <w:p w14:paraId="7030BB65">
                  <w:pPr>
                    <w:pStyle w:val="6"/>
                    <w:rPr>
                      <w:rFonts w:hint="eastAsia" w:ascii="仿宋_GB2312" w:hAnsi="仿宋_GB2312" w:eastAsia="仿宋_GB2312" w:cs="仿宋_GB2312"/>
                    </w:rPr>
                  </w:pPr>
                </w:p>
              </w:tc>
            </w:tr>
            <w:tr w14:paraId="36DBE0F1">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72C4B72D">
                  <w:pPr>
                    <w:pStyle w:val="6"/>
                    <w:rPr>
                      <w:rFonts w:hint="eastAsia" w:ascii="仿宋_GB2312" w:hAnsi="仿宋_GB2312" w:eastAsia="仿宋_GB2312" w:cs="仿宋_GB2312"/>
                    </w:rPr>
                  </w:pPr>
                  <w:r>
                    <w:rPr>
                      <w:rFonts w:hint="eastAsia" w:ascii="仿宋_GB2312" w:hAnsi="仿宋_GB2312" w:eastAsia="仿宋_GB2312" w:cs="仿宋_GB2312"/>
                    </w:rPr>
                    <w:t>37</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35F39F1">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01588C9">
                  <w:pPr>
                    <w:pStyle w:val="6"/>
                    <w:rPr>
                      <w:rFonts w:hint="eastAsia" w:ascii="仿宋_GB2312" w:hAnsi="仿宋_GB2312" w:eastAsia="仿宋_GB2312" w:cs="仿宋_GB2312"/>
                    </w:rPr>
                  </w:pPr>
                  <w:r>
                    <w:rPr>
                      <w:rFonts w:hint="eastAsia" w:ascii="仿宋_GB2312" w:hAnsi="仿宋_GB2312" w:eastAsia="仿宋_GB2312" w:cs="仿宋_GB2312"/>
                    </w:rPr>
                    <w:t>下水服</w:t>
                  </w:r>
                </w:p>
              </w:tc>
              <w:tc>
                <w:tcPr>
                  <w:tcW w:w="0" w:type="auto"/>
                  <w:tcBorders>
                    <w:top w:val="single" w:color="000000" w:sz="4" w:space="0"/>
                    <w:left w:val="single" w:color="000000" w:sz="4" w:space="0"/>
                    <w:bottom w:val="single" w:color="000000" w:sz="4" w:space="0"/>
                    <w:right w:val="single" w:color="000000" w:sz="4" w:space="0"/>
                  </w:tcBorders>
                  <w:vAlign w:val="center"/>
                </w:tcPr>
                <w:p w14:paraId="4F67AEE4">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2A2EE0B8">
                  <w:pPr>
                    <w:pStyle w:val="6"/>
                    <w:rPr>
                      <w:rFonts w:hint="eastAsia" w:ascii="仿宋_GB2312" w:hAnsi="仿宋_GB2312" w:eastAsia="仿宋_GB2312" w:cs="仿宋_GB2312"/>
                    </w:rPr>
                  </w:pPr>
                </w:p>
              </w:tc>
            </w:tr>
            <w:tr w14:paraId="4EBFF49C">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468B884E">
                  <w:pPr>
                    <w:pStyle w:val="6"/>
                    <w:rPr>
                      <w:rFonts w:hint="eastAsia" w:ascii="仿宋_GB2312" w:hAnsi="仿宋_GB2312" w:eastAsia="仿宋_GB2312" w:cs="仿宋_GB2312"/>
                    </w:rPr>
                  </w:pPr>
                  <w:r>
                    <w:rPr>
                      <w:rFonts w:hint="eastAsia" w:ascii="仿宋_GB2312" w:hAnsi="仿宋_GB2312" w:eastAsia="仿宋_GB2312" w:cs="仿宋_GB2312"/>
                    </w:rPr>
                    <w:t>38</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1B7D70B">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026D5D1">
                  <w:pPr>
                    <w:pStyle w:val="6"/>
                    <w:rPr>
                      <w:rFonts w:hint="eastAsia" w:ascii="仿宋_GB2312" w:hAnsi="仿宋_GB2312" w:eastAsia="仿宋_GB2312" w:cs="仿宋_GB2312"/>
                    </w:rPr>
                  </w:pPr>
                  <w:r>
                    <w:rPr>
                      <w:rFonts w:hint="eastAsia" w:ascii="仿宋_GB2312" w:hAnsi="仿宋_GB2312" w:eastAsia="仿宋_GB2312" w:cs="仿宋_GB2312"/>
                    </w:rPr>
                    <w:t>雨衣</w:t>
                  </w:r>
                </w:p>
              </w:tc>
              <w:tc>
                <w:tcPr>
                  <w:tcW w:w="0" w:type="auto"/>
                  <w:tcBorders>
                    <w:top w:val="single" w:color="000000" w:sz="4" w:space="0"/>
                    <w:left w:val="single" w:color="000000" w:sz="4" w:space="0"/>
                    <w:bottom w:val="single" w:color="000000" w:sz="4" w:space="0"/>
                    <w:right w:val="single" w:color="000000" w:sz="4" w:space="0"/>
                  </w:tcBorders>
                  <w:vAlign w:val="center"/>
                </w:tcPr>
                <w:p w14:paraId="11C4BA97">
                  <w:pPr>
                    <w:pStyle w:val="6"/>
                    <w:rPr>
                      <w:rFonts w:hint="eastAsia" w:ascii="仿宋_GB2312" w:hAnsi="仿宋_GB2312" w:eastAsia="仿宋_GB2312" w:cs="仿宋_GB2312"/>
                    </w:rPr>
                  </w:pPr>
                  <w:r>
                    <w:rPr>
                      <w:rFonts w:hint="eastAsia" w:ascii="仿宋_GB2312" w:hAnsi="仿宋_GB2312" w:eastAsia="仿宋_GB2312" w:cs="仿宋_GB2312"/>
                    </w:rPr>
                    <w:t>2</w:t>
                  </w:r>
                </w:p>
              </w:tc>
              <w:tc>
                <w:tcPr>
                  <w:tcW w:w="0" w:type="auto"/>
                  <w:tcBorders>
                    <w:top w:val="single" w:color="000000" w:sz="4" w:space="0"/>
                    <w:left w:val="single" w:color="000000" w:sz="4" w:space="0"/>
                    <w:bottom w:val="single" w:color="000000" w:sz="4" w:space="0"/>
                    <w:right w:val="single" w:color="000000" w:sz="4" w:space="0"/>
                  </w:tcBorders>
                  <w:vAlign w:val="center"/>
                </w:tcPr>
                <w:p w14:paraId="5189716D">
                  <w:pPr>
                    <w:pStyle w:val="6"/>
                    <w:rPr>
                      <w:rFonts w:hint="eastAsia" w:ascii="仿宋_GB2312" w:hAnsi="仿宋_GB2312" w:eastAsia="仿宋_GB2312" w:cs="仿宋_GB2312"/>
                    </w:rPr>
                  </w:pPr>
                </w:p>
              </w:tc>
            </w:tr>
            <w:tr w14:paraId="5162D1D7">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697F5C06">
                  <w:pPr>
                    <w:pStyle w:val="6"/>
                    <w:rPr>
                      <w:rFonts w:hint="eastAsia" w:ascii="仿宋_GB2312" w:hAnsi="仿宋_GB2312" w:eastAsia="仿宋_GB2312" w:cs="仿宋_GB2312"/>
                    </w:rPr>
                  </w:pPr>
                  <w:r>
                    <w:rPr>
                      <w:rFonts w:hint="eastAsia" w:ascii="仿宋_GB2312" w:hAnsi="仿宋_GB2312" w:eastAsia="仿宋_GB2312" w:cs="仿宋_GB2312"/>
                    </w:rPr>
                    <w:t>39</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201C6203">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62DA7FF">
                  <w:pPr>
                    <w:pStyle w:val="6"/>
                    <w:rPr>
                      <w:rFonts w:hint="eastAsia" w:ascii="仿宋_GB2312" w:hAnsi="仿宋_GB2312" w:eastAsia="仿宋_GB2312" w:cs="仿宋_GB2312"/>
                    </w:rPr>
                  </w:pPr>
                  <w:r>
                    <w:rPr>
                      <w:rFonts w:hint="eastAsia" w:ascii="仿宋_GB2312" w:hAnsi="仿宋_GB2312" w:eastAsia="仿宋_GB2312" w:cs="仿宋_GB2312"/>
                    </w:rPr>
                    <w:t>护目镜</w:t>
                  </w:r>
                </w:p>
              </w:tc>
              <w:tc>
                <w:tcPr>
                  <w:tcW w:w="0" w:type="auto"/>
                  <w:tcBorders>
                    <w:top w:val="single" w:color="000000" w:sz="4" w:space="0"/>
                    <w:left w:val="single" w:color="000000" w:sz="4" w:space="0"/>
                    <w:bottom w:val="single" w:color="000000" w:sz="4" w:space="0"/>
                    <w:right w:val="single" w:color="000000" w:sz="4" w:space="0"/>
                  </w:tcBorders>
                  <w:vAlign w:val="center"/>
                </w:tcPr>
                <w:p w14:paraId="2C827BDF">
                  <w:pPr>
                    <w:pStyle w:val="6"/>
                    <w:rPr>
                      <w:rFonts w:hint="eastAsia" w:ascii="仿宋_GB2312" w:hAnsi="仿宋_GB2312" w:eastAsia="仿宋_GB2312" w:cs="仿宋_GB2312"/>
                    </w:rPr>
                  </w:pPr>
                  <w:r>
                    <w:rPr>
                      <w:rFonts w:hint="eastAsia" w:ascii="仿宋_GB2312" w:hAnsi="仿宋_GB2312" w:eastAsia="仿宋_GB2312" w:cs="仿宋_GB2312"/>
                    </w:rPr>
                    <w:t>2</w:t>
                  </w:r>
                </w:p>
              </w:tc>
              <w:tc>
                <w:tcPr>
                  <w:tcW w:w="0" w:type="auto"/>
                  <w:tcBorders>
                    <w:top w:val="single" w:color="000000" w:sz="4" w:space="0"/>
                    <w:left w:val="single" w:color="000000" w:sz="4" w:space="0"/>
                    <w:bottom w:val="single" w:color="000000" w:sz="4" w:space="0"/>
                    <w:right w:val="single" w:color="000000" w:sz="4" w:space="0"/>
                  </w:tcBorders>
                  <w:vAlign w:val="center"/>
                </w:tcPr>
                <w:p w14:paraId="06DF5C40">
                  <w:pPr>
                    <w:pStyle w:val="6"/>
                    <w:rPr>
                      <w:rFonts w:hint="eastAsia" w:ascii="仿宋_GB2312" w:hAnsi="仿宋_GB2312" w:eastAsia="仿宋_GB2312" w:cs="仿宋_GB2312"/>
                    </w:rPr>
                  </w:pPr>
                </w:p>
              </w:tc>
            </w:tr>
            <w:tr w14:paraId="65ACF41D">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4D750A12">
                  <w:pPr>
                    <w:pStyle w:val="6"/>
                    <w:rPr>
                      <w:rFonts w:hint="eastAsia" w:ascii="仿宋_GB2312" w:hAnsi="仿宋_GB2312" w:eastAsia="仿宋_GB2312" w:cs="仿宋_GB2312"/>
                    </w:rPr>
                  </w:pPr>
                  <w:r>
                    <w:rPr>
                      <w:rFonts w:hint="eastAsia" w:ascii="仿宋_GB2312" w:hAnsi="仿宋_GB2312" w:eastAsia="仿宋_GB2312" w:cs="仿宋_GB2312"/>
                    </w:rPr>
                    <w:t>40</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E7CB491">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E38CE80">
                  <w:pPr>
                    <w:pStyle w:val="6"/>
                    <w:rPr>
                      <w:rFonts w:hint="eastAsia" w:ascii="仿宋_GB2312" w:hAnsi="仿宋_GB2312" w:eastAsia="仿宋_GB2312" w:cs="仿宋_GB2312"/>
                    </w:rPr>
                  </w:pPr>
                  <w:r>
                    <w:rPr>
                      <w:rFonts w:hint="eastAsia" w:ascii="仿宋_GB2312" w:hAnsi="仿宋_GB2312" w:eastAsia="仿宋_GB2312" w:cs="仿宋_GB2312"/>
                    </w:rPr>
                    <w:t>橡胶手套</w:t>
                  </w:r>
                </w:p>
              </w:tc>
              <w:tc>
                <w:tcPr>
                  <w:tcW w:w="0" w:type="auto"/>
                  <w:tcBorders>
                    <w:top w:val="single" w:color="000000" w:sz="4" w:space="0"/>
                    <w:left w:val="single" w:color="000000" w:sz="4" w:space="0"/>
                    <w:bottom w:val="single" w:color="000000" w:sz="4" w:space="0"/>
                    <w:right w:val="single" w:color="000000" w:sz="4" w:space="0"/>
                  </w:tcBorders>
                  <w:vAlign w:val="center"/>
                </w:tcPr>
                <w:p w14:paraId="26929B35">
                  <w:pPr>
                    <w:pStyle w:val="6"/>
                    <w:rPr>
                      <w:rFonts w:hint="eastAsia" w:ascii="仿宋_GB2312" w:hAnsi="仿宋_GB2312" w:eastAsia="仿宋_GB2312" w:cs="仿宋_GB2312"/>
                    </w:rPr>
                  </w:pPr>
                  <w:r>
                    <w:rPr>
                      <w:rFonts w:hint="eastAsia" w:ascii="仿宋_GB2312" w:hAnsi="仿宋_GB2312" w:eastAsia="仿宋_GB2312" w:cs="仿宋_GB2312"/>
                    </w:rPr>
                    <w:t>10</w:t>
                  </w:r>
                </w:p>
              </w:tc>
              <w:tc>
                <w:tcPr>
                  <w:tcW w:w="0" w:type="auto"/>
                  <w:tcBorders>
                    <w:top w:val="single" w:color="000000" w:sz="4" w:space="0"/>
                    <w:left w:val="single" w:color="000000" w:sz="4" w:space="0"/>
                    <w:bottom w:val="single" w:color="000000" w:sz="4" w:space="0"/>
                    <w:right w:val="single" w:color="000000" w:sz="4" w:space="0"/>
                  </w:tcBorders>
                  <w:vAlign w:val="center"/>
                </w:tcPr>
                <w:p w14:paraId="602F70E5">
                  <w:pPr>
                    <w:pStyle w:val="6"/>
                    <w:rPr>
                      <w:rFonts w:hint="eastAsia" w:ascii="仿宋_GB2312" w:hAnsi="仿宋_GB2312" w:eastAsia="仿宋_GB2312" w:cs="仿宋_GB2312"/>
                    </w:rPr>
                  </w:pPr>
                </w:p>
              </w:tc>
            </w:tr>
            <w:tr w14:paraId="441E53FC">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7BC79A4F">
                  <w:pPr>
                    <w:pStyle w:val="6"/>
                    <w:rPr>
                      <w:rFonts w:hint="eastAsia" w:ascii="仿宋_GB2312" w:hAnsi="仿宋_GB2312" w:eastAsia="仿宋_GB2312" w:cs="仿宋_GB2312"/>
                    </w:rPr>
                  </w:pPr>
                  <w:r>
                    <w:rPr>
                      <w:rFonts w:hint="eastAsia" w:ascii="仿宋_GB2312" w:hAnsi="仿宋_GB2312" w:eastAsia="仿宋_GB2312" w:cs="仿宋_GB2312"/>
                    </w:rPr>
                    <w:t>41</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501F5F6">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B960299">
                  <w:pPr>
                    <w:pStyle w:val="6"/>
                    <w:rPr>
                      <w:rFonts w:hint="eastAsia" w:ascii="仿宋_GB2312" w:hAnsi="仿宋_GB2312" w:eastAsia="仿宋_GB2312" w:cs="仿宋_GB2312"/>
                    </w:rPr>
                  </w:pPr>
                  <w:r>
                    <w:rPr>
                      <w:rFonts w:hint="eastAsia" w:ascii="仿宋_GB2312" w:hAnsi="仿宋_GB2312" w:eastAsia="仿宋_GB2312" w:cs="仿宋_GB2312"/>
                    </w:rPr>
                    <w:t>白大褂/工作服</w:t>
                  </w:r>
                </w:p>
              </w:tc>
              <w:tc>
                <w:tcPr>
                  <w:tcW w:w="0" w:type="auto"/>
                  <w:tcBorders>
                    <w:top w:val="single" w:color="000000" w:sz="4" w:space="0"/>
                    <w:left w:val="single" w:color="000000" w:sz="4" w:space="0"/>
                    <w:bottom w:val="single" w:color="000000" w:sz="4" w:space="0"/>
                    <w:right w:val="single" w:color="000000" w:sz="4" w:space="0"/>
                  </w:tcBorders>
                  <w:vAlign w:val="center"/>
                </w:tcPr>
                <w:p w14:paraId="3053C54D">
                  <w:pPr>
                    <w:pStyle w:val="6"/>
                    <w:rPr>
                      <w:rFonts w:hint="eastAsia" w:ascii="仿宋_GB2312" w:hAnsi="仿宋_GB2312" w:eastAsia="仿宋_GB2312" w:cs="仿宋_GB2312"/>
                    </w:rPr>
                  </w:pPr>
                  <w:r>
                    <w:rPr>
                      <w:rFonts w:hint="eastAsia" w:ascii="仿宋_GB2312" w:hAnsi="仿宋_GB2312" w:eastAsia="仿宋_GB2312" w:cs="仿宋_GB2312"/>
                    </w:rPr>
                    <w:t>2</w:t>
                  </w:r>
                </w:p>
              </w:tc>
              <w:tc>
                <w:tcPr>
                  <w:tcW w:w="0" w:type="auto"/>
                  <w:tcBorders>
                    <w:top w:val="single" w:color="000000" w:sz="4" w:space="0"/>
                    <w:left w:val="single" w:color="000000" w:sz="4" w:space="0"/>
                    <w:bottom w:val="single" w:color="000000" w:sz="4" w:space="0"/>
                    <w:right w:val="single" w:color="000000" w:sz="4" w:space="0"/>
                  </w:tcBorders>
                  <w:vAlign w:val="center"/>
                </w:tcPr>
                <w:p w14:paraId="3CB8D2E9">
                  <w:pPr>
                    <w:pStyle w:val="6"/>
                    <w:rPr>
                      <w:rFonts w:hint="eastAsia" w:ascii="仿宋_GB2312" w:hAnsi="仿宋_GB2312" w:eastAsia="仿宋_GB2312" w:cs="仿宋_GB2312"/>
                    </w:rPr>
                  </w:pPr>
                </w:p>
              </w:tc>
            </w:tr>
            <w:tr w14:paraId="17BDE297">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51B3896E">
                  <w:pPr>
                    <w:pStyle w:val="6"/>
                    <w:rPr>
                      <w:rFonts w:hint="eastAsia" w:ascii="仿宋_GB2312" w:hAnsi="仿宋_GB2312" w:eastAsia="仿宋_GB2312" w:cs="仿宋_GB2312"/>
                    </w:rPr>
                  </w:pPr>
                  <w:r>
                    <w:rPr>
                      <w:rFonts w:hint="eastAsia" w:ascii="仿宋_GB2312" w:hAnsi="仿宋_GB2312" w:eastAsia="仿宋_GB2312" w:cs="仿宋_GB2312"/>
                    </w:rPr>
                    <w:t>42</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A8DF5C6">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2FFB102">
                  <w:pPr>
                    <w:pStyle w:val="6"/>
                    <w:rPr>
                      <w:rFonts w:hint="eastAsia" w:ascii="仿宋_GB2312" w:hAnsi="仿宋_GB2312" w:eastAsia="仿宋_GB2312" w:cs="仿宋_GB2312"/>
                    </w:rPr>
                  </w:pPr>
                  <w:r>
                    <w:rPr>
                      <w:rFonts w:hint="eastAsia" w:ascii="仿宋_GB2312" w:hAnsi="仿宋_GB2312" w:eastAsia="仿宋_GB2312" w:cs="仿宋_GB2312"/>
                    </w:rPr>
                    <w:t>安全绳</w:t>
                  </w:r>
                </w:p>
              </w:tc>
              <w:tc>
                <w:tcPr>
                  <w:tcW w:w="0" w:type="auto"/>
                  <w:tcBorders>
                    <w:top w:val="single" w:color="000000" w:sz="4" w:space="0"/>
                    <w:left w:val="single" w:color="000000" w:sz="4" w:space="0"/>
                    <w:bottom w:val="single" w:color="000000" w:sz="4" w:space="0"/>
                    <w:right w:val="single" w:color="000000" w:sz="4" w:space="0"/>
                  </w:tcBorders>
                  <w:vAlign w:val="center"/>
                </w:tcPr>
                <w:p w14:paraId="1DD16D8B">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063A906C">
                  <w:pPr>
                    <w:pStyle w:val="6"/>
                    <w:rPr>
                      <w:rFonts w:hint="eastAsia" w:ascii="仿宋_GB2312" w:hAnsi="仿宋_GB2312" w:eastAsia="仿宋_GB2312" w:cs="仿宋_GB2312"/>
                    </w:rPr>
                  </w:pPr>
                </w:p>
              </w:tc>
            </w:tr>
            <w:tr w14:paraId="6C3D44AC">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16245ADF">
                  <w:pPr>
                    <w:pStyle w:val="6"/>
                    <w:rPr>
                      <w:rFonts w:hint="eastAsia" w:ascii="仿宋_GB2312" w:hAnsi="仿宋_GB2312" w:eastAsia="仿宋_GB2312" w:cs="仿宋_GB2312"/>
                    </w:rPr>
                  </w:pPr>
                  <w:r>
                    <w:rPr>
                      <w:rFonts w:hint="eastAsia" w:ascii="仿宋_GB2312" w:hAnsi="仿宋_GB2312" w:eastAsia="仿宋_GB2312" w:cs="仿宋_GB2312"/>
                    </w:rPr>
                    <w:t>43</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7A1C4B3">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520A16C">
                  <w:pPr>
                    <w:pStyle w:val="6"/>
                    <w:rPr>
                      <w:rFonts w:hint="eastAsia" w:ascii="仿宋_GB2312" w:hAnsi="仿宋_GB2312" w:eastAsia="仿宋_GB2312" w:cs="仿宋_GB2312"/>
                    </w:rPr>
                  </w:pPr>
                  <w:r>
                    <w:rPr>
                      <w:rFonts w:hint="eastAsia" w:ascii="仿宋_GB2312" w:hAnsi="仿宋_GB2312" w:eastAsia="仿宋_GB2312" w:cs="仿宋_GB2312"/>
                    </w:rPr>
                    <w:t>绝缘手套</w:t>
                  </w:r>
                </w:p>
              </w:tc>
              <w:tc>
                <w:tcPr>
                  <w:tcW w:w="0" w:type="auto"/>
                  <w:tcBorders>
                    <w:top w:val="single" w:color="000000" w:sz="4" w:space="0"/>
                    <w:left w:val="single" w:color="000000" w:sz="4" w:space="0"/>
                    <w:bottom w:val="single" w:color="000000" w:sz="4" w:space="0"/>
                    <w:right w:val="single" w:color="000000" w:sz="4" w:space="0"/>
                  </w:tcBorders>
                  <w:vAlign w:val="center"/>
                </w:tcPr>
                <w:p w14:paraId="73E8A329">
                  <w:pPr>
                    <w:pStyle w:val="6"/>
                    <w:rPr>
                      <w:rFonts w:hint="eastAsia" w:ascii="仿宋_GB2312" w:hAnsi="仿宋_GB2312" w:eastAsia="仿宋_GB2312" w:cs="仿宋_GB2312"/>
                    </w:rPr>
                  </w:pPr>
                  <w:r>
                    <w:rPr>
                      <w:rFonts w:hint="eastAsia" w:ascii="仿宋_GB2312" w:hAnsi="仿宋_GB2312" w:eastAsia="仿宋_GB2312" w:cs="仿宋_GB2312"/>
                    </w:rPr>
                    <w:t>2</w:t>
                  </w:r>
                </w:p>
              </w:tc>
              <w:tc>
                <w:tcPr>
                  <w:tcW w:w="0" w:type="auto"/>
                  <w:tcBorders>
                    <w:top w:val="single" w:color="000000" w:sz="4" w:space="0"/>
                    <w:left w:val="single" w:color="000000" w:sz="4" w:space="0"/>
                    <w:bottom w:val="single" w:color="000000" w:sz="4" w:space="0"/>
                    <w:right w:val="single" w:color="000000" w:sz="4" w:space="0"/>
                  </w:tcBorders>
                  <w:vAlign w:val="center"/>
                </w:tcPr>
                <w:p w14:paraId="05C02E6D">
                  <w:pPr>
                    <w:pStyle w:val="6"/>
                    <w:rPr>
                      <w:rFonts w:hint="eastAsia" w:ascii="仿宋_GB2312" w:hAnsi="仿宋_GB2312" w:eastAsia="仿宋_GB2312" w:cs="仿宋_GB2312"/>
                    </w:rPr>
                  </w:pPr>
                </w:p>
              </w:tc>
            </w:tr>
            <w:tr w14:paraId="36E9858F">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4257A01B">
                  <w:pPr>
                    <w:pStyle w:val="6"/>
                    <w:rPr>
                      <w:rFonts w:hint="eastAsia" w:ascii="仿宋_GB2312" w:hAnsi="仿宋_GB2312" w:eastAsia="仿宋_GB2312" w:cs="仿宋_GB2312"/>
                    </w:rPr>
                  </w:pPr>
                  <w:r>
                    <w:rPr>
                      <w:rFonts w:hint="eastAsia" w:ascii="仿宋_GB2312" w:hAnsi="仿宋_GB2312" w:eastAsia="仿宋_GB2312" w:cs="仿宋_GB2312"/>
                    </w:rPr>
                    <w:t>44</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CF01172">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3FBD93B">
                  <w:pPr>
                    <w:pStyle w:val="6"/>
                    <w:rPr>
                      <w:rFonts w:hint="eastAsia" w:ascii="仿宋_GB2312" w:hAnsi="仿宋_GB2312" w:eastAsia="仿宋_GB2312" w:cs="仿宋_GB2312"/>
                    </w:rPr>
                  </w:pPr>
                  <w:r>
                    <w:rPr>
                      <w:rFonts w:hint="eastAsia" w:ascii="仿宋_GB2312" w:hAnsi="仿宋_GB2312" w:eastAsia="仿宋_GB2312" w:cs="仿宋_GB2312"/>
                    </w:rPr>
                    <w:t>口罩</w:t>
                  </w:r>
                </w:p>
              </w:tc>
              <w:tc>
                <w:tcPr>
                  <w:tcW w:w="0" w:type="auto"/>
                  <w:tcBorders>
                    <w:top w:val="single" w:color="000000" w:sz="4" w:space="0"/>
                    <w:left w:val="single" w:color="000000" w:sz="4" w:space="0"/>
                    <w:bottom w:val="single" w:color="000000" w:sz="4" w:space="0"/>
                    <w:right w:val="single" w:color="000000" w:sz="4" w:space="0"/>
                  </w:tcBorders>
                  <w:vAlign w:val="center"/>
                </w:tcPr>
                <w:p w14:paraId="61D2692A">
                  <w:pPr>
                    <w:pStyle w:val="6"/>
                    <w:rPr>
                      <w:rFonts w:hint="eastAsia" w:ascii="仿宋_GB2312" w:hAnsi="仿宋_GB2312" w:eastAsia="仿宋_GB2312" w:cs="仿宋_GB2312"/>
                    </w:rPr>
                  </w:pPr>
                  <w:r>
                    <w:rPr>
                      <w:rFonts w:hint="eastAsia" w:ascii="仿宋_GB2312" w:hAnsi="仿宋_GB2312" w:eastAsia="仿宋_GB2312" w:cs="仿宋_GB2312"/>
                    </w:rPr>
                    <w:t>5</w:t>
                  </w:r>
                </w:p>
              </w:tc>
              <w:tc>
                <w:tcPr>
                  <w:tcW w:w="0" w:type="auto"/>
                  <w:tcBorders>
                    <w:top w:val="single" w:color="000000" w:sz="4" w:space="0"/>
                    <w:left w:val="single" w:color="000000" w:sz="4" w:space="0"/>
                    <w:bottom w:val="single" w:color="000000" w:sz="4" w:space="0"/>
                    <w:right w:val="single" w:color="000000" w:sz="4" w:space="0"/>
                  </w:tcBorders>
                  <w:vAlign w:val="center"/>
                </w:tcPr>
                <w:p w14:paraId="13CC1E02">
                  <w:pPr>
                    <w:pStyle w:val="6"/>
                    <w:rPr>
                      <w:rFonts w:hint="eastAsia" w:ascii="仿宋_GB2312" w:hAnsi="仿宋_GB2312" w:eastAsia="仿宋_GB2312" w:cs="仿宋_GB2312"/>
                    </w:rPr>
                  </w:pPr>
                </w:p>
              </w:tc>
            </w:tr>
            <w:tr w14:paraId="5EC75599">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5E731421">
                  <w:pPr>
                    <w:pStyle w:val="6"/>
                    <w:rPr>
                      <w:rFonts w:hint="eastAsia" w:ascii="仿宋_GB2312" w:hAnsi="仿宋_GB2312" w:eastAsia="仿宋_GB2312" w:cs="仿宋_GB2312"/>
                    </w:rPr>
                  </w:pPr>
                  <w:r>
                    <w:rPr>
                      <w:rFonts w:hint="eastAsia" w:ascii="仿宋_GB2312" w:hAnsi="仿宋_GB2312" w:eastAsia="仿宋_GB2312" w:cs="仿宋_GB2312"/>
                    </w:rPr>
                    <w:t>45</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3EE3C92">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96FF8CE">
                  <w:pPr>
                    <w:pStyle w:val="6"/>
                    <w:rPr>
                      <w:rFonts w:hint="eastAsia" w:ascii="仿宋_GB2312" w:hAnsi="仿宋_GB2312" w:eastAsia="仿宋_GB2312" w:cs="仿宋_GB2312"/>
                    </w:rPr>
                  </w:pPr>
                  <w:r>
                    <w:rPr>
                      <w:rFonts w:hint="eastAsia" w:ascii="仿宋_GB2312" w:hAnsi="仿宋_GB2312" w:eastAsia="仿宋_GB2312" w:cs="仿宋_GB2312"/>
                    </w:rPr>
                    <w:t>安全帽</w:t>
                  </w:r>
                </w:p>
              </w:tc>
              <w:tc>
                <w:tcPr>
                  <w:tcW w:w="0" w:type="auto"/>
                  <w:tcBorders>
                    <w:top w:val="single" w:color="000000" w:sz="4" w:space="0"/>
                    <w:left w:val="single" w:color="000000" w:sz="4" w:space="0"/>
                    <w:bottom w:val="single" w:color="000000" w:sz="4" w:space="0"/>
                    <w:right w:val="single" w:color="000000" w:sz="4" w:space="0"/>
                  </w:tcBorders>
                  <w:vAlign w:val="center"/>
                </w:tcPr>
                <w:p w14:paraId="7AD7934F">
                  <w:pPr>
                    <w:pStyle w:val="6"/>
                    <w:rPr>
                      <w:rFonts w:hint="eastAsia" w:ascii="仿宋_GB2312" w:hAnsi="仿宋_GB2312" w:eastAsia="仿宋_GB2312" w:cs="仿宋_GB2312"/>
                    </w:rPr>
                  </w:pPr>
                  <w:r>
                    <w:rPr>
                      <w:rFonts w:hint="eastAsia" w:ascii="仿宋_GB2312" w:hAnsi="仿宋_GB2312" w:eastAsia="仿宋_GB2312" w:cs="仿宋_GB2312"/>
                    </w:rPr>
                    <w:t>2</w:t>
                  </w:r>
                </w:p>
              </w:tc>
              <w:tc>
                <w:tcPr>
                  <w:tcW w:w="0" w:type="auto"/>
                  <w:tcBorders>
                    <w:top w:val="single" w:color="000000" w:sz="4" w:space="0"/>
                    <w:left w:val="single" w:color="000000" w:sz="4" w:space="0"/>
                    <w:bottom w:val="single" w:color="000000" w:sz="4" w:space="0"/>
                    <w:right w:val="single" w:color="000000" w:sz="4" w:space="0"/>
                  </w:tcBorders>
                  <w:vAlign w:val="center"/>
                </w:tcPr>
                <w:p w14:paraId="28008284">
                  <w:pPr>
                    <w:pStyle w:val="6"/>
                    <w:rPr>
                      <w:rFonts w:hint="eastAsia" w:ascii="仿宋_GB2312" w:hAnsi="仿宋_GB2312" w:eastAsia="仿宋_GB2312" w:cs="仿宋_GB2312"/>
                    </w:rPr>
                  </w:pPr>
                </w:p>
              </w:tc>
            </w:tr>
            <w:tr w14:paraId="45D00557">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77F6EA16">
                  <w:pPr>
                    <w:pStyle w:val="6"/>
                    <w:rPr>
                      <w:rFonts w:hint="eastAsia" w:ascii="仿宋_GB2312" w:hAnsi="仿宋_GB2312" w:eastAsia="仿宋_GB2312" w:cs="仿宋_GB2312"/>
                    </w:rPr>
                  </w:pPr>
                  <w:r>
                    <w:rPr>
                      <w:rFonts w:hint="eastAsia" w:ascii="仿宋_GB2312" w:hAnsi="仿宋_GB2312" w:eastAsia="仿宋_GB2312" w:cs="仿宋_GB2312"/>
                    </w:rPr>
                    <w:t>46</w:t>
                  </w:r>
                </w:p>
              </w:tc>
              <w:tc>
                <w:tcPr>
                  <w:tcW w:w="0" w:type="auto"/>
                  <w:vMerge w:val="restart"/>
                  <w:tcBorders>
                    <w:top w:val="single" w:color="000000" w:sz="4" w:space="0"/>
                    <w:left w:val="single" w:color="000000" w:sz="4" w:space="0"/>
                    <w:right w:val="single" w:color="000000" w:sz="4" w:space="0"/>
                  </w:tcBorders>
                  <w:vAlign w:val="center"/>
                </w:tcPr>
                <w:p w14:paraId="1011803E">
                  <w:pPr>
                    <w:pStyle w:val="6"/>
                    <w:rPr>
                      <w:rFonts w:hint="eastAsia" w:ascii="仿宋_GB2312" w:hAnsi="仿宋_GB2312" w:eastAsia="仿宋_GB2312" w:cs="仿宋_GB2312"/>
                    </w:rPr>
                  </w:pPr>
                  <w:r>
                    <w:rPr>
                      <w:rFonts w:hint="eastAsia" w:ascii="仿宋_GB2312" w:hAnsi="仿宋_GB2312" w:eastAsia="仿宋_GB2312" w:cs="仿宋_GB2312"/>
                    </w:rPr>
                    <w:t>便携仪器设备</w:t>
                  </w:r>
                </w:p>
              </w:tc>
              <w:tc>
                <w:tcPr>
                  <w:tcW w:w="0" w:type="auto"/>
                  <w:tcBorders>
                    <w:top w:val="single" w:color="000000" w:sz="4" w:space="0"/>
                    <w:left w:val="single" w:color="000000" w:sz="4" w:space="0"/>
                    <w:bottom w:val="single" w:color="000000" w:sz="4" w:space="0"/>
                    <w:right w:val="single" w:color="000000" w:sz="4" w:space="0"/>
                  </w:tcBorders>
                  <w:vAlign w:val="center"/>
                </w:tcPr>
                <w:p w14:paraId="3DFB8950">
                  <w:pPr>
                    <w:pStyle w:val="6"/>
                    <w:rPr>
                      <w:rFonts w:hint="eastAsia" w:ascii="仿宋_GB2312" w:hAnsi="仿宋_GB2312" w:eastAsia="仿宋_GB2312" w:cs="仿宋_GB2312"/>
                    </w:rPr>
                  </w:pPr>
                  <w:r>
                    <w:rPr>
                      <w:rFonts w:hint="eastAsia" w:ascii="仿宋_GB2312" w:hAnsi="仿宋_GB2312" w:eastAsia="仿宋_GB2312" w:cs="仿宋_GB2312"/>
                    </w:rPr>
                    <w:t>水温</w:t>
                  </w:r>
                </w:p>
              </w:tc>
              <w:tc>
                <w:tcPr>
                  <w:tcW w:w="0" w:type="auto"/>
                  <w:tcBorders>
                    <w:top w:val="single" w:color="000000" w:sz="4" w:space="0"/>
                    <w:left w:val="single" w:color="000000" w:sz="4" w:space="0"/>
                    <w:bottom w:val="single" w:color="000000" w:sz="4" w:space="0"/>
                    <w:right w:val="single" w:color="000000" w:sz="4" w:space="0"/>
                  </w:tcBorders>
                  <w:vAlign w:val="center"/>
                </w:tcPr>
                <w:p w14:paraId="1535C444">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vMerge w:val="restart"/>
                  <w:tcBorders>
                    <w:top w:val="single" w:color="000000" w:sz="4" w:space="0"/>
                    <w:left w:val="single" w:color="000000" w:sz="4" w:space="0"/>
                    <w:right w:val="single" w:color="000000" w:sz="4" w:space="0"/>
                  </w:tcBorders>
                  <w:vAlign w:val="center"/>
                </w:tcPr>
                <w:p w14:paraId="29342305">
                  <w:pPr>
                    <w:pStyle w:val="6"/>
                    <w:rPr>
                      <w:rFonts w:hint="eastAsia" w:ascii="仿宋_GB2312" w:hAnsi="仿宋_GB2312" w:eastAsia="仿宋_GB2312" w:cs="仿宋_GB2312"/>
                    </w:rPr>
                  </w:pPr>
                  <w:r>
                    <w:rPr>
                      <w:rFonts w:hint="eastAsia" w:ascii="仿宋_GB2312" w:hAnsi="仿宋_GB2312" w:eastAsia="仿宋_GB2312" w:cs="仿宋_GB2312"/>
                    </w:rPr>
                    <w:t>每2个自动站配备1套</w:t>
                  </w:r>
                </w:p>
              </w:tc>
            </w:tr>
            <w:tr w14:paraId="1019DB35">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1B8EAC8F">
                  <w:pPr>
                    <w:pStyle w:val="6"/>
                    <w:rPr>
                      <w:rFonts w:hint="eastAsia" w:ascii="仿宋_GB2312" w:hAnsi="仿宋_GB2312" w:eastAsia="仿宋_GB2312" w:cs="仿宋_GB2312"/>
                    </w:rPr>
                  </w:pPr>
                  <w:r>
                    <w:rPr>
                      <w:rFonts w:hint="eastAsia" w:ascii="仿宋_GB2312" w:hAnsi="仿宋_GB2312" w:eastAsia="仿宋_GB2312" w:cs="仿宋_GB2312"/>
                    </w:rPr>
                    <w:t>47</w:t>
                  </w:r>
                </w:p>
              </w:tc>
              <w:tc>
                <w:tcPr>
                  <w:tcW w:w="0" w:type="auto"/>
                  <w:vMerge w:val="continue"/>
                  <w:tcBorders>
                    <w:left w:val="single" w:color="000000" w:sz="4" w:space="0"/>
                    <w:right w:val="single" w:color="000000" w:sz="4" w:space="0"/>
                  </w:tcBorders>
                  <w:vAlign w:val="center"/>
                </w:tcPr>
                <w:p w14:paraId="3780C17E">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CF3B3AD">
                  <w:pPr>
                    <w:pStyle w:val="6"/>
                    <w:rPr>
                      <w:rFonts w:hint="eastAsia" w:ascii="仿宋_GB2312" w:hAnsi="仿宋_GB2312" w:eastAsia="仿宋_GB2312" w:cs="仿宋_GB2312"/>
                    </w:rPr>
                  </w:pPr>
                  <w:r>
                    <w:rPr>
                      <w:rFonts w:hint="eastAsia" w:ascii="仿宋_GB2312" w:hAnsi="仿宋_GB2312" w:eastAsia="仿宋_GB2312" w:cs="仿宋_GB2312"/>
                    </w:rPr>
                    <w:t>pH值</w:t>
                  </w:r>
                </w:p>
              </w:tc>
              <w:tc>
                <w:tcPr>
                  <w:tcW w:w="0" w:type="auto"/>
                  <w:tcBorders>
                    <w:top w:val="single" w:color="000000" w:sz="4" w:space="0"/>
                    <w:left w:val="single" w:color="000000" w:sz="4" w:space="0"/>
                    <w:bottom w:val="single" w:color="000000" w:sz="4" w:space="0"/>
                    <w:right w:val="single" w:color="000000" w:sz="4" w:space="0"/>
                  </w:tcBorders>
                  <w:vAlign w:val="center"/>
                </w:tcPr>
                <w:p w14:paraId="3ED32413">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vMerge w:val="continue"/>
                  <w:tcBorders>
                    <w:left w:val="single" w:color="000000" w:sz="4" w:space="0"/>
                    <w:right w:val="single" w:color="000000" w:sz="4" w:space="0"/>
                  </w:tcBorders>
                  <w:vAlign w:val="center"/>
                </w:tcPr>
                <w:p w14:paraId="5A401047">
                  <w:pPr>
                    <w:pStyle w:val="6"/>
                    <w:rPr>
                      <w:rFonts w:hint="eastAsia" w:ascii="仿宋_GB2312" w:hAnsi="仿宋_GB2312" w:eastAsia="仿宋_GB2312" w:cs="仿宋_GB2312"/>
                    </w:rPr>
                  </w:pPr>
                </w:p>
              </w:tc>
            </w:tr>
            <w:tr w14:paraId="2D70B34B">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0E4CC1EF">
                  <w:pPr>
                    <w:pStyle w:val="6"/>
                    <w:rPr>
                      <w:rFonts w:hint="eastAsia" w:ascii="仿宋_GB2312" w:hAnsi="仿宋_GB2312" w:eastAsia="仿宋_GB2312" w:cs="仿宋_GB2312"/>
                    </w:rPr>
                  </w:pPr>
                  <w:r>
                    <w:rPr>
                      <w:rFonts w:hint="eastAsia" w:ascii="仿宋_GB2312" w:hAnsi="仿宋_GB2312" w:eastAsia="仿宋_GB2312" w:cs="仿宋_GB2312"/>
                    </w:rPr>
                    <w:t>48</w:t>
                  </w:r>
                </w:p>
              </w:tc>
              <w:tc>
                <w:tcPr>
                  <w:tcW w:w="0" w:type="auto"/>
                  <w:vMerge w:val="continue"/>
                  <w:tcBorders>
                    <w:left w:val="single" w:color="000000" w:sz="4" w:space="0"/>
                    <w:right w:val="single" w:color="000000" w:sz="4" w:space="0"/>
                  </w:tcBorders>
                  <w:vAlign w:val="center"/>
                </w:tcPr>
                <w:p w14:paraId="07F4C09A">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FAA717E">
                  <w:pPr>
                    <w:pStyle w:val="6"/>
                    <w:rPr>
                      <w:rFonts w:hint="eastAsia" w:ascii="仿宋_GB2312" w:hAnsi="仿宋_GB2312" w:eastAsia="仿宋_GB2312" w:cs="仿宋_GB2312"/>
                    </w:rPr>
                  </w:pPr>
                  <w:r>
                    <w:rPr>
                      <w:rFonts w:hint="eastAsia" w:ascii="仿宋_GB2312" w:hAnsi="仿宋_GB2312" w:eastAsia="仿宋_GB2312" w:cs="仿宋_GB2312"/>
                    </w:rPr>
                    <w:t>溶解氧</w:t>
                  </w:r>
                </w:p>
              </w:tc>
              <w:tc>
                <w:tcPr>
                  <w:tcW w:w="0" w:type="auto"/>
                  <w:tcBorders>
                    <w:top w:val="single" w:color="000000" w:sz="4" w:space="0"/>
                    <w:left w:val="single" w:color="000000" w:sz="4" w:space="0"/>
                    <w:bottom w:val="single" w:color="000000" w:sz="4" w:space="0"/>
                    <w:right w:val="single" w:color="000000" w:sz="4" w:space="0"/>
                  </w:tcBorders>
                  <w:vAlign w:val="center"/>
                </w:tcPr>
                <w:p w14:paraId="765C4A09">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vMerge w:val="continue"/>
                  <w:tcBorders>
                    <w:left w:val="single" w:color="000000" w:sz="4" w:space="0"/>
                    <w:right w:val="single" w:color="000000" w:sz="4" w:space="0"/>
                  </w:tcBorders>
                  <w:vAlign w:val="center"/>
                </w:tcPr>
                <w:p w14:paraId="3FF49985">
                  <w:pPr>
                    <w:pStyle w:val="6"/>
                    <w:rPr>
                      <w:rFonts w:hint="eastAsia" w:ascii="仿宋_GB2312" w:hAnsi="仿宋_GB2312" w:eastAsia="仿宋_GB2312" w:cs="仿宋_GB2312"/>
                    </w:rPr>
                  </w:pPr>
                </w:p>
              </w:tc>
            </w:tr>
            <w:tr w14:paraId="5C6CE4DA">
              <w:tblPrEx>
                <w:tblCellMar>
                  <w:top w:w="0" w:type="dxa"/>
                  <w:left w:w="108" w:type="dxa"/>
                  <w:bottom w:w="0" w:type="dxa"/>
                  <w:right w:w="108" w:type="dxa"/>
                </w:tblCellMar>
              </w:tblPrEx>
              <w:trPr>
                <w:trHeight w:val="329" w:hRule="atLeast"/>
                <w:jc w:val="center"/>
              </w:trPr>
              <w:tc>
                <w:tcPr>
                  <w:tcW w:w="0" w:type="auto"/>
                  <w:tcBorders>
                    <w:top w:val="single" w:color="000000" w:sz="4" w:space="0"/>
                    <w:left w:val="single" w:color="000000" w:sz="4" w:space="0"/>
                    <w:bottom w:val="single" w:color="000000" w:sz="4" w:space="0"/>
                    <w:right w:val="single" w:color="000000" w:sz="4" w:space="0"/>
                  </w:tcBorders>
                </w:tcPr>
                <w:p w14:paraId="78E8D924">
                  <w:pPr>
                    <w:pStyle w:val="6"/>
                    <w:rPr>
                      <w:rFonts w:hint="eastAsia" w:ascii="仿宋_GB2312" w:hAnsi="仿宋_GB2312" w:eastAsia="仿宋_GB2312" w:cs="仿宋_GB2312"/>
                    </w:rPr>
                  </w:pPr>
                  <w:r>
                    <w:rPr>
                      <w:rFonts w:hint="eastAsia" w:ascii="仿宋_GB2312" w:hAnsi="仿宋_GB2312" w:eastAsia="仿宋_GB2312" w:cs="仿宋_GB2312"/>
                    </w:rPr>
                    <w:t>49</w:t>
                  </w:r>
                </w:p>
              </w:tc>
              <w:tc>
                <w:tcPr>
                  <w:tcW w:w="0" w:type="auto"/>
                  <w:vMerge w:val="continue"/>
                  <w:tcBorders>
                    <w:left w:val="single" w:color="000000" w:sz="4" w:space="0"/>
                    <w:right w:val="single" w:color="000000" w:sz="4" w:space="0"/>
                  </w:tcBorders>
                  <w:vAlign w:val="center"/>
                </w:tcPr>
                <w:p w14:paraId="2215758D">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F2080A7">
                  <w:pPr>
                    <w:pStyle w:val="6"/>
                    <w:rPr>
                      <w:rFonts w:hint="eastAsia" w:ascii="仿宋_GB2312" w:hAnsi="仿宋_GB2312" w:eastAsia="仿宋_GB2312" w:cs="仿宋_GB2312"/>
                    </w:rPr>
                  </w:pPr>
                  <w:r>
                    <w:rPr>
                      <w:rFonts w:hint="eastAsia" w:ascii="仿宋_GB2312" w:hAnsi="仿宋_GB2312" w:eastAsia="仿宋_GB2312" w:cs="仿宋_GB2312"/>
                    </w:rPr>
                    <w:t>电导率</w:t>
                  </w:r>
                </w:p>
              </w:tc>
              <w:tc>
                <w:tcPr>
                  <w:tcW w:w="0" w:type="auto"/>
                  <w:tcBorders>
                    <w:top w:val="single" w:color="000000" w:sz="4" w:space="0"/>
                    <w:left w:val="single" w:color="000000" w:sz="4" w:space="0"/>
                    <w:bottom w:val="single" w:color="000000" w:sz="4" w:space="0"/>
                    <w:right w:val="single" w:color="000000" w:sz="4" w:space="0"/>
                  </w:tcBorders>
                  <w:vAlign w:val="center"/>
                </w:tcPr>
                <w:p w14:paraId="78604377">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vMerge w:val="continue"/>
                  <w:tcBorders>
                    <w:left w:val="single" w:color="000000" w:sz="4" w:space="0"/>
                    <w:right w:val="single" w:color="000000" w:sz="4" w:space="0"/>
                  </w:tcBorders>
                  <w:vAlign w:val="center"/>
                </w:tcPr>
                <w:p w14:paraId="55199CC8">
                  <w:pPr>
                    <w:pStyle w:val="6"/>
                    <w:rPr>
                      <w:rFonts w:hint="eastAsia" w:ascii="仿宋_GB2312" w:hAnsi="仿宋_GB2312" w:eastAsia="仿宋_GB2312" w:cs="仿宋_GB2312"/>
                    </w:rPr>
                  </w:pPr>
                </w:p>
              </w:tc>
            </w:tr>
            <w:tr w14:paraId="04764E7C">
              <w:tblPrEx>
                <w:tblCellMar>
                  <w:top w:w="0" w:type="dxa"/>
                  <w:left w:w="108" w:type="dxa"/>
                  <w:bottom w:w="0" w:type="dxa"/>
                  <w:right w:w="108" w:type="dxa"/>
                </w:tblCellMar>
              </w:tblPrEx>
              <w:trPr>
                <w:trHeight w:val="381" w:hRule="atLeast"/>
                <w:jc w:val="center"/>
              </w:trPr>
              <w:tc>
                <w:tcPr>
                  <w:tcW w:w="0" w:type="auto"/>
                  <w:tcBorders>
                    <w:top w:val="single" w:color="000000" w:sz="4" w:space="0"/>
                    <w:left w:val="single" w:color="000000" w:sz="4" w:space="0"/>
                    <w:bottom w:val="single" w:color="000000" w:sz="4" w:space="0"/>
                    <w:right w:val="single" w:color="000000" w:sz="4" w:space="0"/>
                  </w:tcBorders>
                </w:tcPr>
                <w:p w14:paraId="08F23397">
                  <w:pPr>
                    <w:pStyle w:val="6"/>
                    <w:rPr>
                      <w:rFonts w:hint="eastAsia" w:ascii="仿宋_GB2312" w:hAnsi="仿宋_GB2312" w:eastAsia="仿宋_GB2312" w:cs="仿宋_GB2312"/>
                    </w:rPr>
                  </w:pPr>
                  <w:r>
                    <w:rPr>
                      <w:rFonts w:hint="eastAsia" w:ascii="仿宋_GB2312" w:hAnsi="仿宋_GB2312" w:eastAsia="仿宋_GB2312" w:cs="仿宋_GB2312"/>
                    </w:rPr>
                    <w:t>50</w:t>
                  </w:r>
                </w:p>
              </w:tc>
              <w:tc>
                <w:tcPr>
                  <w:tcW w:w="0" w:type="auto"/>
                  <w:vMerge w:val="continue"/>
                  <w:tcBorders>
                    <w:left w:val="single" w:color="000000" w:sz="4" w:space="0"/>
                    <w:bottom w:val="single" w:color="000000" w:sz="4" w:space="0"/>
                    <w:right w:val="single" w:color="000000" w:sz="4" w:space="0"/>
                  </w:tcBorders>
                  <w:vAlign w:val="center"/>
                </w:tcPr>
                <w:p w14:paraId="4FD4B474">
                  <w:pPr>
                    <w:pStyle w:val="6"/>
                    <w:rPr>
                      <w:rFonts w:hint="eastAsia" w:ascii="仿宋_GB2312" w:hAnsi="仿宋_GB2312" w:eastAsia="仿宋_GB2312" w:cs="仿宋_GB231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D2517F0">
                  <w:pPr>
                    <w:pStyle w:val="6"/>
                    <w:rPr>
                      <w:rFonts w:hint="eastAsia" w:ascii="仿宋_GB2312" w:hAnsi="仿宋_GB2312" w:eastAsia="仿宋_GB2312" w:cs="仿宋_GB2312"/>
                    </w:rPr>
                  </w:pPr>
                  <w:r>
                    <w:rPr>
                      <w:rFonts w:hint="eastAsia" w:ascii="仿宋_GB2312" w:hAnsi="仿宋_GB2312" w:eastAsia="仿宋_GB2312" w:cs="仿宋_GB2312"/>
                    </w:rPr>
                    <w:t>(浑)浊度</w:t>
                  </w:r>
                </w:p>
              </w:tc>
              <w:tc>
                <w:tcPr>
                  <w:tcW w:w="0" w:type="auto"/>
                  <w:tcBorders>
                    <w:top w:val="single" w:color="000000" w:sz="4" w:space="0"/>
                    <w:left w:val="single" w:color="000000" w:sz="4" w:space="0"/>
                    <w:bottom w:val="single" w:color="000000" w:sz="4" w:space="0"/>
                    <w:right w:val="single" w:color="000000" w:sz="4" w:space="0"/>
                  </w:tcBorders>
                  <w:vAlign w:val="center"/>
                </w:tcPr>
                <w:p w14:paraId="35A7DF5D">
                  <w:pPr>
                    <w:pStyle w:val="6"/>
                    <w:rPr>
                      <w:rFonts w:hint="eastAsia" w:ascii="仿宋_GB2312" w:hAnsi="仿宋_GB2312" w:eastAsia="仿宋_GB2312" w:cs="仿宋_GB2312"/>
                    </w:rPr>
                  </w:pPr>
                  <w:r>
                    <w:rPr>
                      <w:rFonts w:hint="eastAsia" w:ascii="仿宋_GB2312" w:hAnsi="仿宋_GB2312" w:eastAsia="仿宋_GB2312" w:cs="仿宋_GB2312"/>
                    </w:rPr>
                    <w:t>1</w:t>
                  </w:r>
                </w:p>
              </w:tc>
              <w:tc>
                <w:tcPr>
                  <w:tcW w:w="0" w:type="auto"/>
                  <w:vMerge w:val="continue"/>
                  <w:tcBorders>
                    <w:left w:val="single" w:color="000000" w:sz="4" w:space="0"/>
                    <w:bottom w:val="single" w:color="000000" w:sz="4" w:space="0"/>
                    <w:right w:val="single" w:color="000000" w:sz="4" w:space="0"/>
                  </w:tcBorders>
                  <w:vAlign w:val="center"/>
                </w:tcPr>
                <w:p w14:paraId="32BC21EE">
                  <w:pPr>
                    <w:pStyle w:val="6"/>
                    <w:rPr>
                      <w:rFonts w:hint="eastAsia" w:ascii="仿宋_GB2312" w:hAnsi="仿宋_GB2312" w:eastAsia="仿宋_GB2312" w:cs="仿宋_GB2312"/>
                    </w:rPr>
                  </w:pPr>
                </w:p>
              </w:tc>
            </w:tr>
          </w:tbl>
          <w:p w14:paraId="1A4D24E4">
            <w:pPr>
              <w:pStyle w:val="6"/>
              <w:rPr>
                <w:rFonts w:hint="eastAsia" w:ascii="仿宋_GB2312" w:hAnsi="仿宋_GB2312" w:eastAsia="仿宋_GB2312" w:cs="仿宋_GB2312"/>
              </w:rPr>
            </w:pPr>
            <w:r>
              <w:rPr>
                <w:rFonts w:hint="eastAsia" w:ascii="仿宋_GB2312" w:hAnsi="仿宋_GB2312" w:eastAsia="仿宋_GB2312" w:cs="仿宋_GB2312"/>
              </w:rPr>
              <w:t>5.3运维管理体系建设</w:t>
            </w:r>
          </w:p>
          <w:p w14:paraId="674D004B">
            <w:pPr>
              <w:pStyle w:val="6"/>
              <w:rPr>
                <w:rFonts w:hint="eastAsia" w:ascii="仿宋_GB2312" w:hAnsi="仿宋_GB2312" w:eastAsia="仿宋_GB2312" w:cs="仿宋_GB2312"/>
              </w:rPr>
            </w:pPr>
            <w:r>
              <w:rPr>
                <w:rFonts w:hint="eastAsia" w:ascii="仿宋_GB2312" w:hAnsi="仿宋_GB2312" w:eastAsia="仿宋_GB2312" w:cs="仿宋_GB2312"/>
              </w:rPr>
              <w:t>5.3.1 关键信息备案要求</w:t>
            </w:r>
          </w:p>
          <w:p w14:paraId="201B6028">
            <w:pPr>
              <w:pStyle w:val="6"/>
              <w:rPr>
                <w:rFonts w:hint="eastAsia" w:ascii="仿宋_GB2312" w:hAnsi="仿宋_GB2312" w:eastAsia="仿宋_GB2312" w:cs="仿宋_GB2312"/>
              </w:rPr>
            </w:pPr>
            <w:r>
              <w:rPr>
                <w:rFonts w:hint="eastAsia" w:ascii="仿宋_GB2312" w:hAnsi="仿宋_GB2312" w:eastAsia="仿宋_GB2312" w:cs="仿宋_GB2312"/>
              </w:rPr>
              <w:t>投标人中标后及时落实关键信息备案，中标后30自然日内，须向采购人提供以下材料，待审核后，进行信息备案。</w:t>
            </w:r>
          </w:p>
          <w:p w14:paraId="43275EF4">
            <w:pPr>
              <w:pStyle w:val="6"/>
              <w:rPr>
                <w:rFonts w:hint="eastAsia" w:ascii="仿宋_GB2312" w:hAnsi="仿宋_GB2312" w:eastAsia="仿宋_GB2312" w:cs="仿宋_GB2312"/>
              </w:rPr>
            </w:pPr>
            <w:r>
              <w:rPr>
                <w:rFonts w:hint="eastAsia" w:ascii="仿宋_GB2312" w:hAnsi="仿宋_GB2312" w:eastAsia="仿宋_GB2312" w:cs="仿宋_GB2312"/>
              </w:rPr>
              <w:t>（1）营业执照等单位身份证明文件；</w:t>
            </w:r>
          </w:p>
          <w:p w14:paraId="3AF5549F">
            <w:pPr>
              <w:pStyle w:val="6"/>
              <w:rPr>
                <w:rFonts w:hint="eastAsia" w:ascii="仿宋_GB2312" w:hAnsi="仿宋_GB2312" w:eastAsia="仿宋_GB2312" w:cs="仿宋_GB2312"/>
              </w:rPr>
            </w:pPr>
            <w:r>
              <w:rPr>
                <w:rFonts w:hint="eastAsia" w:ascii="仿宋_GB2312" w:hAnsi="仿宋_GB2312" w:eastAsia="仿宋_GB2312" w:cs="仿宋_GB2312"/>
              </w:rPr>
              <w:t>（2）组织结构示意图，内部组织结构设置和职责；</w:t>
            </w:r>
          </w:p>
          <w:p w14:paraId="6B29AE4F">
            <w:pPr>
              <w:pStyle w:val="6"/>
              <w:rPr>
                <w:rFonts w:hint="eastAsia" w:ascii="仿宋_GB2312" w:hAnsi="仿宋_GB2312" w:eastAsia="仿宋_GB2312" w:cs="仿宋_GB2312"/>
              </w:rPr>
            </w:pPr>
            <w:r>
              <w:rPr>
                <w:rFonts w:hint="eastAsia" w:ascii="仿宋_GB2312" w:hAnsi="仿宋_GB2312" w:eastAsia="仿宋_GB2312" w:cs="仿宋_GB2312"/>
              </w:rPr>
              <w:t xml:space="preserve">（3）参与本项目运维、管理人员一览表（包括但不限于项目负责人、技术负责人、质量负责人、数据审核负责人、报告编制负责人、片区负责人、运维人员等项目相关人员的详细配置信息）； </w:t>
            </w:r>
          </w:p>
          <w:p w14:paraId="12A64172">
            <w:pPr>
              <w:pStyle w:val="6"/>
              <w:rPr>
                <w:rFonts w:hint="eastAsia" w:ascii="仿宋_GB2312" w:hAnsi="仿宋_GB2312" w:eastAsia="仿宋_GB2312" w:cs="仿宋_GB2312"/>
              </w:rPr>
            </w:pPr>
            <w:r>
              <w:rPr>
                <w:rFonts w:hint="eastAsia" w:ascii="仿宋_GB2312" w:hAnsi="仿宋_GB2312" w:eastAsia="仿宋_GB2312" w:cs="仿宋_GB2312"/>
              </w:rPr>
              <w:t>（4）本项目关键岗位人员任命文件；</w:t>
            </w:r>
          </w:p>
          <w:p w14:paraId="65F1C414">
            <w:pPr>
              <w:pStyle w:val="6"/>
              <w:rPr>
                <w:rFonts w:hint="eastAsia" w:ascii="仿宋_GB2312" w:hAnsi="仿宋_GB2312" w:eastAsia="仿宋_GB2312" w:cs="仿宋_GB2312"/>
              </w:rPr>
            </w:pPr>
            <w:r>
              <w:rPr>
                <w:rFonts w:hint="eastAsia" w:ascii="仿宋_GB2312" w:hAnsi="仿宋_GB2312" w:eastAsia="仿宋_GB2312" w:cs="仿宋_GB2312"/>
              </w:rPr>
              <w:t>（5）与本项目相关的检验检测能力表（自有或直接持股超过50%的CMA认证检测机构检验检测能力）；</w:t>
            </w:r>
          </w:p>
          <w:p w14:paraId="152B7595">
            <w:pPr>
              <w:pStyle w:val="6"/>
              <w:rPr>
                <w:rFonts w:hint="eastAsia" w:ascii="仿宋_GB2312" w:hAnsi="仿宋_GB2312" w:eastAsia="仿宋_GB2312" w:cs="仿宋_GB2312"/>
              </w:rPr>
            </w:pPr>
            <w:r>
              <w:rPr>
                <w:rFonts w:hint="eastAsia" w:ascii="仿宋_GB2312" w:hAnsi="仿宋_GB2312" w:eastAsia="仿宋_GB2312" w:cs="仿宋_GB2312"/>
              </w:rPr>
              <w:t>（6）与本项目相关的车辆配备一览表；</w:t>
            </w:r>
          </w:p>
          <w:p w14:paraId="7B179DF6">
            <w:pPr>
              <w:pStyle w:val="6"/>
              <w:rPr>
                <w:rFonts w:hint="eastAsia" w:ascii="仿宋_GB2312" w:hAnsi="仿宋_GB2312" w:eastAsia="仿宋_GB2312" w:cs="仿宋_GB2312"/>
              </w:rPr>
            </w:pPr>
            <w:r>
              <w:rPr>
                <w:rFonts w:hint="eastAsia" w:ascii="仿宋_GB2312" w:hAnsi="仿宋_GB2312" w:eastAsia="仿宋_GB2312" w:cs="仿宋_GB2312"/>
              </w:rPr>
              <w:t>（7）与本项目相关的主要仪器设备信息一览表；</w:t>
            </w:r>
          </w:p>
          <w:p w14:paraId="7478DB61">
            <w:pPr>
              <w:pStyle w:val="6"/>
              <w:rPr>
                <w:rFonts w:hint="eastAsia" w:ascii="仿宋_GB2312" w:hAnsi="仿宋_GB2312" w:eastAsia="仿宋_GB2312" w:cs="仿宋_GB2312"/>
              </w:rPr>
            </w:pPr>
            <w:r>
              <w:rPr>
                <w:rFonts w:hint="eastAsia" w:ascii="仿宋_GB2312" w:hAnsi="仿宋_GB2312" w:eastAsia="仿宋_GB2312" w:cs="仿宋_GB2312"/>
              </w:rPr>
              <w:t>（8）与本项目相关的驻地办事处设置信息一览表（包含但不限于驻地办事处办公地购买或租赁合同，驻地办事处与辖区自动站相对位置，驻地办事处人员配置等信息）；</w:t>
            </w:r>
          </w:p>
          <w:p w14:paraId="6B7D7179">
            <w:pPr>
              <w:pStyle w:val="6"/>
              <w:rPr>
                <w:rFonts w:hint="eastAsia" w:ascii="仿宋_GB2312" w:hAnsi="仿宋_GB2312" w:eastAsia="仿宋_GB2312" w:cs="仿宋_GB2312"/>
              </w:rPr>
            </w:pPr>
            <w:r>
              <w:rPr>
                <w:rFonts w:hint="eastAsia" w:ascii="仿宋_GB2312" w:hAnsi="仿宋_GB2312" w:eastAsia="仿宋_GB2312" w:cs="仿宋_GB2312"/>
              </w:rPr>
              <w:t>（9）与本项目相关的备品备件及备机/备船信息一览表（包含但不限于备品备件及备机台账，品牌、数量、存放地点等信息）；</w:t>
            </w:r>
          </w:p>
          <w:p w14:paraId="4C4426E5">
            <w:pPr>
              <w:pStyle w:val="6"/>
              <w:rPr>
                <w:rFonts w:hint="eastAsia" w:ascii="仿宋_GB2312" w:hAnsi="仿宋_GB2312" w:eastAsia="仿宋_GB2312" w:cs="仿宋_GB2312"/>
              </w:rPr>
            </w:pPr>
            <w:r>
              <w:rPr>
                <w:rFonts w:hint="eastAsia" w:ascii="仿宋_GB2312" w:hAnsi="仿宋_GB2312" w:eastAsia="仿宋_GB2312" w:cs="仿宋_GB2312"/>
              </w:rPr>
              <w:t>（10）备机的试剂配制手册及传输协议；</w:t>
            </w:r>
          </w:p>
          <w:p w14:paraId="7A39D063">
            <w:pPr>
              <w:pStyle w:val="6"/>
              <w:rPr>
                <w:rFonts w:hint="eastAsia" w:ascii="仿宋_GB2312" w:hAnsi="仿宋_GB2312" w:eastAsia="仿宋_GB2312" w:cs="仿宋_GB2312"/>
              </w:rPr>
            </w:pPr>
            <w:r>
              <w:rPr>
                <w:rFonts w:hint="eastAsia" w:ascii="仿宋_GB2312" w:hAnsi="仿宋_GB2312" w:eastAsia="仿宋_GB2312" w:cs="仿宋_GB2312"/>
              </w:rPr>
              <w:t>（11）与本项目相关的中标单位必要的技术性和管理性支持文件（包含但不限于中标单位为本项目制定的运维管理程序文件、质量手册和作业指导书，以及支撑项目执行的自动站运维相关管理制度等）。</w:t>
            </w:r>
          </w:p>
          <w:p w14:paraId="2A829B89">
            <w:pPr>
              <w:pStyle w:val="6"/>
              <w:rPr>
                <w:rFonts w:hint="eastAsia" w:ascii="仿宋_GB2312" w:hAnsi="仿宋_GB2312" w:eastAsia="仿宋_GB2312" w:cs="仿宋_GB2312"/>
              </w:rPr>
            </w:pPr>
            <w:r>
              <w:rPr>
                <w:rFonts w:hint="eastAsia" w:ascii="仿宋_GB2312" w:hAnsi="仿宋_GB2312" w:eastAsia="仿宋_GB2312" w:cs="仿宋_GB2312"/>
              </w:rPr>
              <w:t>5.3.2运维管理体系要求</w:t>
            </w:r>
          </w:p>
          <w:p w14:paraId="7BE307A4">
            <w:pPr>
              <w:pStyle w:val="6"/>
              <w:rPr>
                <w:rFonts w:hint="eastAsia" w:ascii="仿宋_GB2312" w:hAnsi="仿宋_GB2312" w:eastAsia="仿宋_GB2312" w:cs="仿宋_GB2312"/>
              </w:rPr>
            </w:pPr>
            <w:r>
              <w:rPr>
                <w:rFonts w:hint="eastAsia" w:ascii="仿宋_GB2312" w:hAnsi="仿宋_GB2312" w:eastAsia="仿宋_GB2312" w:cs="仿宋_GB2312"/>
              </w:rPr>
              <w:t>按照采购内容和要求，建立涵盖运维全过程的运维管理体系。制定水站运维管理程序文件、质量手册和作业指导书。以及支撑项目执行的运维管理相关制度文件。</w:t>
            </w:r>
          </w:p>
          <w:p w14:paraId="6BCCD361">
            <w:pPr>
              <w:pStyle w:val="6"/>
              <w:rPr>
                <w:rFonts w:hint="eastAsia" w:ascii="仿宋_GB2312" w:hAnsi="仿宋_GB2312" w:eastAsia="仿宋_GB2312" w:cs="仿宋_GB2312"/>
              </w:rPr>
            </w:pPr>
            <w:r>
              <w:rPr>
                <w:rFonts w:hint="eastAsia" w:ascii="仿宋_GB2312" w:hAnsi="仿宋_GB2312" w:eastAsia="仿宋_GB2312" w:cs="仿宋_GB2312"/>
              </w:rPr>
              <w:t>（1）运维管理程序文件需满足自动站运维管理实际需求，至少包含运维职责分工、人员规范管理、安全管理、培训管理、廉洁运维管理、绩效考核管理、日常运维工作流程、应急运维工作流程、质控考核流程、异常数据核实处置流程、故障处理流程、数据审核流程、自动站停运、复运流程、数据保障补测流程、备品备件管理、备机管理、便携仪器管理、运维工具及物资管理、仓库管理、驻地办事处管理、车辆管理、应急监测车管理、实验室管理、运维费用报销管理、运维记录及档案管理、自动站资产管理等相关内容。</w:t>
            </w:r>
          </w:p>
          <w:p w14:paraId="504B3B77">
            <w:pPr>
              <w:pStyle w:val="6"/>
              <w:rPr>
                <w:rFonts w:hint="eastAsia" w:ascii="仿宋_GB2312" w:hAnsi="仿宋_GB2312" w:eastAsia="仿宋_GB2312" w:cs="仿宋_GB2312"/>
              </w:rPr>
            </w:pPr>
            <w:r>
              <w:rPr>
                <w:rFonts w:hint="eastAsia" w:ascii="仿宋_GB2312" w:hAnsi="仿宋_GB2312" w:eastAsia="仿宋_GB2312" w:cs="仿宋_GB2312"/>
              </w:rPr>
              <w:t>数据审核程序文件，至少包括职责分工、数据审核规则、内部数据审核制度、数据复核以及运维视频、日志、关键参数日常审核等内容，并与自动站关键参数备案、异常数据核实、预防人为干扰监测行为调查等情况相结合。能够及时发现和上报水站异常情况。</w:t>
            </w:r>
          </w:p>
          <w:p w14:paraId="2941A1C8">
            <w:pPr>
              <w:pStyle w:val="6"/>
              <w:rPr>
                <w:rFonts w:hint="eastAsia" w:ascii="仿宋_GB2312" w:hAnsi="仿宋_GB2312" w:eastAsia="仿宋_GB2312" w:cs="仿宋_GB2312"/>
              </w:rPr>
            </w:pPr>
            <w:r>
              <w:rPr>
                <w:rFonts w:hint="eastAsia" w:ascii="仿宋_GB2312" w:hAnsi="仿宋_GB2312" w:eastAsia="仿宋_GB2312" w:cs="仿宋_GB2312"/>
              </w:rPr>
              <w:t>应急监测程序文件至少应包括职责分工、异常数据识别办法、异常数据响应办法、故障处理流程、应急监测流程、人工采/送样流程、应急监测数据质量保障措施、污染事故应急监测方案等内容。不可抗力导致不具备运维条件时的设计的应急预案须根据实际情况编制，内容至少应包括安全保障措施、联合协调机制、运维和质量保障措施等内容。有效应对自动站出现的各类异常和突发情况。</w:t>
            </w:r>
          </w:p>
          <w:p w14:paraId="27D0C6AA">
            <w:pPr>
              <w:pStyle w:val="6"/>
              <w:rPr>
                <w:rFonts w:hint="eastAsia" w:ascii="仿宋_GB2312" w:hAnsi="仿宋_GB2312" w:eastAsia="仿宋_GB2312" w:cs="仿宋_GB2312"/>
              </w:rPr>
            </w:pPr>
            <w:r>
              <w:rPr>
                <w:rFonts w:hint="eastAsia" w:ascii="仿宋_GB2312" w:hAnsi="仿宋_GB2312" w:eastAsia="仿宋_GB2312" w:cs="仿宋_GB2312"/>
              </w:rPr>
              <w:t>自动站数据保障补测流程，应确保自动站停运期间、以及自动站受环境影响监测数据不具备“代表性”时，及时进行补测工作，以保障自动站监测数据的完整性，同时根据自动站“一站一策”技术方案，积极配合采购人对自动站预处理系统功能、仪器抗干扰能力进行优化升级。</w:t>
            </w:r>
          </w:p>
          <w:p w14:paraId="5F4B684D">
            <w:pPr>
              <w:pStyle w:val="6"/>
              <w:rPr>
                <w:rFonts w:hint="eastAsia" w:ascii="仿宋_GB2312" w:hAnsi="仿宋_GB2312" w:eastAsia="仿宋_GB2312" w:cs="仿宋_GB2312"/>
              </w:rPr>
            </w:pPr>
            <w:r>
              <w:rPr>
                <w:rFonts w:hint="eastAsia" w:ascii="仿宋_GB2312" w:hAnsi="仿宋_GB2312" w:eastAsia="仿宋_GB2312" w:cs="仿宋_GB2312"/>
              </w:rPr>
              <w:t>资产管理程序文件，应明确运行维护期间，自动站的全部资产（建筑物、设备、软件、配套设施、水质自动监测系统和配套</w:t>
            </w:r>
            <w:r>
              <w:rPr>
                <w:rFonts w:hint="eastAsia" w:ascii="仿宋_GB2312" w:hAnsi="仿宋_GB2312" w:eastAsia="仿宋_GB2312" w:cs="仿宋_GB2312"/>
                <w:lang w:val="en-US" w:eastAsia="zh-CN"/>
              </w:rPr>
              <w:t>摄像头</w:t>
            </w:r>
            <w:r>
              <w:rPr>
                <w:rFonts w:hint="eastAsia" w:ascii="仿宋_GB2312" w:hAnsi="仿宋_GB2312" w:eastAsia="仿宋_GB2312" w:cs="仿宋_GB2312"/>
              </w:rPr>
              <w:t>产生的各类数据信息及相关文档资料等）属采购人所有。未经采购人同意，中标单位不得以任何方式对各类财产进行出售、抵押或转移；同时，中标单位设立专（兼）职人员对自动站固定资产统一管理，并配合采购人定期完成自动站资产清点工作。</w:t>
            </w:r>
          </w:p>
          <w:p w14:paraId="2277917C">
            <w:pPr>
              <w:pStyle w:val="6"/>
              <w:rPr>
                <w:rFonts w:hint="eastAsia" w:ascii="仿宋_GB2312" w:hAnsi="仿宋_GB2312" w:eastAsia="仿宋_GB2312" w:cs="仿宋_GB2312"/>
              </w:rPr>
            </w:pPr>
            <w:r>
              <w:rPr>
                <w:rFonts w:hint="eastAsia" w:ascii="仿宋_GB2312" w:hAnsi="仿宋_GB2312" w:eastAsia="仿宋_GB2312" w:cs="仿宋_GB2312"/>
              </w:rPr>
              <w:t>（2）质量手册应明确质量目标，把控 “人”、“机”、“料”、“法”、“环”、“测”各环节，明确质控责任，制定详细质控方案，建立覆盖自动站运维全流程的质控管理体系。</w:t>
            </w:r>
          </w:p>
          <w:p w14:paraId="64E2EF8A">
            <w:pPr>
              <w:pStyle w:val="6"/>
              <w:rPr>
                <w:rFonts w:hint="eastAsia" w:ascii="仿宋_GB2312" w:hAnsi="仿宋_GB2312" w:eastAsia="仿宋_GB2312" w:cs="仿宋_GB2312"/>
              </w:rPr>
            </w:pPr>
            <w:r>
              <w:rPr>
                <w:rFonts w:hint="eastAsia" w:ascii="仿宋_GB2312" w:hAnsi="仿宋_GB2312" w:eastAsia="仿宋_GB2312" w:cs="仿宋_GB2312"/>
              </w:rPr>
              <w:t>（3）为支撑项目顺利开展，投标人内部制度的运行管理相关制度。包含但不限于运维人员行为规范，人才培养、晋升、储备制度，人员激励制度，内部检查制度等。以及为项目优先执行特别制定的相关规定，如专款专用、运维费用报销绿色通道等。</w:t>
            </w:r>
          </w:p>
          <w:p w14:paraId="1EFAF0DD">
            <w:pPr>
              <w:pStyle w:val="6"/>
              <w:rPr>
                <w:rFonts w:hint="eastAsia" w:ascii="仿宋_GB2312" w:hAnsi="仿宋_GB2312" w:eastAsia="仿宋_GB2312" w:cs="仿宋_GB2312"/>
              </w:rPr>
            </w:pPr>
            <w:r>
              <w:rPr>
                <w:rFonts w:hint="eastAsia" w:ascii="仿宋_GB2312" w:hAnsi="仿宋_GB2312" w:eastAsia="仿宋_GB2312" w:cs="仿宋_GB2312"/>
              </w:rPr>
              <w:t>5.4质量监督要求</w:t>
            </w:r>
          </w:p>
          <w:p w14:paraId="37E0D836">
            <w:pPr>
              <w:pStyle w:val="6"/>
              <w:rPr>
                <w:rFonts w:hint="eastAsia" w:ascii="仿宋_GB2312" w:hAnsi="仿宋_GB2312" w:eastAsia="仿宋_GB2312" w:cs="仿宋_GB2312"/>
              </w:rPr>
            </w:pPr>
            <w:r>
              <w:rPr>
                <w:rFonts w:hint="eastAsia" w:ascii="仿宋_GB2312" w:hAnsi="仿宋_GB2312" w:eastAsia="仿宋_GB2312" w:cs="仿宋_GB2312"/>
              </w:rPr>
              <w:t>5.4.1中标单位接受采购人对数据质量的监督，按照采购人制定的质量监督计划，配合采购人开展数据质量核查工作。</w:t>
            </w:r>
          </w:p>
          <w:p w14:paraId="4BEA7616">
            <w:pPr>
              <w:pStyle w:val="6"/>
              <w:rPr>
                <w:rFonts w:hint="eastAsia" w:ascii="仿宋_GB2312" w:hAnsi="仿宋_GB2312" w:eastAsia="仿宋_GB2312" w:cs="仿宋_GB2312"/>
              </w:rPr>
            </w:pPr>
            <w:r>
              <w:rPr>
                <w:rFonts w:hint="eastAsia" w:ascii="仿宋_GB2312" w:hAnsi="仿宋_GB2312" w:eastAsia="仿宋_GB2312" w:cs="仿宋_GB2312"/>
              </w:rPr>
              <w:t>5.4.2采购人定期或不定期组织有关单位和专家，按照相关国家法律法规和技术文件的要求对中标单位监测过程各环节的质控措施落实情况进行抽测。</w:t>
            </w:r>
          </w:p>
          <w:p w14:paraId="3BB9D940">
            <w:pPr>
              <w:pStyle w:val="6"/>
              <w:rPr>
                <w:rFonts w:hint="eastAsia" w:ascii="仿宋_GB2312" w:hAnsi="仿宋_GB2312" w:eastAsia="仿宋_GB2312" w:cs="仿宋_GB2312"/>
              </w:rPr>
            </w:pPr>
            <w:r>
              <w:rPr>
                <w:rFonts w:hint="eastAsia" w:ascii="仿宋_GB2312" w:hAnsi="仿宋_GB2312" w:eastAsia="仿宋_GB2312" w:cs="仿宋_GB2312"/>
              </w:rPr>
              <w:t>5.4.3 中标单位须配合采购人完成质控样考核。</w:t>
            </w:r>
          </w:p>
          <w:p w14:paraId="60240D9E">
            <w:pPr>
              <w:pStyle w:val="6"/>
              <w:rPr>
                <w:rFonts w:hint="eastAsia" w:ascii="仿宋_GB2312" w:hAnsi="仿宋_GB2312" w:eastAsia="仿宋_GB2312" w:cs="仿宋_GB2312"/>
              </w:rPr>
            </w:pPr>
            <w:r>
              <w:rPr>
                <w:rFonts w:hint="eastAsia" w:ascii="仿宋_GB2312" w:hAnsi="仿宋_GB2312" w:eastAsia="仿宋_GB2312" w:cs="仿宋_GB2312"/>
              </w:rPr>
              <w:t>5.4.4 中标单位须配合采购人完成水样比对考核，按照采购人要求，规范采集水站水样送至采购人指定的CMA检测机构进行水样比对考核。</w:t>
            </w:r>
          </w:p>
          <w:p w14:paraId="39B01827">
            <w:pPr>
              <w:pStyle w:val="6"/>
              <w:rPr>
                <w:rFonts w:hint="eastAsia" w:ascii="仿宋_GB2312" w:hAnsi="仿宋_GB2312" w:eastAsia="仿宋_GB2312" w:cs="仿宋_GB2312"/>
              </w:rPr>
            </w:pPr>
            <w:r>
              <w:rPr>
                <w:rFonts w:hint="eastAsia" w:ascii="仿宋_GB2312" w:hAnsi="仿宋_GB2312" w:eastAsia="仿宋_GB2312" w:cs="仿宋_GB2312"/>
              </w:rPr>
              <w:t>5.5 项目交接</w:t>
            </w:r>
          </w:p>
          <w:p w14:paraId="1689C8DE">
            <w:pPr>
              <w:pStyle w:val="6"/>
              <w:rPr>
                <w:rFonts w:hint="eastAsia" w:ascii="仿宋_GB2312" w:hAnsi="仿宋_GB2312" w:eastAsia="仿宋_GB2312" w:cs="仿宋_GB2312"/>
              </w:rPr>
            </w:pPr>
            <w:r>
              <w:rPr>
                <w:rFonts w:hint="eastAsia" w:ascii="仿宋_GB2312" w:hAnsi="仿宋_GB2312" w:eastAsia="仿宋_GB2312" w:cs="仿宋_GB2312"/>
              </w:rPr>
              <w:t>5.5.1中标单位按照相关技术规范和运维合同要求，在交接过渡期完成相关自动站交接，交接完成即开展水站运维工作。</w:t>
            </w:r>
          </w:p>
          <w:p w14:paraId="20B40E5B">
            <w:pPr>
              <w:pStyle w:val="6"/>
              <w:rPr>
                <w:rFonts w:hint="eastAsia" w:ascii="仿宋_GB2312" w:hAnsi="仿宋_GB2312" w:eastAsia="仿宋_GB2312" w:cs="仿宋_GB2312"/>
              </w:rPr>
            </w:pPr>
            <w:r>
              <w:rPr>
                <w:rFonts w:hint="eastAsia" w:ascii="仿宋_GB2312" w:hAnsi="仿宋_GB2312" w:eastAsia="仿宋_GB2312" w:cs="仿宋_GB2312"/>
              </w:rPr>
              <w:t xml:space="preserve">（1）中标单位按交接方案开展相关工作，合理制定交接计划，并做好交接记录。 </w:t>
            </w:r>
          </w:p>
          <w:p w14:paraId="471D8F3D">
            <w:pPr>
              <w:pStyle w:val="6"/>
              <w:rPr>
                <w:rFonts w:hint="eastAsia" w:ascii="仿宋_GB2312" w:hAnsi="仿宋_GB2312" w:eastAsia="仿宋_GB2312" w:cs="仿宋_GB2312"/>
              </w:rPr>
            </w:pPr>
            <w:r>
              <w:rPr>
                <w:rFonts w:hint="eastAsia" w:ascii="仿宋_GB2312" w:hAnsi="仿宋_GB2312" w:eastAsia="仿宋_GB2312" w:cs="仿宋_GB2312"/>
              </w:rPr>
              <w:t>（2）交接时中标单位应对站点经纬度、采水设施位置等站点基本信息进行全面核实。</w:t>
            </w:r>
          </w:p>
          <w:p w14:paraId="1D045931">
            <w:pPr>
              <w:pStyle w:val="6"/>
              <w:rPr>
                <w:rFonts w:hint="eastAsia" w:ascii="仿宋_GB2312" w:hAnsi="仿宋_GB2312" w:eastAsia="仿宋_GB2312" w:cs="仿宋_GB2312"/>
              </w:rPr>
            </w:pPr>
            <w:r>
              <w:rPr>
                <w:rFonts w:hint="eastAsia" w:ascii="仿宋_GB2312" w:hAnsi="仿宋_GB2312" w:eastAsia="仿宋_GB2312" w:cs="仿宋_GB2312"/>
              </w:rPr>
              <w:t>（3）中标单位</w:t>
            </w:r>
            <w:bookmarkStart w:id="7" w:name="_Hlk72841492"/>
            <w:r>
              <w:rPr>
                <w:rFonts w:hint="eastAsia" w:ascii="仿宋_GB2312" w:hAnsi="仿宋_GB2312" w:eastAsia="仿宋_GB2312" w:cs="仿宋_GB2312"/>
              </w:rPr>
              <w:t>在采购人规定时间内严格按照采购人要求完成和原运维单位的交接工作，并在合同期内严格按照运维技术要求和质量控制与质量保证要求及时开展运维工作。（如有最新的技术要求，以采购人通知为准）</w:t>
            </w:r>
            <w:bookmarkEnd w:id="7"/>
            <w:r>
              <w:rPr>
                <w:rFonts w:hint="eastAsia" w:ascii="仿宋_GB2312" w:hAnsi="仿宋_GB2312" w:eastAsia="仿宋_GB2312" w:cs="仿宋_GB2312"/>
              </w:rPr>
              <w:t>。</w:t>
            </w:r>
          </w:p>
          <w:p w14:paraId="798B4DBA">
            <w:pPr>
              <w:pStyle w:val="6"/>
              <w:rPr>
                <w:rFonts w:hint="eastAsia" w:ascii="仿宋_GB2312" w:hAnsi="仿宋_GB2312" w:eastAsia="仿宋_GB2312" w:cs="仿宋_GB2312"/>
              </w:rPr>
            </w:pPr>
            <w:r>
              <w:rPr>
                <w:rFonts w:hint="eastAsia" w:ascii="仿宋_GB2312" w:hAnsi="仿宋_GB2312" w:eastAsia="仿宋_GB2312" w:cs="仿宋_GB2312"/>
              </w:rPr>
              <w:t>（4）因中标单位原因导致交接工作未能按时完成的，应由中标单位承担水站运行的相关费用。</w:t>
            </w:r>
          </w:p>
          <w:p w14:paraId="0FD96D13">
            <w:pPr>
              <w:pStyle w:val="6"/>
              <w:rPr>
                <w:rFonts w:hint="eastAsia" w:ascii="仿宋_GB2312" w:hAnsi="仿宋_GB2312" w:eastAsia="仿宋_GB2312" w:cs="仿宋_GB2312"/>
              </w:rPr>
            </w:pPr>
            <w:r>
              <w:rPr>
                <w:rFonts w:hint="eastAsia" w:ascii="仿宋_GB2312" w:hAnsi="仿宋_GB2312" w:eastAsia="仿宋_GB2312" w:cs="仿宋_GB2312"/>
              </w:rPr>
              <w:t>（5）遇交出方备机需拆除的自动站，接收方应提前准备好符合自动站使用要求的备机，交接过程中完成备机更换及相关性能测试和功能检查。</w:t>
            </w:r>
          </w:p>
          <w:p w14:paraId="48F4226F">
            <w:pPr>
              <w:pStyle w:val="6"/>
              <w:rPr>
                <w:rFonts w:hint="eastAsia" w:ascii="仿宋_GB2312" w:hAnsi="仿宋_GB2312" w:eastAsia="仿宋_GB2312" w:cs="仿宋_GB2312"/>
              </w:rPr>
            </w:pPr>
            <w:r>
              <w:rPr>
                <w:rFonts w:hint="eastAsia" w:ascii="仿宋_GB2312" w:hAnsi="仿宋_GB2312" w:eastAsia="仿宋_GB2312" w:cs="仿宋_GB2312"/>
              </w:rPr>
              <w:t>5.5.2 中标单位在到达运维服务期限或因其他原因终止服务合同时，应当在采购人规定时间内严格按照采购人要求完成和下一任运维单位的交接工作。按照交接方案和运维合同约定，确保交出水站符合相关技术规范要求。</w:t>
            </w:r>
          </w:p>
          <w:p w14:paraId="258A6E6D">
            <w:pPr>
              <w:pStyle w:val="6"/>
              <w:rPr>
                <w:rFonts w:hint="eastAsia" w:ascii="仿宋_GB2312" w:hAnsi="仿宋_GB2312" w:eastAsia="仿宋_GB2312" w:cs="仿宋_GB2312"/>
              </w:rPr>
            </w:pPr>
            <w:r>
              <w:rPr>
                <w:rFonts w:hint="eastAsia" w:ascii="仿宋_GB2312" w:hAnsi="仿宋_GB2312" w:eastAsia="仿宋_GB2312" w:cs="仿宋_GB2312"/>
              </w:rPr>
              <w:t>（1）根据相关的交接清单及方案要求，保证交接自动站仪器、系统及配套设施齐全，功能完整，性能符合相关技术要求；</w:t>
            </w:r>
          </w:p>
          <w:p w14:paraId="5C6AA087">
            <w:pPr>
              <w:pStyle w:val="6"/>
              <w:rPr>
                <w:rFonts w:hint="eastAsia" w:ascii="仿宋_GB2312" w:hAnsi="仿宋_GB2312" w:eastAsia="仿宋_GB2312" w:cs="仿宋_GB2312"/>
              </w:rPr>
            </w:pPr>
            <w:r>
              <w:rPr>
                <w:rFonts w:hint="eastAsia" w:ascii="仿宋_GB2312" w:hAnsi="仿宋_GB2312" w:eastAsia="仿宋_GB2312" w:cs="仿宋_GB2312"/>
              </w:rPr>
              <w:t>（2）保证交接自动站的档案资料完整、齐全；</w:t>
            </w:r>
          </w:p>
          <w:p w14:paraId="6C91B83C">
            <w:pPr>
              <w:pStyle w:val="6"/>
              <w:rPr>
                <w:rFonts w:hint="eastAsia" w:ascii="仿宋_GB2312" w:hAnsi="仿宋_GB2312" w:eastAsia="仿宋_GB2312" w:cs="仿宋_GB2312"/>
              </w:rPr>
            </w:pPr>
            <w:r>
              <w:rPr>
                <w:rFonts w:hint="eastAsia" w:ascii="仿宋_GB2312" w:hAnsi="仿宋_GB2312" w:eastAsia="仿宋_GB2312" w:cs="仿宋_GB2312"/>
              </w:rPr>
              <w:t>（3）交接工作完成前，结算自动站各项支出费用，并完成相关过户转移工作；</w:t>
            </w:r>
          </w:p>
          <w:p w14:paraId="02CF23F1">
            <w:pPr>
              <w:pStyle w:val="6"/>
              <w:rPr>
                <w:rFonts w:hint="eastAsia" w:ascii="仿宋_GB2312" w:hAnsi="仿宋_GB2312" w:eastAsia="仿宋_GB2312" w:cs="仿宋_GB2312"/>
              </w:rPr>
            </w:pPr>
            <w:r>
              <w:rPr>
                <w:rFonts w:hint="eastAsia" w:ascii="仿宋_GB2312" w:hAnsi="仿宋_GB2312" w:eastAsia="仿宋_GB2312" w:cs="仿宋_GB2312"/>
              </w:rPr>
              <w:t>（4）交接过程中提供设备的备品备件清单及试剂配制手册、传输协议等，并对接收方运维人员进行培训。</w:t>
            </w:r>
          </w:p>
          <w:p w14:paraId="5CCA04D3">
            <w:pPr>
              <w:pStyle w:val="6"/>
              <w:rPr>
                <w:rFonts w:hint="eastAsia" w:ascii="仿宋_GB2312" w:hAnsi="仿宋_GB2312" w:eastAsia="仿宋_GB2312" w:cs="仿宋_GB2312"/>
              </w:rPr>
            </w:pPr>
            <w:r>
              <w:rPr>
                <w:rFonts w:hint="eastAsia" w:ascii="仿宋_GB2312" w:hAnsi="仿宋_GB2312" w:eastAsia="仿宋_GB2312" w:cs="仿宋_GB2312"/>
              </w:rPr>
              <w:t>5.5.3运行维护期间，如遇采购人为自动站更换或新增仪器，中标单位须配合仪器供货商做好新仪器的安装、调试、验收和运行维护等工作，并按要求完成相关设备运维交接工作。</w:t>
            </w:r>
          </w:p>
          <w:p w14:paraId="5C77CCB1">
            <w:pPr>
              <w:pStyle w:val="6"/>
              <w:rPr>
                <w:rFonts w:hint="eastAsia" w:ascii="仿宋_GB2312" w:hAnsi="仿宋_GB2312" w:eastAsia="仿宋_GB2312" w:cs="仿宋_GB2312"/>
              </w:rPr>
            </w:pPr>
            <w:r>
              <w:rPr>
                <w:rFonts w:hint="eastAsia" w:ascii="仿宋_GB2312" w:hAnsi="仿宋_GB2312" w:eastAsia="仿宋_GB2312" w:cs="仿宋_GB2312"/>
              </w:rPr>
              <w:t>5.6 其他要求</w:t>
            </w:r>
          </w:p>
          <w:p w14:paraId="00E9FD2A">
            <w:pPr>
              <w:pStyle w:val="6"/>
              <w:rPr>
                <w:rFonts w:hint="eastAsia" w:ascii="仿宋_GB2312" w:hAnsi="仿宋_GB2312" w:eastAsia="仿宋_GB2312" w:cs="仿宋_GB2312"/>
              </w:rPr>
            </w:pPr>
            <w:r>
              <w:rPr>
                <w:rFonts w:hint="eastAsia" w:ascii="仿宋_GB2312" w:hAnsi="仿宋_GB2312" w:eastAsia="仿宋_GB2312" w:cs="仿宋_GB2312"/>
              </w:rPr>
              <w:t>5.6.1本项目包括多个市级行政区域，投标人应具有跨市的资源调配能力（包括但不限于人员、车辆、备机、耗材等）及经验。</w:t>
            </w:r>
          </w:p>
          <w:p w14:paraId="04A5946C">
            <w:pPr>
              <w:pStyle w:val="6"/>
              <w:rPr>
                <w:rFonts w:hint="eastAsia" w:ascii="仿宋_GB2312" w:hAnsi="仿宋_GB2312" w:eastAsia="仿宋_GB2312" w:cs="仿宋_GB2312"/>
              </w:rPr>
            </w:pPr>
            <w:r>
              <w:rPr>
                <w:rFonts w:hint="eastAsia" w:ascii="仿宋_GB2312" w:hAnsi="仿宋_GB2312" w:eastAsia="仿宋_GB2312" w:cs="仿宋_GB2312"/>
              </w:rPr>
              <w:t>5.6.2为配合项目的正常实施，投标人需在采购人所在地，配合采购人开展实时数据审核、现场运维调度管理、月度数据会商、数据结转入库等项目执行相关工作。因此投标人中标后在服务期内需按采购人要求为本项目提供1名驻站人员。</w:t>
            </w:r>
          </w:p>
          <w:p w14:paraId="5D6C4EB1">
            <w:pPr>
              <w:pStyle w:val="6"/>
              <w:rPr>
                <w:rFonts w:hint="eastAsia" w:ascii="仿宋_GB2312" w:hAnsi="仿宋_GB2312" w:eastAsia="仿宋_GB2312" w:cs="仿宋_GB2312"/>
              </w:rPr>
            </w:pPr>
            <w:r>
              <w:rPr>
                <w:rFonts w:hint="eastAsia" w:ascii="仿宋_GB2312" w:hAnsi="仿宋_GB2312" w:eastAsia="仿宋_GB2312" w:cs="仿宋_GB2312"/>
              </w:rPr>
              <w:t>5.6.3 投标人的报价和工作范围将被认为满足本项目招标文件中所要求的一切货物和服务所需的全部费用和内容，若有漏项均由投标人承担。</w:t>
            </w:r>
          </w:p>
          <w:p w14:paraId="05863F4B">
            <w:pPr>
              <w:pStyle w:val="6"/>
              <w:rPr>
                <w:rFonts w:hint="eastAsia" w:ascii="仿宋_GB2312" w:hAnsi="仿宋_GB2312" w:eastAsia="仿宋_GB2312" w:cs="仿宋_GB2312"/>
              </w:rPr>
            </w:pPr>
            <w:r>
              <w:rPr>
                <w:rFonts w:hint="eastAsia" w:ascii="仿宋_GB2312" w:hAnsi="仿宋_GB2312" w:eastAsia="仿宋_GB2312" w:cs="仿宋_GB2312"/>
              </w:rPr>
              <w:t>5.6.4运行维护期间，值守人员的相关费用及自动站运行产生的水、电、通讯、采暖、试剂耗材、仪器设备维修等费用均由中标单位负责。</w:t>
            </w:r>
          </w:p>
          <w:p w14:paraId="3D8B6602">
            <w:pPr>
              <w:pStyle w:val="6"/>
              <w:rPr>
                <w:rFonts w:hint="eastAsia" w:ascii="仿宋_GB2312" w:hAnsi="仿宋_GB2312" w:eastAsia="仿宋_GB2312" w:cs="仿宋_GB2312"/>
              </w:rPr>
            </w:pPr>
            <w:r>
              <w:rPr>
                <w:rFonts w:hint="eastAsia" w:ascii="仿宋_GB2312" w:hAnsi="仿宋_GB2312" w:eastAsia="仿宋_GB2312" w:cs="仿宋_GB2312"/>
              </w:rPr>
              <w:t>5.6.5对于采购人提出的本项目采购需求范围内的要求，中标单位有义务配合，且不得要求增加费用；如采购人提出本项目采购需求外的要求或采购内容，中标单位应予以积极配合，双方按照《中华人民共和国民法典》、《中华人民共和国政府采购法》及相关法规的要求签署补充协议。</w:t>
            </w:r>
            <w:bookmarkStart w:id="8" w:name="_Toc29039646"/>
            <w:bookmarkStart w:id="9" w:name="_Toc489445816"/>
            <w:bookmarkStart w:id="10" w:name="_Toc448216029"/>
            <w:bookmarkStart w:id="11" w:name="_Toc449476281"/>
            <w:bookmarkStart w:id="12" w:name="_Toc490134012"/>
          </w:p>
          <w:p w14:paraId="48311797">
            <w:pPr>
              <w:pStyle w:val="6"/>
              <w:rPr>
                <w:rFonts w:hint="eastAsia" w:ascii="仿宋_GB2312" w:hAnsi="仿宋_GB2312" w:eastAsia="仿宋_GB2312" w:cs="仿宋_GB2312"/>
              </w:rPr>
            </w:pPr>
            <w:r>
              <w:rPr>
                <w:rFonts w:hint="eastAsia" w:ascii="仿宋_GB2312" w:hAnsi="仿宋_GB2312" w:eastAsia="仿宋_GB2312" w:cs="仿宋_GB2312"/>
              </w:rPr>
              <w:t>5.6.6水站产生的废酸、废碱等危险废物按照相关法律法规要求进行处置。</w:t>
            </w:r>
          </w:p>
          <w:p w14:paraId="3DA61B85">
            <w:pPr>
              <w:pStyle w:val="6"/>
              <w:rPr>
                <w:rFonts w:hint="eastAsia" w:ascii="仿宋_GB2312" w:hAnsi="仿宋_GB2312" w:eastAsia="仿宋_GB2312" w:cs="仿宋_GB2312"/>
              </w:rPr>
            </w:pPr>
            <w:r>
              <w:rPr>
                <w:rFonts w:hint="eastAsia" w:ascii="仿宋_GB2312" w:hAnsi="仿宋_GB2312" w:eastAsia="仿宋_GB2312" w:cs="仿宋_GB2312"/>
              </w:rPr>
              <w:t>6、数据归属及保密</w:t>
            </w:r>
            <w:bookmarkEnd w:id="8"/>
            <w:bookmarkEnd w:id="9"/>
            <w:bookmarkEnd w:id="10"/>
            <w:bookmarkEnd w:id="11"/>
            <w:bookmarkEnd w:id="12"/>
          </w:p>
          <w:p w14:paraId="234AAA7F">
            <w:pPr>
              <w:pStyle w:val="6"/>
              <w:rPr>
                <w:rFonts w:hint="eastAsia" w:ascii="仿宋_GB2312" w:hAnsi="仿宋_GB2312" w:eastAsia="仿宋_GB2312" w:cs="仿宋_GB2312"/>
              </w:rPr>
            </w:pPr>
            <w:r>
              <w:rPr>
                <w:rFonts w:hint="eastAsia" w:ascii="仿宋_GB2312" w:hAnsi="仿宋_GB2312" w:eastAsia="仿宋_GB2312" w:cs="仿宋_GB2312"/>
              </w:rPr>
              <w:t>本项目所形成的数据及报告归采购人所有。未经采购人授权，中标单位无权使用监测数据或将数据和报告发送给任何第三方。</w:t>
            </w:r>
          </w:p>
          <w:p w14:paraId="13C2DAA2">
            <w:pPr>
              <w:pStyle w:val="6"/>
              <w:rPr>
                <w:rFonts w:hint="eastAsia" w:ascii="仿宋_GB2312" w:hAnsi="仿宋_GB2312" w:eastAsia="仿宋_GB2312" w:cs="仿宋_GB2312"/>
              </w:rPr>
            </w:pPr>
            <w:r>
              <w:rPr>
                <w:rFonts w:hint="eastAsia" w:ascii="仿宋_GB2312" w:hAnsi="仿宋_GB2312" w:eastAsia="仿宋_GB2312" w:cs="仿宋_GB2312"/>
              </w:rPr>
              <w:t>驻站运维人员与采购人签订《保密协议》和《廉洁自律承诺书》，其他参与自动监测工作的中标单位的技术人员需遵守《保密协议》的相关规定，并与中标单位签订相关保密协议。</w:t>
            </w:r>
          </w:p>
          <w:p w14:paraId="4DD7A07B">
            <w:pPr>
              <w:pStyle w:val="6"/>
              <w:rPr>
                <w:rFonts w:hint="eastAsia" w:ascii="仿宋_GB2312" w:hAnsi="仿宋_GB2312" w:eastAsia="仿宋_GB2312" w:cs="仿宋_GB2312"/>
              </w:rPr>
            </w:pPr>
            <w:r>
              <w:rPr>
                <w:rFonts w:hint="eastAsia" w:ascii="仿宋_GB2312" w:hAnsi="仿宋_GB2312" w:eastAsia="仿宋_GB2312" w:cs="仿宋_GB2312"/>
              </w:rPr>
              <w:t xml:space="preserve">7、需投标人提供的设计方案、解决方案或者组织方案 </w:t>
            </w:r>
          </w:p>
          <w:p w14:paraId="7C774C70">
            <w:pPr>
              <w:pStyle w:val="6"/>
              <w:rPr>
                <w:rFonts w:hint="eastAsia" w:ascii="仿宋_GB2312" w:hAnsi="仿宋_GB2312" w:eastAsia="仿宋_GB2312" w:cs="仿宋_GB2312"/>
              </w:rPr>
            </w:pPr>
            <w:r>
              <w:rPr>
                <w:rFonts w:hint="eastAsia" w:ascii="仿宋_GB2312" w:hAnsi="仿宋_GB2312" w:eastAsia="仿宋_GB2312" w:cs="仿宋_GB2312"/>
              </w:rPr>
              <w:t>7.1运维交接实施方案</w:t>
            </w:r>
          </w:p>
          <w:p w14:paraId="6BE0F929">
            <w:pPr>
              <w:pStyle w:val="6"/>
              <w:rPr>
                <w:rFonts w:hint="eastAsia" w:ascii="仿宋_GB2312" w:hAnsi="仿宋_GB2312" w:eastAsia="仿宋_GB2312" w:cs="仿宋_GB2312"/>
              </w:rPr>
            </w:pPr>
            <w:r>
              <w:rPr>
                <w:rFonts w:hint="eastAsia" w:ascii="仿宋_GB2312" w:hAnsi="仿宋_GB2312" w:eastAsia="仿宋_GB2312" w:cs="仿宋_GB2312"/>
              </w:rPr>
              <w:t>投标人应根据项目需求合理设计运维交接实施方案，至少包括时间人员安排、职责分工、交接内容、交接流程等内容。在规定时间内严格按要求完成交接工作。</w:t>
            </w:r>
          </w:p>
          <w:p w14:paraId="564955A6">
            <w:pPr>
              <w:pStyle w:val="6"/>
              <w:rPr>
                <w:rFonts w:hint="eastAsia" w:ascii="仿宋_GB2312" w:hAnsi="仿宋_GB2312" w:eastAsia="仿宋_GB2312" w:cs="仿宋_GB2312"/>
              </w:rPr>
            </w:pPr>
            <w:r>
              <w:rPr>
                <w:rFonts w:hint="eastAsia" w:ascii="仿宋_GB2312" w:hAnsi="仿宋_GB2312" w:eastAsia="仿宋_GB2312" w:cs="仿宋_GB2312"/>
              </w:rPr>
              <w:t>7.2日常运维实施及组织方案</w:t>
            </w:r>
          </w:p>
          <w:p w14:paraId="15EF2C18">
            <w:pPr>
              <w:pStyle w:val="6"/>
              <w:rPr>
                <w:rFonts w:hint="eastAsia" w:ascii="仿宋_GB2312" w:hAnsi="仿宋_GB2312" w:eastAsia="仿宋_GB2312" w:cs="仿宋_GB2312"/>
              </w:rPr>
            </w:pPr>
            <w:r>
              <w:rPr>
                <w:rFonts w:hint="eastAsia" w:ascii="仿宋_GB2312" w:hAnsi="仿宋_GB2312" w:eastAsia="仿宋_GB2312" w:cs="仿宋_GB2312"/>
              </w:rPr>
              <w:t>投标人应根据项目需求设计日常运维实施及组织方案，包括但不限于运维实施管理组织方案、维护工作流程设计方案、试剂和标准样品管理组织方案。合理安排水站日常运维工作</w:t>
            </w:r>
            <w:r>
              <w:rPr>
                <w:rFonts w:hint="eastAsia" w:ascii="仿宋_GB2312" w:hAnsi="仿宋_GB2312" w:eastAsia="仿宋_GB2312" w:cs="仿宋_GB2312"/>
                <w:lang w:val="en-US" w:eastAsia="zh-CN"/>
              </w:rPr>
              <w:t>及运维人员安全保障措施</w:t>
            </w:r>
            <w:r>
              <w:rPr>
                <w:rFonts w:hint="eastAsia" w:ascii="仿宋_GB2312" w:hAnsi="仿宋_GB2312" w:eastAsia="仿宋_GB2312" w:cs="仿宋_GB2312"/>
              </w:rPr>
              <w:t>。</w:t>
            </w:r>
          </w:p>
          <w:p w14:paraId="48D1B0F4">
            <w:pPr>
              <w:pStyle w:val="6"/>
              <w:rPr>
                <w:rFonts w:hint="eastAsia" w:ascii="仿宋_GB2312" w:hAnsi="仿宋_GB2312" w:eastAsia="仿宋_GB2312" w:cs="仿宋_GB2312"/>
              </w:rPr>
            </w:pPr>
            <w:r>
              <w:rPr>
                <w:rFonts w:hint="eastAsia" w:ascii="仿宋_GB2312" w:hAnsi="仿宋_GB2312" w:eastAsia="仿宋_GB2312" w:cs="仿宋_GB2312"/>
              </w:rPr>
              <w:t>7.3运维应急预案（应急处理解决方案）</w:t>
            </w:r>
          </w:p>
          <w:p w14:paraId="6823A705">
            <w:pPr>
              <w:pStyle w:val="6"/>
              <w:rPr>
                <w:rFonts w:hint="eastAsia" w:ascii="仿宋_GB2312" w:hAnsi="仿宋_GB2312" w:eastAsia="仿宋_GB2312" w:cs="仿宋_GB2312"/>
              </w:rPr>
            </w:pPr>
            <w:r>
              <w:rPr>
                <w:rFonts w:hint="eastAsia" w:ascii="仿宋_GB2312" w:hAnsi="仿宋_GB2312" w:eastAsia="仿宋_GB2312" w:cs="仿宋_GB2312"/>
              </w:rPr>
              <w:t>投标人应根据项目需求合理设计日运维应急预案，包括但不限于数据/水质异常时设计的应急预案、不可抗力导致不具备运维条件时的应急预案。有效应对水站出现的各类异常和突发情况。</w:t>
            </w:r>
          </w:p>
          <w:p w14:paraId="2FCACA57">
            <w:pPr>
              <w:pStyle w:val="6"/>
              <w:rPr>
                <w:rFonts w:hint="eastAsia" w:ascii="仿宋_GB2312" w:hAnsi="仿宋_GB2312" w:eastAsia="仿宋_GB2312" w:cs="仿宋_GB2312"/>
              </w:rPr>
            </w:pPr>
            <w:r>
              <w:rPr>
                <w:rFonts w:hint="eastAsia" w:ascii="仿宋_GB2312" w:hAnsi="仿宋_GB2312" w:eastAsia="仿宋_GB2312" w:cs="仿宋_GB2312"/>
              </w:rPr>
              <w:t>7.4 数据审核方案</w:t>
            </w:r>
          </w:p>
          <w:p w14:paraId="7A77116F">
            <w:pPr>
              <w:pStyle w:val="6"/>
              <w:rPr>
                <w:rFonts w:hint="eastAsia" w:ascii="仿宋_GB2312" w:hAnsi="仿宋_GB2312" w:eastAsia="仿宋_GB2312" w:cs="仿宋_GB2312"/>
              </w:rPr>
            </w:pPr>
            <w:r>
              <w:rPr>
                <w:rFonts w:hint="eastAsia" w:ascii="仿宋_GB2312" w:hAnsi="仿宋_GB2312" w:eastAsia="仿宋_GB2312" w:cs="仿宋_GB2312"/>
              </w:rPr>
              <w:t>投标人应根据项目需求合理设计数据审核方案，包括但不限于职责分工、数据审核规则、内部数据审核制度和数据复核以及运维相关视频、日志、关键参数日常审核等内容。确保监测数据的准确性。</w:t>
            </w:r>
          </w:p>
          <w:p w14:paraId="0CF76E08">
            <w:pPr>
              <w:pStyle w:val="6"/>
              <w:rPr>
                <w:rFonts w:hint="eastAsia" w:ascii="仿宋_GB2312" w:hAnsi="仿宋_GB2312" w:eastAsia="仿宋_GB2312" w:cs="仿宋_GB2312"/>
              </w:rPr>
            </w:pPr>
            <w:r>
              <w:rPr>
                <w:rFonts w:hint="eastAsia" w:ascii="仿宋_GB2312" w:hAnsi="仿宋_GB2312" w:eastAsia="仿宋_GB2312" w:cs="仿宋_GB2312"/>
              </w:rPr>
              <w:t>7.5质控方案</w:t>
            </w:r>
          </w:p>
          <w:p w14:paraId="23DDE9F9">
            <w:pPr>
              <w:pStyle w:val="6"/>
              <w:rPr>
                <w:rFonts w:hint="eastAsia" w:ascii="仿宋_GB2312" w:hAnsi="仿宋_GB2312" w:eastAsia="仿宋_GB2312" w:cs="仿宋_GB2312"/>
              </w:rPr>
            </w:pPr>
            <w:r>
              <w:rPr>
                <w:rFonts w:hint="eastAsia" w:ascii="仿宋_GB2312" w:hAnsi="仿宋_GB2312" w:eastAsia="仿宋_GB2312" w:cs="仿宋_GB2312"/>
              </w:rPr>
              <w:t>投标人应根据项目需求合理设计质控组织方案，包括但不限于人员、装备、仪器设备、试剂、监测环境、质量监督等方面。严格按照质量控制与质量保证要求及时开展运维工作。</w:t>
            </w:r>
          </w:p>
          <w:p w14:paraId="0663E9B5">
            <w:pPr>
              <w:pStyle w:val="6"/>
              <w:rPr>
                <w:rFonts w:hint="eastAsia" w:ascii="仿宋_GB2312" w:hAnsi="仿宋_GB2312" w:eastAsia="仿宋_GB2312" w:cs="仿宋_GB2312"/>
              </w:rPr>
            </w:pPr>
            <w:r>
              <w:rPr>
                <w:rFonts w:hint="eastAsia" w:ascii="仿宋_GB2312" w:hAnsi="仿宋_GB2312" w:eastAsia="仿宋_GB2312" w:cs="仿宋_GB2312"/>
              </w:rPr>
              <w:t>7.6 CMA资质检测机构使用方案</w:t>
            </w:r>
          </w:p>
          <w:p w14:paraId="3C2BE977">
            <w:pPr>
              <w:pStyle w:val="6"/>
              <w:rPr>
                <w:rFonts w:hint="eastAsia" w:ascii="仿宋_GB2312" w:hAnsi="仿宋_GB2312" w:eastAsia="仿宋_GB2312" w:cs="仿宋_GB2312"/>
                <w:lang w:val="en-US" w:eastAsia="zh-CN"/>
              </w:rPr>
            </w:pPr>
            <w:r>
              <w:rPr>
                <w:rFonts w:hint="eastAsia" w:ascii="仿宋_GB2312" w:hAnsi="仿宋_GB2312" w:eastAsia="仿宋_GB2312" w:cs="仿宋_GB2312"/>
              </w:rPr>
              <w:t>投标人应针对CMA资质检测机构情况，提供CMA资质检测机构使用方案，包括试剂和标准样品配制、水样比对、应急监测、质控等方面的职责分工、人员及仪器设备配备、试剂、监测方法、监测环境等内容。</w:t>
            </w:r>
          </w:p>
        </w:tc>
      </w:tr>
    </w:tbl>
    <w:p w14:paraId="1BAF621B">
      <w:bookmarkStart w:id="13" w:name="_GoBack"/>
      <w:bookmarkEnd w:id="1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方正仿宋_GB2312">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E26494"/>
    <w:rsid w:val="5FE264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color w:val="auto"/>
      <w:kern w:val="2"/>
      <w:sz w:val="32"/>
      <w:szCs w:val="32"/>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2">
    <w:name w:val="列出段落1"/>
    <w:basedOn w:val="1"/>
    <w:qFormat/>
    <w:uiPriority w:val="34"/>
    <w:pPr>
      <w:ind w:firstLine="420"/>
    </w:pPr>
  </w:style>
  <w:style w:type="table" w:styleId="4">
    <w:name w:val="Table Grid"/>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null3"/>
    <w:hidden/>
    <w:qFormat/>
    <w:uiPriority w:val="0"/>
    <w:rPr>
      <w:rFonts w:hint="eastAsia" w:asciiTheme="minorHAnsi" w:hAnsiTheme="minorHAnsi" w:eastAsiaTheme="minorEastAsia" w:cstheme="minorBidi"/>
      <w:lang w:val="en-US" w:eastAsia="zh-Hans"/>
    </w:rPr>
  </w:style>
  <w:style w:type="table" w:customStyle="1" w:styleId="7">
    <w:name w:val="网格型1"/>
    <w:basedOn w:val="3"/>
    <w:qFormat/>
    <w:uiPriority w:val="39"/>
    <w:pPr>
      <w:spacing w:after="0" w:line="240" w:lineRule="auto"/>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
    <w:name w:val="网格型2"/>
    <w:basedOn w:val="3"/>
    <w:qFormat/>
    <w:uiPriority w:val="39"/>
    <w:pPr>
      <w:spacing w:after="0" w:line="240" w:lineRule="auto"/>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2026-09-18T09:21:00Z</dcterms:created>
  <dc:creator>ZP</dc:creator>
  <cp:lastModifiedBy>ZP</cp:lastModifiedBy>
  <dcterms:modified xsi:type="dcterms:W3CDTF">2026-09-18T09:22:15Z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6DE0675E318F40539F5753281D1D9E97_11</vt:lpwstr>
  </property>
  <property fmtid="{D5CDD505-2E9C-101B-9397-08002B2CF9AE}" pid="4" name="KSOTemplateDocerSaveRecord">
    <vt:lpwstr>eyJoZGlkIjoiYzZiYTRjMmQ4ZjhjYzczN2RhM2M5MWFiN2Q1NmRmNTEiLCJ1c2VySWQiOiI2MjUzNTYzNjMifQ==</vt:lpwstr>
  </property>
</Properties>
</file>