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75BC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合同编号：</w:t>
      </w:r>
    </w:p>
    <w:p w14:paraId="103DC14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20325B7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2F9DEF4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2BFAB10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11C10AB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4FA97FF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eastAsia" w:ascii="仿宋" w:hAnsi="仿宋" w:eastAsia="仿宋" w:cs="仿宋"/>
          <w:sz w:val="40"/>
          <w:szCs w:val="40"/>
          <w:highlight w:val="none"/>
          <w:lang w:val="en-US" w:eastAsia="zh-CN"/>
        </w:rPr>
      </w:pPr>
    </w:p>
    <w:p w14:paraId="3F60161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rPr>
          <w:rFonts w:hint="eastAsia" w:ascii="仿宋" w:hAnsi="仿宋" w:eastAsia="仿宋" w:cs="仿宋"/>
          <w:b/>
          <w:bCs/>
          <w:sz w:val="40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highlight w:val="none"/>
          <w:lang w:val="en-US" w:eastAsia="zh-CN"/>
        </w:rPr>
        <w:t xml:space="preserve"> 建筑垃圾清理服务合同</w:t>
      </w:r>
    </w:p>
    <w:p w14:paraId="38B19E2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eastAsia" w:ascii="仿宋" w:hAnsi="仿宋" w:eastAsia="仿宋" w:cs="仿宋"/>
          <w:sz w:val="40"/>
          <w:szCs w:val="40"/>
          <w:highlight w:val="none"/>
          <w:lang w:val="en-US" w:eastAsia="zh-CN"/>
        </w:rPr>
      </w:pPr>
    </w:p>
    <w:p w14:paraId="4D9C615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eastAsia" w:ascii="仿宋" w:hAnsi="仿宋" w:eastAsia="仿宋" w:cs="仿宋"/>
          <w:sz w:val="40"/>
          <w:szCs w:val="40"/>
          <w:highlight w:val="none"/>
          <w:lang w:val="en-US" w:eastAsia="zh-CN"/>
        </w:rPr>
      </w:pPr>
    </w:p>
    <w:p w14:paraId="44164D9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eastAsia" w:ascii="仿宋" w:hAnsi="仿宋" w:eastAsia="仿宋" w:cs="仿宋"/>
          <w:sz w:val="40"/>
          <w:szCs w:val="40"/>
          <w:highlight w:val="none"/>
          <w:lang w:val="en-US" w:eastAsia="zh-CN"/>
        </w:rPr>
      </w:pPr>
    </w:p>
    <w:p w14:paraId="1EF5165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eastAsia" w:ascii="仿宋" w:hAnsi="仿宋" w:eastAsia="仿宋" w:cs="仿宋"/>
          <w:sz w:val="40"/>
          <w:szCs w:val="40"/>
          <w:highlight w:val="none"/>
          <w:lang w:val="en-US" w:eastAsia="zh-CN"/>
        </w:rPr>
      </w:pPr>
    </w:p>
    <w:p w14:paraId="53CC260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eastAsia" w:ascii="仿宋" w:hAnsi="仿宋" w:eastAsia="仿宋" w:cs="仿宋"/>
          <w:sz w:val="40"/>
          <w:szCs w:val="40"/>
          <w:highlight w:val="none"/>
          <w:lang w:val="en-US" w:eastAsia="zh-CN"/>
        </w:rPr>
      </w:pPr>
    </w:p>
    <w:p w14:paraId="7C96A83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eastAsia" w:ascii="仿宋" w:hAnsi="仿宋" w:eastAsia="仿宋" w:cs="仿宋"/>
          <w:sz w:val="40"/>
          <w:szCs w:val="40"/>
          <w:highlight w:val="none"/>
          <w:lang w:val="en-US" w:eastAsia="zh-CN"/>
        </w:rPr>
      </w:pPr>
    </w:p>
    <w:p w14:paraId="0CB18FD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eastAsia" w:ascii="仿宋" w:hAnsi="仿宋" w:eastAsia="仿宋" w:cs="仿宋"/>
          <w:sz w:val="40"/>
          <w:szCs w:val="40"/>
          <w:highlight w:val="none"/>
          <w:lang w:val="en-US" w:eastAsia="zh-CN"/>
        </w:rPr>
      </w:pPr>
    </w:p>
    <w:p w14:paraId="203259E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eastAsia" w:ascii="仿宋" w:hAnsi="仿宋" w:eastAsia="仿宋" w:cs="仿宋"/>
          <w:sz w:val="40"/>
          <w:szCs w:val="40"/>
          <w:highlight w:val="none"/>
          <w:lang w:val="en-US" w:eastAsia="zh-CN"/>
        </w:rPr>
      </w:pPr>
    </w:p>
    <w:p w14:paraId="3CF18A0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rPr>
          <w:rFonts w:hint="eastAsia" w:ascii="仿宋" w:hAnsi="仿宋" w:eastAsia="仿宋" w:cs="仿宋"/>
          <w:sz w:val="36"/>
          <w:szCs w:val="36"/>
          <w:highlight w:val="none"/>
          <w:lang w:val="en-US" w:eastAsia="zh-CN"/>
        </w:rPr>
      </w:pPr>
    </w:p>
    <w:p w14:paraId="5593724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 w:firstLine="1280" w:firstLineChars="4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甲方(采购人):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val="en-US" w:eastAsia="zh-CN"/>
        </w:rPr>
        <w:t xml:space="preserve">           </w:t>
      </w:r>
    </w:p>
    <w:p w14:paraId="2250ECA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 w:firstLine="1280" w:firstLineChars="4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乙方(供应商):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val="en-US" w:eastAsia="zh-CN"/>
        </w:rPr>
        <w:t xml:space="preserve">           </w:t>
      </w:r>
    </w:p>
    <w:p w14:paraId="237324A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年  月   日</w:t>
      </w:r>
    </w:p>
    <w:p w14:paraId="793973EA"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int="eastAsia" w:ascii="仿宋" w:hAnsi="仿宋" w:eastAsia="仿宋" w:cs="仿宋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highlight w:val="none"/>
          <w:lang w:val="en-US" w:eastAsia="zh-CN"/>
        </w:rPr>
        <w:br w:type="page"/>
      </w:r>
    </w:p>
    <w:p w14:paraId="4D93CFA5"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甲方：西安市长安区建筑垃圾管理所 </w:t>
      </w:r>
    </w:p>
    <w:p w14:paraId="57AD99D7"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乙方：</w:t>
      </w:r>
    </w:p>
    <w:p w14:paraId="194D6AFA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兹有（以下简称甲方）与（以下简称乙方）就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1"/>
          <w:szCs w:val="21"/>
          <w:highlight w:val="none"/>
          <w:u w:val="single"/>
          <w:shd w:val="clear" w:color="auto" w:fill="FFFFFF"/>
          <w:lang w:eastAsia="zh-CN"/>
        </w:rPr>
        <w:t>建筑垃圾清理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1"/>
          <w:szCs w:val="21"/>
          <w:highlight w:val="none"/>
          <w:u w:val="none"/>
          <w:shd w:val="clear" w:color="auto" w:fill="FFFFFF"/>
        </w:rPr>
        <w:t>项目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</w:rPr>
        <w:t>事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宜，经双方协商签订如下协议：</w:t>
      </w:r>
    </w:p>
    <w:p w14:paraId="10C433C9"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一、内容：乙方在接到甲方通知半小时内组织车辆到达清运现场，负责清理甲方指派范围内的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所有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建筑垃圾。</w:t>
      </w:r>
    </w:p>
    <w:p w14:paraId="4BEC2374"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二、服务期：一年</w:t>
      </w:r>
    </w:p>
    <w:p w14:paraId="39A546C1"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三、费用：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/</w:t>
      </w:r>
      <w:r>
        <w:rPr>
          <w:rFonts w:hint="eastAsia" w:ascii="仿宋" w:hAnsi="仿宋" w:eastAsia="仿宋" w:cs="仿宋"/>
          <w:sz w:val="21"/>
          <w:highlight w:val="none"/>
          <w:lang w:val="en-US" w:eastAsia="zh-CN"/>
        </w:rPr>
        <w:t>立方米</w:t>
      </w:r>
    </w:p>
    <w:p w14:paraId="6EAF0A70">
      <w:pPr>
        <w:pStyle w:val="5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四、付款方式：</w:t>
      </w:r>
    </w:p>
    <w:p w14:paraId="1B1445B3">
      <w:pPr>
        <w:pStyle w:val="5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按清运单价据实结算，每季度结算一次 ，达到付款条件起 10 日内，支付合同总金额的 25.00%。</w:t>
      </w:r>
    </w:p>
    <w:p w14:paraId="27788FC9">
      <w:pPr>
        <w:pStyle w:val="5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②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按清运单价据实结算，每季度结算一次 ，达到付款条件起 10日内，支付合同总金额的 25.00%。</w:t>
      </w:r>
    </w:p>
    <w:p w14:paraId="5E1975A6">
      <w:pPr>
        <w:pStyle w:val="5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按清运单价据实结算，每季度结算一次 ，达到付款条件起10日内，支付合同总金额的 25.00%。</w:t>
      </w:r>
    </w:p>
    <w:p w14:paraId="7307FB0D">
      <w:pPr>
        <w:pStyle w:val="5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④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按清运单价据实结算，每季度结算一次 ，达到付款条件起10日内，支付合同总金额的 25.00%。</w:t>
      </w:r>
    </w:p>
    <w:p w14:paraId="6BE48F51"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五、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验收：</w:t>
      </w:r>
    </w:p>
    <w:p w14:paraId="249911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1、本项目由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  <w:lang w:eastAsia="zh-CN"/>
        </w:rPr>
        <w:t>西安市长安区建筑垃圾管理所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相关部门定期对项目进行阶段性验收。</w:t>
      </w:r>
    </w:p>
    <w:p w14:paraId="29037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 w:bidi="ar-SA"/>
        </w:rPr>
        <w:t>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验收标准：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乙方按照甲方标准要求，及时完成清理任务后，由甲方安排管理人员现场勘验，核实确认是否按照标准进行清理完毕，甲乙双方每季度对清运地点及清运方量再次进行确认核对。</w:t>
      </w:r>
    </w:p>
    <w:p w14:paraId="306CF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3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 w:bidi="ar-SA"/>
        </w:rPr>
        <w:t>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验收合格后，填写验收单，双方签字生效。</w:t>
      </w:r>
    </w:p>
    <w:p w14:paraId="707D7BFA">
      <w:pPr>
        <w:spacing w:line="360" w:lineRule="auto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六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、清运质量标准</w:t>
      </w:r>
    </w:p>
    <w:p w14:paraId="6759C8B9">
      <w:pPr>
        <w:spacing w:line="360" w:lineRule="auto"/>
        <w:ind w:firstLine="417" w:firstLineChars="19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 w:bidi="ar-SA"/>
        </w:rPr>
        <w:t>1、清运期间必须组织有营运资质的车辆进行清理，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乙方严格遵守《西安市建筑垃圾管理条例》规定，需将清运的建筑垃圾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倾倒在指定的消纳场。</w:t>
      </w:r>
    </w:p>
    <w:p w14:paraId="5C5FCF1C">
      <w:pPr>
        <w:spacing w:line="360" w:lineRule="auto"/>
        <w:ind w:firstLine="417" w:firstLineChars="19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2、清运车辆出现“漏渣、落渣”现象时，乙方负责清扫。</w:t>
      </w:r>
    </w:p>
    <w:p w14:paraId="1A1B8A7C">
      <w:pPr>
        <w:spacing w:line="360" w:lineRule="auto"/>
        <w:ind w:firstLine="417" w:firstLineChars="19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3、乙方在清理垃圾过程中发生其他有碍工作的事情，均由乙方协调解决。</w:t>
      </w:r>
    </w:p>
    <w:p w14:paraId="06191897">
      <w:pPr>
        <w:spacing w:line="360" w:lineRule="auto"/>
        <w:ind w:firstLine="417" w:firstLineChars="19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4、乙方在垃圾清运工作是应做到安全、有序、自觉遵守管理制度，服务期间发生的不安全事故均由乙方负责。</w:t>
      </w:r>
    </w:p>
    <w:p w14:paraId="3C0DB0B3">
      <w:pPr>
        <w:spacing w:line="360" w:lineRule="auto"/>
        <w:ind w:firstLine="417" w:firstLineChars="19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5、乙方在清运过程中必须配备清扫人员负责现场的道路保洁工作，现场清运作业过程中要有洒水降尘工作，清运作业完成后，由乙方负责清理干净现场的残留渣土。</w:t>
      </w:r>
    </w:p>
    <w:p w14:paraId="6983456E">
      <w:pPr>
        <w:spacing w:line="360" w:lineRule="auto"/>
        <w:ind w:firstLine="417" w:firstLineChars="199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6、甲方可派驻人员在乙方清理建筑垃圾时现场督导并核准数量。</w:t>
      </w:r>
    </w:p>
    <w:p w14:paraId="3DAC4E83"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七、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双方权利及义务</w:t>
      </w:r>
    </w:p>
    <w:p w14:paraId="0D9DA488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 w:bidi="ar-SA"/>
        </w:rPr>
        <w:t>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甲乙双方必须遵守本合同并执行合同中的各项规定，保证本合同的正常履行。</w:t>
      </w:r>
    </w:p>
    <w:p w14:paraId="59E5376E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 w:bidi="ar-SA"/>
        </w:rPr>
        <w:t>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如因乙方存在以下行为，甲方有权终止合同，并报请政府采购监督管理机关进行相应的行政处罚。</w:t>
      </w:r>
    </w:p>
    <w:p w14:paraId="19F7C570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① 相应资质被取消；</w:t>
      </w:r>
    </w:p>
    <w:p w14:paraId="6E75B901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② 存在弄虚作假、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虚报清理方量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信息等违规行为；</w:t>
      </w:r>
    </w:p>
    <w:p w14:paraId="158AD9DB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③ 网络舆情或媒体报道存在不规范操作行为；</w:t>
      </w:r>
    </w:p>
    <w:p w14:paraId="61376478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④ 未全面履行合同义务或者发生违约。</w:t>
      </w:r>
    </w:p>
    <w:p w14:paraId="0BC37DD8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 w:bidi="ar-SA"/>
        </w:rPr>
        <w:t>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本合同未经双方同意，任何一方不得以任何形式公开本合同及附件内容，以确保双方的商业机密。</w:t>
      </w:r>
    </w:p>
    <w:p w14:paraId="67C899C2"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八、争议的解决方式</w:t>
      </w:r>
    </w:p>
    <w:p w14:paraId="7331D8A8">
      <w:pPr>
        <w:spacing w:line="360" w:lineRule="auto"/>
        <w:ind w:firstLine="417" w:firstLineChars="199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合同执行过程中如发生争议，双方应及时协商解决，协商不成，双方均可向项目所在地人民法院起诉。</w:t>
      </w:r>
    </w:p>
    <w:p w14:paraId="3C0EFACE"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九、违约责任</w:t>
      </w:r>
    </w:p>
    <w:p w14:paraId="5F93FF9A">
      <w:pPr>
        <w:spacing w:line="360" w:lineRule="auto"/>
        <w:ind w:firstLine="417" w:firstLineChars="199"/>
        <w:rPr>
          <w:rFonts w:hint="default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1、乙方如未按照甲方标准及时清理，超出3次以上扣除每季度建筑垃圾清理费用的2%；造成不良舆论影响的，扣除每季度建筑垃圾清理费用的5%。</w:t>
      </w:r>
    </w:p>
    <w:p w14:paraId="2BE1AECD">
      <w:pPr>
        <w:spacing w:line="360" w:lineRule="auto"/>
        <w:ind w:firstLine="417" w:firstLineChars="199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、依据《中华人民共和国民法典》、《中华人民共和国政府采购法》、《中华人民共和国政府采购法实施条例》的相关条款和本合同约定，成交供应商未全面履行合同义务或者发生违约，采购单位会同采购代理机构有权终止合同，依法向成交供应商进行经济索赔，并报请政府采购监督管理机关进行相应的行政处罚。采购单位违约的，应当赔偿给中标供应商造成的经济损失。</w:t>
      </w:r>
    </w:p>
    <w:p w14:paraId="6E20F9A6"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十、本合同一式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份，甲方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份，乙方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份，经双方签字或盖章后生效，具有同等法律效力。</w:t>
      </w:r>
    </w:p>
    <w:p w14:paraId="51B7AF6D"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十一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、本协议经双方同意签章后生效。</w:t>
      </w:r>
    </w:p>
    <w:p w14:paraId="38B4EDFD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4BD4B6D4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采购人：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（盖章）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    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（盖章）    </w:t>
      </w:r>
    </w:p>
    <w:p w14:paraId="6D4BA7FF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地址：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地址：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</w:t>
      </w:r>
    </w:p>
    <w:p w14:paraId="33751B98"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邮政编码：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 邮政编码：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</w:t>
      </w:r>
    </w:p>
    <w:p w14:paraId="2B736A6C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法定代表人或其授权                 法定代表人或其授权</w:t>
      </w:r>
    </w:p>
    <w:p w14:paraId="47ED372B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的代理人：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（签字）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    的代理人：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（签字）          </w:t>
      </w:r>
    </w:p>
    <w:p w14:paraId="2A2C20A0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开户银行：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 开户银行：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</w:t>
      </w:r>
    </w:p>
    <w:p w14:paraId="1D01001A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账号：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账号：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 </w:t>
      </w:r>
    </w:p>
    <w:p w14:paraId="68179E54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电话：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电话：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 </w:t>
      </w:r>
    </w:p>
    <w:p w14:paraId="3804EA32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传真：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传真：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 </w:t>
      </w:r>
    </w:p>
    <w:p w14:paraId="610144C9"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电子邮箱：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电子邮箱：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8D2690"/>
    <w:rsid w:val="7D8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2026-05-11T05:29:00Z</dcterms:created>
  <dc:creator>华夏国际-招标部</dc:creator>
  <cp:lastModifiedBy>华夏国际-招标部</cp:lastModifiedBy>
  <dcterms:modified xsi:type="dcterms:W3CDTF">2026-05-11T05:30:12Z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30A8719F649947DCA86E243541C87DB1_11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